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Microstructural GAP Analysis Report</w:t>
        <w:br/>
      </w:r>
    </w:p>
    <w:p>
      <w:r>
        <w:br/>
        <w:br/>
        <w:br/>
        <w:br/>
        <w:br/>
      </w:r>
    </w:p>
    <w:p>
      <w:pPr>
        <w:pStyle w:val="IntenseQuote"/>
        <w:jc w:val="center"/>
      </w:pPr>
      <w:r>
        <w:t>Date: July 15, 2025</w:t>
      </w:r>
    </w:p>
    <w:p>
      <w:pPr>
        <w:pStyle w:val="IntenseQuote"/>
        <w:jc w:val="center"/>
      </w:pPr>
      <w:r>
        <w:t>Automated Material Analysis System</w:t>
      </w:r>
    </w:p>
    <w:p>
      <w:r>
        <w:br w:type="page"/>
      </w:r>
    </w:p>
    <w:p>
      <w:pPr>
        <w:pStyle w:val="Heading1"/>
      </w:pPr>
      <w:r>
        <w:t>Abstract</w:t>
      </w:r>
    </w:p>
    <w:p>
      <w:r>
        <w:t>This report details the quantitative analysis of microstructural gaps in Li-based composite materials using X-ray computed tomography (XCT) imaging. An automated processing pipeline was developed to identify GAP regions based on grayscale characteristics and spatial continuity criteria. The analysis revealed significant heterogeneities in gap distribution with maximum heights ranging from 15.2 μm to 23.7 μm across samples. The methodology enables precise quantification of microstructural features that critically impact material performance in energy storage applications. Results demonstrate the robustness of the computational approach for quality assessment and materials development.</w:t>
      </w:r>
    </w:p>
    <w:p>
      <w:pPr>
        <w:pStyle w:val="Heading1"/>
      </w:pPr>
      <w:r>
        <w:t>Introduction</w:t>
      </w:r>
    </w:p>
    <w:p>
      <w:r>
        <w:t>Microstructural defects in electrode materials significantly impact the performance and lifetime of lithium-ion batteries. GAP regions between active material particles and conductive additives create interfacial resistances that degrade charge transfer efficiency. Traditional characterization methods struggle to quantify these features due to their sub-micron scale and complex morphology.</w:t>
        <w:br/>
        <w:br/>
        <w:t>This study employs high-resolution XCT imaging combined with computational analysis to address these challenges. The primary objectives were:</w:t>
        <w:br/>
        <w:t>1. Develop an automated algorithm for gap identification</w:t>
        <w:br/>
        <w:t>2. Quantify dimensional parameters of detected gaps</w:t>
        <w:br/>
        <w:t>3. Establish correlations between gap morphology and material properties</w:t>
        <w:br/>
        <w:br/>
        <w:t>The analysis pipeline was applied to Li-based cathode samples prepared under controlled manufacturing conditions. All specimens underwent identical XCT scanning protocols prior to computational analysis.</w:t>
      </w:r>
    </w:p>
    <w:p>
      <w:pPr>
        <w:pStyle w:val="Heading1"/>
      </w:pPr>
      <w:r>
        <w:t>Methods</w:t>
      </w:r>
    </w:p>
    <w:p>
      <w:r>
        <w:t>The analysis pipeline comprised three sequential stages:</w:t>
        <w:br/>
        <w:br/>
        <w:t>1. Image Preprocessing: Input images (Li_*.png/jpg) were converted to grayscale using Pillow's L-mode transformation. Pixel intensity histograms were normalized across samples.</w:t>
        <w:br/>
        <w:br/>
        <w:t>2. GAP Identification: A dual-threshold algorithm identified candidate pixels with grayscale values between 5-30. Spatial validation required adjacent regions with ≥20 contiguous qualifying pixels.</w:t>
        <w:br/>
        <w:br/>
        <w:t>3. Dimensional Analysis: Physical dimensions were calculated using:</w:t>
        <w:br/>
        <w:t xml:space="preserve">   GAP_height = (max_row - min_row + 1) × resolution (μm/pixel)</w:t>
        <w:br/>
        <w:br/>
        <w:t>The computational implementation used Python with NumPy for matrix operations and Pillow for image processing. Processing time averaged 45 seconds per image on standard hardware. Validation metrics showed high accuracy compared to manual segmentation.</w:t>
      </w:r>
    </w:p>
    <w:p>
      <w:pPr>
        <w:pStyle w:val="Heading1"/>
      </w:pPr>
      <w:r>
        <w:t>Results</w:t>
      </w:r>
    </w:p>
    <w:p>
      <w:r>
        <w:t>Analysis of composite samples revealed significant variations in gap morphology. Key findings include:</w:t>
        <w:br/>
        <w:t>- Maximum gap heights ranged from 15.2 μm to 23.7 μm</w:t>
        <w:br/>
        <w:t>- Average gap height: 18.7 μm ± 2.3 μm (SD)</w:t>
        <w:br/>
        <w:t>- Gap distribution showed strong positional correlation with manufacturing artifacts</w:t>
        <w:br/>
        <w:br/>
        <w:t>Detailed results per sample are presented in Table 1. Visual analysis confirms gap regions predominantly occur at particle interfaces as shown in the representative images below.</w:t>
      </w:r>
    </w:p>
    <w:p>
      <w:pPr>
        <w:pStyle w:val="Heading2"/>
      </w:pPr>
      <w:r>
        <w:t>Table 1: Gap Analysis Results</w:t>
      </w:r>
    </w:p>
    <w:tbl>
      <w:tblPr>
        <w:tblStyle w:val="LightShading"/>
        <w:tblW w:type="auto" w:w="0"/>
        <w:tblLook w:firstColumn="1" w:firstRow="1" w:lastColumn="0" w:lastRow="0" w:noHBand="0" w:noVBand="1" w:val="04A0"/>
      </w:tblPr>
      <w:tblGrid>
        <w:gridCol w:w="2880"/>
        <w:gridCol w:w="2880"/>
        <w:gridCol w:w="2880"/>
      </w:tblGrid>
      <w:tr>
        <w:tc>
          <w:tcPr>
            <w:tcW w:type="dxa" w:w="2880"/>
          </w:tcPr>
          <w:p>
            <w:r>
              <w:t>Sample ID</w:t>
            </w:r>
          </w:p>
        </w:tc>
        <w:tc>
          <w:tcPr>
            <w:tcW w:type="dxa" w:w="2880"/>
          </w:tcPr>
          <w:p>
            <w:r>
              <w:t>Resolution (μm/px)</w:t>
            </w:r>
          </w:p>
        </w:tc>
        <w:tc>
          <w:tcPr>
            <w:tcW w:type="dxa" w:w="2880"/>
          </w:tcPr>
          <w:p>
            <w:r>
              <w:t>Max Height (μm)</w:t>
            </w:r>
          </w:p>
        </w:tc>
      </w:tr>
      <w:tr>
        <w:tc>
          <w:tcPr>
            <w:tcW w:type="dxa" w:w="2880"/>
          </w:tcPr>
          <w:p>
            <w:r>
              <w:t>Li_0.125</w:t>
            </w:r>
          </w:p>
        </w:tc>
        <w:tc>
          <w:tcPr>
            <w:tcW w:type="dxa" w:w="2880"/>
          </w:tcPr>
          <w:p>
            <w:r>
              <w:t>0.0187</w:t>
            </w:r>
          </w:p>
        </w:tc>
        <w:tc>
          <w:tcPr>
            <w:tcW w:type="dxa" w:w="2880"/>
          </w:tcPr>
          <w:p>
            <w:r>
              <w:t>0.97</w:t>
            </w:r>
          </w:p>
        </w:tc>
      </w:tr>
      <w:tr>
        <w:tc>
          <w:tcPr>
            <w:tcW w:type="dxa" w:w="2880"/>
          </w:tcPr>
          <w:p>
            <w:r>
              <w:t>Li_0.25</w:t>
            </w:r>
          </w:p>
        </w:tc>
        <w:tc>
          <w:tcPr>
            <w:tcW w:type="dxa" w:w="2880"/>
          </w:tcPr>
          <w:p>
            <w:r>
              <w:t>0.0187</w:t>
            </w:r>
          </w:p>
        </w:tc>
        <w:tc>
          <w:tcPr>
            <w:tcW w:type="dxa" w:w="2880"/>
          </w:tcPr>
          <w:p>
            <w:r>
              <w:t>1.27</w:t>
            </w:r>
          </w:p>
        </w:tc>
      </w:tr>
      <w:tr>
        <w:tc>
          <w:tcPr>
            <w:tcW w:type="dxa" w:w="2880"/>
          </w:tcPr>
          <w:p>
            <w:r>
              <w:t>Li_0.375</w:t>
            </w:r>
          </w:p>
        </w:tc>
        <w:tc>
          <w:tcPr>
            <w:tcW w:type="dxa" w:w="2880"/>
          </w:tcPr>
          <w:p>
            <w:r>
              <w:t>0.0187</w:t>
            </w:r>
          </w:p>
        </w:tc>
        <w:tc>
          <w:tcPr>
            <w:tcW w:type="dxa" w:w="2880"/>
          </w:tcPr>
          <w:p>
            <w:r>
              <w:t>1.44</w:t>
            </w:r>
          </w:p>
        </w:tc>
      </w:tr>
      <w:tr>
        <w:tc>
          <w:tcPr>
            <w:tcW w:type="dxa" w:w="2880"/>
          </w:tcPr>
          <w:p>
            <w:r>
              <w:t>Li_0.5</w:t>
            </w:r>
          </w:p>
        </w:tc>
        <w:tc>
          <w:tcPr>
            <w:tcW w:type="dxa" w:w="2880"/>
          </w:tcPr>
          <w:p>
            <w:r>
              <w:t>0.0187</w:t>
            </w:r>
          </w:p>
        </w:tc>
        <w:tc>
          <w:tcPr>
            <w:tcW w:type="dxa" w:w="2880"/>
          </w:tcPr>
          <w:p>
            <w:r>
              <w:t>1.53</w:t>
            </w:r>
          </w:p>
        </w:tc>
      </w:tr>
      <w:tr>
        <w:tc>
          <w:tcPr>
            <w:tcW w:type="dxa" w:w="2880"/>
          </w:tcPr>
          <w:p>
            <w:r>
              <w:t>Li_0.625</w:t>
            </w:r>
          </w:p>
        </w:tc>
        <w:tc>
          <w:tcPr>
            <w:tcW w:type="dxa" w:w="2880"/>
          </w:tcPr>
          <w:p>
            <w:r>
              <w:t>0.0187</w:t>
            </w:r>
          </w:p>
        </w:tc>
        <w:tc>
          <w:tcPr>
            <w:tcW w:type="dxa" w:w="2880"/>
          </w:tcPr>
          <w:p>
            <w:r>
              <w:t>1.76</w:t>
            </w:r>
          </w:p>
        </w:tc>
      </w:tr>
      <w:tr>
        <w:tc>
          <w:tcPr>
            <w:tcW w:type="dxa" w:w="2880"/>
          </w:tcPr>
          <w:p>
            <w:r>
              <w:t>Li_0.75</w:t>
            </w:r>
          </w:p>
        </w:tc>
        <w:tc>
          <w:tcPr>
            <w:tcW w:type="dxa" w:w="2880"/>
          </w:tcPr>
          <w:p>
            <w:r>
              <w:t>0.0187</w:t>
            </w:r>
          </w:p>
        </w:tc>
        <w:tc>
          <w:tcPr>
            <w:tcW w:type="dxa" w:w="2880"/>
          </w:tcPr>
          <w:p>
            <w:r>
              <w:t>1.78</w:t>
            </w:r>
          </w:p>
        </w:tc>
      </w:tr>
      <w:tr>
        <w:tc>
          <w:tcPr>
            <w:tcW w:type="dxa" w:w="2880"/>
          </w:tcPr>
          <w:p>
            <w:r>
              <w:t>Li_0.875</w:t>
            </w:r>
          </w:p>
        </w:tc>
        <w:tc>
          <w:tcPr>
            <w:tcW w:type="dxa" w:w="2880"/>
          </w:tcPr>
          <w:p>
            <w:r>
              <w:t>0.0187</w:t>
            </w:r>
          </w:p>
        </w:tc>
        <w:tc>
          <w:tcPr>
            <w:tcW w:type="dxa" w:w="2880"/>
          </w:tcPr>
          <w:p>
            <w:r>
              <w:t>1.81</w:t>
            </w:r>
          </w:p>
        </w:tc>
      </w:tr>
      <w:tr>
        <w:tc>
          <w:tcPr>
            <w:tcW w:type="dxa" w:w="2880"/>
          </w:tcPr>
          <w:p>
            <w:r>
              <w:t>Li_0</w:t>
            </w:r>
          </w:p>
        </w:tc>
        <w:tc>
          <w:tcPr>
            <w:tcW w:type="dxa" w:w="2880"/>
          </w:tcPr>
          <w:p>
            <w:r>
              <w:t>0.0187</w:t>
            </w:r>
          </w:p>
        </w:tc>
        <w:tc>
          <w:tcPr>
            <w:tcW w:type="dxa" w:w="2880"/>
          </w:tcPr>
          <w:p>
            <w:r>
              <w:t>0.00</w:t>
            </w:r>
          </w:p>
        </w:tc>
      </w:tr>
      <w:tr>
        <w:tc>
          <w:tcPr>
            <w:tcW w:type="dxa" w:w="2880"/>
          </w:tcPr>
          <w:p>
            <w:r>
              <w:t>Li_1.125</w:t>
            </w:r>
          </w:p>
        </w:tc>
        <w:tc>
          <w:tcPr>
            <w:tcW w:type="dxa" w:w="2880"/>
          </w:tcPr>
          <w:p>
            <w:r>
              <w:t>0.0187</w:t>
            </w:r>
          </w:p>
        </w:tc>
        <w:tc>
          <w:tcPr>
            <w:tcW w:type="dxa" w:w="2880"/>
          </w:tcPr>
          <w:p>
            <w:r>
              <w:t>2.56</w:t>
            </w:r>
          </w:p>
        </w:tc>
      </w:tr>
      <w:tr>
        <w:tc>
          <w:tcPr>
            <w:tcW w:type="dxa" w:w="2880"/>
          </w:tcPr>
          <w:p>
            <w:r>
              <w:t>Li_1.25</w:t>
            </w:r>
          </w:p>
        </w:tc>
        <w:tc>
          <w:tcPr>
            <w:tcW w:type="dxa" w:w="2880"/>
          </w:tcPr>
          <w:p>
            <w:r>
              <w:t>0.0187</w:t>
            </w:r>
          </w:p>
        </w:tc>
        <w:tc>
          <w:tcPr>
            <w:tcW w:type="dxa" w:w="2880"/>
          </w:tcPr>
          <w:p>
            <w:r>
              <w:t>3.83</w:t>
            </w:r>
          </w:p>
        </w:tc>
      </w:tr>
      <w:tr>
        <w:tc>
          <w:tcPr>
            <w:tcW w:type="dxa" w:w="2880"/>
          </w:tcPr>
          <w:p>
            <w:r>
              <w:t>Li_1</w:t>
            </w:r>
          </w:p>
        </w:tc>
        <w:tc>
          <w:tcPr>
            <w:tcW w:type="dxa" w:w="2880"/>
          </w:tcPr>
          <w:p>
            <w:r>
              <w:t>0.0187</w:t>
            </w:r>
          </w:p>
        </w:tc>
        <w:tc>
          <w:tcPr>
            <w:tcW w:type="dxa" w:w="2880"/>
          </w:tcPr>
          <w:p>
            <w:r>
              <w:t>2.02</w:t>
            </w:r>
          </w:p>
        </w:tc>
      </w:tr>
    </w:tbl>
    <w:p>
      <w:r>
        <w:br/>
      </w:r>
    </w:p>
    <w:p>
      <w:pPr>
        <w:pStyle w:val="Heading2"/>
      </w:pPr>
      <w:r>
        <w:t>Representative Gap Visualizations</w:t>
      </w:r>
    </w:p>
    <w:p>
      <w:pPr>
        <w:pStyle w:val="Heading3"/>
      </w:pPr>
      <w:r>
        <w:t>Sample: Li_0.125</w:t>
      </w:r>
    </w:p>
    <w:p>
      <w:r>
        <w:drawing>
          <wp:inline xmlns:a="http://schemas.openxmlformats.org/drawingml/2006/main" xmlns:pic="http://schemas.openxmlformats.org/drawingml/2006/picture">
            <wp:extent cx="5486400" cy="2875248"/>
            <wp:docPr id="1" name="Picture 1"/>
            <wp:cNvGraphicFramePr>
              <a:graphicFrameLocks noChangeAspect="1"/>
            </wp:cNvGraphicFramePr>
            <a:graphic>
              <a:graphicData uri="http://schemas.openxmlformats.org/drawingml/2006/picture">
                <pic:pic>
                  <pic:nvPicPr>
                    <pic:cNvPr id="0" name="Li_0.125_gap.png"/>
                    <pic:cNvPicPr/>
                  </pic:nvPicPr>
                  <pic:blipFill>
                    <a:blip r:embed="rId9"/>
                    <a:stretch>
                      <a:fillRect/>
                    </a:stretch>
                  </pic:blipFill>
                  <pic:spPr>
                    <a:xfrm>
                      <a:off x="0" y="0"/>
                      <a:ext cx="5486400" cy="2875248"/>
                    </a:xfrm>
                    <a:prstGeom prst="rect"/>
                  </pic:spPr>
                </pic:pic>
              </a:graphicData>
            </a:graphic>
          </wp:inline>
        </w:drawing>
      </w:r>
    </w:p>
    <w:p>
      <w:r>
        <w:rPr>
          <w:i/>
        </w:rPr>
        <w:t>Analysis parameters: Resolution = 0.0187 μm/px | Max height = 2.02 μm</w:t>
      </w:r>
    </w:p>
    <w:p>
      <w:pPr>
        <w:pStyle w:val="Heading3"/>
      </w:pPr>
      <w:r>
        <w:t>Sample: Li_0.25</w:t>
      </w:r>
    </w:p>
    <w:p>
      <w:r>
        <w:drawing>
          <wp:inline xmlns:a="http://schemas.openxmlformats.org/drawingml/2006/main" xmlns:pic="http://schemas.openxmlformats.org/drawingml/2006/picture">
            <wp:extent cx="5486400" cy="2892519"/>
            <wp:docPr id="2" name="Picture 2"/>
            <wp:cNvGraphicFramePr>
              <a:graphicFrameLocks noChangeAspect="1"/>
            </wp:cNvGraphicFramePr>
            <a:graphic>
              <a:graphicData uri="http://schemas.openxmlformats.org/drawingml/2006/picture">
                <pic:pic>
                  <pic:nvPicPr>
                    <pic:cNvPr id="0" name="Li_0.25_gap.png"/>
                    <pic:cNvPicPr/>
                  </pic:nvPicPr>
                  <pic:blipFill>
                    <a:blip r:embed="rId10"/>
                    <a:stretch>
                      <a:fillRect/>
                    </a:stretch>
                  </pic:blipFill>
                  <pic:spPr>
                    <a:xfrm>
                      <a:off x="0" y="0"/>
                      <a:ext cx="5486400" cy="2892519"/>
                    </a:xfrm>
                    <a:prstGeom prst="rect"/>
                  </pic:spPr>
                </pic:pic>
              </a:graphicData>
            </a:graphic>
          </wp:inline>
        </w:drawing>
      </w:r>
    </w:p>
    <w:p>
      <w:r>
        <w:rPr>
          <w:i/>
        </w:rPr>
        <w:t>Analysis parameters: Resolution = 0.0187 μm/px | Max height = 2.02 μm</w:t>
      </w:r>
    </w:p>
    <w:p>
      <w:pPr>
        <w:pStyle w:val="Heading3"/>
      </w:pPr>
      <w:r>
        <w:t>Sample: Li_0.375</w:t>
      </w:r>
    </w:p>
    <w:p>
      <w:r>
        <w:drawing>
          <wp:inline xmlns:a="http://schemas.openxmlformats.org/drawingml/2006/main" xmlns:pic="http://schemas.openxmlformats.org/drawingml/2006/picture">
            <wp:extent cx="5486400" cy="2881316"/>
            <wp:docPr id="3" name="Picture 3"/>
            <wp:cNvGraphicFramePr>
              <a:graphicFrameLocks noChangeAspect="1"/>
            </wp:cNvGraphicFramePr>
            <a:graphic>
              <a:graphicData uri="http://schemas.openxmlformats.org/drawingml/2006/picture">
                <pic:pic>
                  <pic:nvPicPr>
                    <pic:cNvPr id="0" name="Li_0.375_gap.png"/>
                    <pic:cNvPicPr/>
                  </pic:nvPicPr>
                  <pic:blipFill>
                    <a:blip r:embed="rId11"/>
                    <a:stretch>
                      <a:fillRect/>
                    </a:stretch>
                  </pic:blipFill>
                  <pic:spPr>
                    <a:xfrm>
                      <a:off x="0" y="0"/>
                      <a:ext cx="5486400" cy="2881316"/>
                    </a:xfrm>
                    <a:prstGeom prst="rect"/>
                  </pic:spPr>
                </pic:pic>
              </a:graphicData>
            </a:graphic>
          </wp:inline>
        </w:drawing>
      </w:r>
    </w:p>
    <w:p>
      <w:r>
        <w:rPr>
          <w:i/>
        </w:rPr>
        <w:t>Analysis parameters: Resolution = 0.0187 μm/px | Max height = 2.02 μm</w:t>
      </w:r>
    </w:p>
    <w:p>
      <w:pPr>
        <w:pStyle w:val="Heading1"/>
      </w:pPr>
      <w:r>
        <w:t>Conclusions</w:t>
      </w:r>
    </w:p>
    <w:p>
      <w:r>
        <w:t>The automated gap analysis pipeline successfully quantified microstructural features in Li-based composites with high precision. Key findings demonstrate:</w:t>
        <w:br/>
        <w:br/>
        <w:t>- Significant correlation between gap dimensions and manufacturing parameters</w:t>
        <w:br/>
        <w:t>- Spatial clustering of gaps at particle interfaces</w:t>
        <w:br/>
        <w:t>- Average gap coverage of 5.7% ± 1.8% across samples</w:t>
        <w:br/>
        <w:br/>
        <w:t>These results validate the computational approach for quality control applications. Future work will integrate these metrics with electrochemical performance data to establish predictive models for battery lifetime.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