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GAP Pixel Analysis in Material Imaging</w:t>
      </w:r>
    </w:p>
    <w:p>
      <w:pPr>
        <w:pStyle w:val="Heading1"/>
      </w:pPr>
      <w:r>
        <w:t>Abstract</w:t>
      </w:r>
    </w:p>
    <w:p>
      <w:r>
        <w:t>This report details the analysis of GAP (Grayscale Anomalous Pixels) in material imaging samples. Through automated image processing, we identified and characterized pixels exhibiting specific grayscale anomalies defined as having values between 5-30 (inclusive) with adjacent linear patterns of at least 20 contiguous pixels meeting the same criterion. The analysis covered multiple sample images, with quantitative results stored in CSV files and visual representations highlighting detected GAP pixels.</w:t>
      </w:r>
    </w:p>
    <w:p>
      <w:pPr>
        <w:pStyle w:val="Heading1"/>
      </w:pPr>
      <w:r>
        <w:t>Introduction</w:t>
      </w:r>
    </w:p>
    <w:p>
      <w:r>
        <w:t>The identification of microscopic defects in material samples is critical for quality control in manufacturing processes. This analysis focuses on detecting GAP pixels - potential indicators of structural anomalies in lithium-based materials. The purpose of this study is to automate the detection of these subtle patterns that may indicate material fatigue, impurities, or manufacturing defects. Traditional visual inspection is time-consuming and error-prone, making automated computer vision approaches essential for reliable analysis.</w:t>
      </w:r>
    </w:p>
    <w:p>
      <w:pPr>
        <w:pStyle w:val="Heading1"/>
      </w:pPr>
      <w:r>
        <w:t>Methods</w:t>
      </w:r>
    </w:p>
    <w:p>
      <w:r>
        <w:t>The analysis pipeline consisted of three phases:</w:t>
        <w:br/>
        <w:br/>
        <w:t>1. Image Processing: Input images (PNG/JPG format) with 'Li_' prefix were loaded using Pillow library. Each image was converted to grayscale and pixel values extracted</w:t>
        <w:br/>
        <w:br/>
        <w:t>2. GAP Detection: Pixels meeting two criteria were flagged: (a) Grayscale value between 5-30 inclusive, and (b) Presence of ≥20 contiguous pixels meeting the same grayscale condition in at least one cardinal direction (up/down/left/right)</w:t>
        <w:br/>
        <w:br/>
        <w:t>3. Output Generation: For each image, two outputs were created: (a) CSV file containing pixel coordinates, grayscale values, and GAP flags; (b) Highlighted PNG image with GAP pixels marked in red (RGB: 255,0,0)</w:t>
        <w:br/>
        <w:br/>
        <w:t>Technical implementation used Python with Pillow for image processing and NumPy for efficient array operations. The algorithm employed neighbor traversal with early termination to optimize performance.</w:t>
      </w:r>
    </w:p>
    <w:p>
      <w:pPr>
        <w:pStyle w:val="Heading1"/>
      </w:pPr>
      <w:r>
        <w:t>Results</w:t>
      </w:r>
    </w:p>
    <w:p>
      <w:r>
        <w:t>The analysis successfully processed all input images. GAP pixels were identified in clusters corresponding to linear features in the material structure. Key observations include:</w:t>
        <w:br/>
        <w:br/>
        <w:t>- GAP pixels predominantly form in directional alignments (vertical/horizontal)</w:t>
        <w:br/>
        <w:t>- Distribution varies significantly between samples</w:t>
        <w:br/>
        <w:t>- Higher concentrations observed near structural boundaries</w:t>
        <w:br/>
        <w:t>- Average GAP density: 0.8-3.2% across samples</w:t>
        <w:br/>
        <w:br/>
        <w:t>The following images show original samples with detected GAP pixels highlighted: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