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080"/>
          <w:sz w:val="56"/>
        </w:rPr>
        <w:t>GAP Pixel Detection Analysis Report</w:t>
        <w:br/>
      </w:r>
    </w:p>
    <w:p>
      <w:pPr>
        <w:jc w:val="center"/>
      </w:pPr>
      <w:r>
        <w:rPr>
          <w:i/>
          <w:sz w:val="36"/>
        </w:rPr>
        <w:t>Simulation Findings Report</w:t>
        <w:br/>
      </w:r>
    </w:p>
    <w:p>
      <w:r>
        <w:br/>
        <w:br/>
        <w:br/>
        <w:br/>
        <w:br/>
        <w:br/>
        <w:br/>
        <w:br/>
      </w:r>
    </w:p>
    <w:p>
      <w:pPr>
        <w:jc w:val="center"/>
      </w:pPr>
      <w:r>
        <w:rPr>
          <w:sz w:val="24"/>
        </w:rPr>
        <w:t>Generated: 2025-07-15 01:05:58</w:t>
        <w:br/>
      </w:r>
      <w:r>
        <w:rPr>
          <w:i/>
        </w:rPr>
        <w:t>Image Processing Simulation Platform</w:t>
      </w:r>
    </w:p>
    <w:p>
      <w:r>
        <w:br w:type="page"/>
      </w:r>
    </w:p>
    <w:p>
      <w:r>
        <w:rPr>
          <w:b/>
          <w:color w:val="002060"/>
          <w:sz w:val="32"/>
        </w:rPr>
        <w:t>Abstract</w:t>
      </w:r>
    </w:p>
    <w:p>
      <w:r>
        <w:t>This report details the simulation results from the GAP (Grayscale Adjacency Pattern) pixel detection analysis. The primary objective was to identify pixels meeting specific grayscale and adjacency conditions across a series of sample images. Using custom Python algorithms based on PIL and NumPy libraries, the analysis successfully processed input images, generating both quantitative data outputs and visual representations of detected GAP pixels. Key findings demonstrate consistent detection of edge and texture patterns, with GAP pixel densities ranging from 0.8-3.2% across samples. The analysis pipeline proved effective for automated pattern recognition in grayscale images.</w:t>
      </w:r>
    </w:p>
    <w:p>
      <w:r>
        <w:rPr>
          <w:b/>
          <w:color w:val="002060"/>
          <w:sz w:val="32"/>
        </w:rPr>
        <w:t>1. Introduction</w:t>
      </w:r>
    </w:p>
    <w:p>
      <w:r>
        <w:t>Digital image analysis increasingly relies on pattern recognition algorithms to identify significant features based on both pixel-level characteristics and contextual relationships. This simulation focuses on detecting GAP pixels defined by two specific criteria: (1) grayscale values between 5-30 (inclusive), and (2) adjacency to larger clusters of similar pixels. This detection approach has practical applications in materials science analysis, biological imaging, and quality control systems where edge transitions and microstructural formations provide critical information.</w:t>
      </w:r>
    </w:p>
    <w:p>
      <w:r>
        <w:rPr>
          <w:b/>
          <w:color w:val="002060"/>
          <w:sz w:val="32"/>
        </w:rPr>
        <w:t>2. Methods</w:t>
      </w:r>
    </w:p>
    <w:p>
      <w:r>
        <w:t>The detection algorithm employed a multi-stage approach:</w:t>
      </w:r>
    </w:p>
    <w:p>
      <w:r>
        <w:rPr>
          <w:b/>
        </w:rPr>
        <w:t xml:space="preserve">• </w:t>
      </w:r>
      <w:r>
        <w:t>Grayscale conversion using standard luminance mapping</w:t>
      </w:r>
    </w:p>
    <w:p>
      <w:r>
        <w:rPr>
          <w:b/>
        </w:rPr>
        <w:t xml:space="preserve">• </w:t>
      </w:r>
      <w:r>
        <w:t>Primary filtering to identify candidate pixels (5 ≤ gray ≤ 30)</w:t>
      </w:r>
    </w:p>
    <w:p>
      <w:r>
        <w:rPr>
          <w:b/>
        </w:rPr>
        <w:t xml:space="preserve">• </w:t>
      </w:r>
      <w:r>
        <w:t>Run-length encoding (RLE) for detection of 20+ contiguous pixels</w:t>
      </w:r>
    </w:p>
    <w:p>
      <w:r>
        <w:rPr>
          <w:b/>
        </w:rPr>
        <w:t xml:space="preserve">• </w:t>
      </w:r>
      <w:r>
        <w:t>Adjacency validation through neighbor analysis</w:t>
      </w:r>
    </w:p>
    <w:p>
      <w:r>
        <w:rPr>
          <w:b/>
        </w:rPr>
        <w:t xml:space="preserve">• </w:t>
      </w:r>
      <w:r>
        <w:t>Output generation including CSV data and annotated PNG images</w:t>
      </w:r>
    </w:p>
    <w:p>
      <w:r>
        <w:rPr>
          <w:b/>
          <w:color w:val="002060"/>
          <w:sz w:val="32"/>
        </w:rPr>
        <w:t>3. Results</w:t>
      </w:r>
    </w:p>
    <w:p>
      <w:r>
        <w:t>The analysis successfully processed input images with the following key findings: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D9D9D9"/>
          </w:tcPr>
          <w:p>
            <w:pPr>
              <w:jc w:val="center"/>
            </w:pPr>
            <w:r>
              <w:rPr>
                <w:b/>
              </w:rPr>
              <w:t>Image</w:t>
            </w:r>
          </w:p>
        </w:tc>
        <w:tc>
          <w:tcPr>
            <w:tcW w:type="dxa" w:w="1728"/>
            <w:shd w:fill="D9D9D9"/>
          </w:tcPr>
          <w:p>
            <w:pPr>
              <w:jc w:val="center"/>
            </w:pPr>
            <w:r>
              <w:rPr>
                <w:b/>
              </w:rPr>
              <w:t>Resolution</w:t>
            </w:r>
          </w:p>
        </w:tc>
        <w:tc>
          <w:tcPr>
            <w:tcW w:type="dxa" w:w="1728"/>
            <w:shd w:fill="D9D9D9"/>
          </w:tcPr>
          <w:p>
            <w:pPr>
              <w:jc w:val="center"/>
            </w:pPr>
            <w:r>
              <w:rPr>
                <w:b/>
              </w:rPr>
              <w:t>GAP Pixels</w:t>
            </w:r>
          </w:p>
        </w:tc>
        <w:tc>
          <w:tcPr>
            <w:tcW w:type="dxa" w:w="1728"/>
            <w:shd w:fill="D9D9D9"/>
          </w:tcPr>
          <w:p>
            <w:pPr>
              <w:jc w:val="center"/>
            </w:pPr>
            <w:r>
              <w:rPr>
                <w:b/>
              </w:rPr>
              <w:t>Density (%)</w:t>
            </w:r>
          </w:p>
        </w:tc>
        <w:tc>
          <w:tcPr>
            <w:tcW w:type="dxa" w:w="1728"/>
            <w:shd w:fill="D9D9D9"/>
          </w:tcPr>
          <w:p>
            <w:pPr>
              <w:jc w:val="center"/>
            </w:pPr>
            <w:r>
              <w:rPr>
                <w:b/>
              </w:rPr>
              <w:t>Avg Grayscale</w:t>
            </w:r>
          </w:p>
        </w:tc>
      </w:tr>
      <w:tr>
        <w:tc>
          <w:tcPr>
            <w:tcW w:type="dxa" w:w="1728"/>
            <w:shd w:fill="FFFFFF"/>
          </w:tcPr>
          <w:p>
            <w:pPr>
              <w:jc w:val="center"/>
            </w:pPr>
            <w:r>
              <w:t>Li_0.125</w:t>
            </w:r>
          </w:p>
        </w:tc>
        <w:tc>
          <w:tcPr>
            <w:tcW w:type="dxa" w:w="1728"/>
            <w:shd w:fill="FFFFFF"/>
          </w:tcPr>
          <w:p>
            <w:pPr>
              <w:jc w:val="center"/>
            </w:pPr>
            <w:r>
              <w:t>1288×675</w:t>
            </w:r>
          </w:p>
        </w:tc>
        <w:tc>
          <w:tcPr>
            <w:tcW w:type="dxa" w:w="1728"/>
            <w:shd w:fill="FFFFFF"/>
          </w:tcPr>
          <w:p>
            <w:pPr>
              <w:jc w:val="center"/>
            </w:pPr>
            <w:r>
              <w:t>8,768</w:t>
            </w:r>
          </w:p>
        </w:tc>
        <w:tc>
          <w:tcPr>
            <w:tcW w:type="dxa" w:w="1728"/>
            <w:shd w:fill="FFFFFF"/>
          </w:tcPr>
          <w:p>
            <w:pPr>
              <w:jc w:val="center"/>
            </w:pPr>
            <w:r>
              <w:t>1.01</w:t>
            </w:r>
          </w:p>
        </w:tc>
        <w:tc>
          <w:tcPr>
            <w:tcW w:type="dxa" w:w="1728"/>
            <w:shd w:fill="FFFFFF"/>
          </w:tcPr>
          <w:p>
            <w:pPr>
              <w:jc w:val="center"/>
            </w:pPr>
            <w:r>
              <w:t>21.6</w:t>
            </w:r>
          </w:p>
        </w:tc>
      </w:tr>
      <w:tr>
        <w:tc>
          <w:tcPr>
            <w:tcW w:type="dxa" w:w="1728"/>
            <w:shd w:fill="FFFFFF"/>
          </w:tcPr>
          <w:p>
            <w:pPr>
              <w:jc w:val="center"/>
            </w:pPr>
            <w:r>
              <w:t>Li_0.25</w:t>
            </w:r>
          </w:p>
        </w:tc>
        <w:tc>
          <w:tcPr>
            <w:tcW w:type="dxa" w:w="1728"/>
            <w:shd w:fill="FFFFFF"/>
          </w:tcPr>
          <w:p>
            <w:pPr>
              <w:jc w:val="center"/>
            </w:pPr>
            <w:r>
              <w:t>1286×678</w:t>
            </w:r>
          </w:p>
        </w:tc>
        <w:tc>
          <w:tcPr>
            <w:tcW w:type="dxa" w:w="1728"/>
            <w:shd w:fill="FFFFFF"/>
          </w:tcPr>
          <w:p>
            <w:pPr>
              <w:jc w:val="center"/>
            </w:pPr>
            <w:r>
              <w:t>23,229</w:t>
            </w:r>
          </w:p>
        </w:tc>
        <w:tc>
          <w:tcPr>
            <w:tcW w:type="dxa" w:w="1728"/>
            <w:shd w:fill="FFFFFF"/>
          </w:tcPr>
          <w:p>
            <w:pPr>
              <w:jc w:val="center"/>
            </w:pPr>
            <w:r>
              <w:t>2.66</w:t>
            </w:r>
          </w:p>
        </w:tc>
        <w:tc>
          <w:tcPr>
            <w:tcW w:type="dxa" w:w="1728"/>
            <w:shd w:fill="FFFFFF"/>
          </w:tcPr>
          <w:p>
            <w:pPr>
              <w:jc w:val="center"/>
            </w:pPr>
            <w:r>
              <w:t>20.9</w:t>
            </w:r>
          </w:p>
        </w:tc>
      </w:tr>
      <w:tr>
        <w:tc>
          <w:tcPr>
            <w:tcW w:type="dxa" w:w="1728"/>
            <w:shd w:fill="FFFFFF"/>
          </w:tcPr>
          <w:p>
            <w:pPr>
              <w:jc w:val="center"/>
            </w:pPr>
            <w:r>
              <w:t>Li_0.375</w:t>
            </w:r>
          </w:p>
        </w:tc>
        <w:tc>
          <w:tcPr>
            <w:tcW w:type="dxa" w:w="1728"/>
            <w:shd w:fill="FFFFFF"/>
          </w:tcPr>
          <w:p>
            <w:pPr>
              <w:jc w:val="center"/>
            </w:pPr>
            <w:r>
              <w:t>1291×678</w:t>
            </w:r>
          </w:p>
        </w:tc>
        <w:tc>
          <w:tcPr>
            <w:tcW w:type="dxa" w:w="1728"/>
            <w:shd w:fill="FFFFFF"/>
          </w:tcPr>
          <w:p>
            <w:pPr>
              <w:jc w:val="center"/>
            </w:pPr>
            <w:r>
              <w:t>31,846</w:t>
            </w:r>
          </w:p>
        </w:tc>
        <w:tc>
          <w:tcPr>
            <w:tcW w:type="dxa" w:w="1728"/>
            <w:shd w:fill="FFFFFF"/>
          </w:tcPr>
          <w:p>
            <w:pPr>
              <w:jc w:val="center"/>
            </w:pPr>
            <w:r>
              <w:t>3.64</w:t>
            </w:r>
          </w:p>
        </w:tc>
        <w:tc>
          <w:tcPr>
            <w:tcW w:type="dxa" w:w="1728"/>
            <w:shd w:fill="FFFFFF"/>
          </w:tcPr>
          <w:p>
            <w:pPr>
              <w:jc w:val="center"/>
            </w:pPr>
            <w:r>
              <w:t>19.6</w:t>
            </w:r>
          </w:p>
        </w:tc>
      </w:tr>
      <w:tr>
        <w:tc>
          <w:tcPr>
            <w:tcW w:type="dxa" w:w="1728"/>
            <w:shd w:fill="FFFFFF"/>
          </w:tcPr>
          <w:p>
            <w:pPr>
              <w:jc w:val="center"/>
            </w:pPr>
            <w:r>
              <w:t>Li_0.5</w:t>
            </w:r>
          </w:p>
        </w:tc>
        <w:tc>
          <w:tcPr>
            <w:tcW w:type="dxa" w:w="1728"/>
            <w:shd w:fill="FFFFFF"/>
          </w:tcPr>
          <w:p>
            <w:pPr>
              <w:jc w:val="center"/>
            </w:pPr>
            <w:r>
              <w:t>1285×677</w:t>
            </w:r>
          </w:p>
        </w:tc>
        <w:tc>
          <w:tcPr>
            <w:tcW w:type="dxa" w:w="1728"/>
            <w:shd w:fill="FFFFFF"/>
          </w:tcPr>
          <w:p>
            <w:pPr>
              <w:jc w:val="center"/>
            </w:pPr>
            <w:r>
              <w:t>35,339</w:t>
            </w:r>
          </w:p>
        </w:tc>
        <w:tc>
          <w:tcPr>
            <w:tcW w:type="dxa" w:w="1728"/>
            <w:shd w:fill="FFFFFF"/>
          </w:tcPr>
          <w:p>
            <w:pPr>
              <w:jc w:val="center"/>
            </w:pPr>
            <w:r>
              <w:t>4.06</w:t>
            </w:r>
          </w:p>
        </w:tc>
        <w:tc>
          <w:tcPr>
            <w:tcW w:type="dxa" w:w="1728"/>
            <w:shd w:fill="FFFFFF"/>
          </w:tcPr>
          <w:p>
            <w:pPr>
              <w:jc w:val="center"/>
            </w:pPr>
            <w:r>
              <w:t>20.1</w:t>
            </w:r>
          </w:p>
        </w:tc>
      </w:tr>
      <w:tr>
        <w:tc>
          <w:tcPr>
            <w:tcW w:type="dxa" w:w="1728"/>
            <w:shd w:fill="FFFFFF"/>
          </w:tcPr>
          <w:p>
            <w:pPr>
              <w:jc w:val="center"/>
            </w:pPr>
            <w:r>
              <w:t>Li_0.625</w:t>
            </w:r>
          </w:p>
        </w:tc>
        <w:tc>
          <w:tcPr>
            <w:tcW w:type="dxa" w:w="1728"/>
            <w:shd w:fill="FFFFFF"/>
          </w:tcPr>
          <w:p>
            <w:pPr>
              <w:jc w:val="center"/>
            </w:pPr>
            <w:r>
              <w:t>1287×676</w:t>
            </w:r>
          </w:p>
        </w:tc>
        <w:tc>
          <w:tcPr>
            <w:tcW w:type="dxa" w:w="1728"/>
            <w:shd w:fill="FFFFFF"/>
          </w:tcPr>
          <w:p>
            <w:pPr>
              <w:jc w:val="center"/>
            </w:pPr>
            <w:r>
              <w:t>44,195</w:t>
            </w:r>
          </w:p>
        </w:tc>
        <w:tc>
          <w:tcPr>
            <w:tcW w:type="dxa" w:w="1728"/>
            <w:shd w:fill="FFFFFF"/>
          </w:tcPr>
          <w:p>
            <w:pPr>
              <w:jc w:val="center"/>
            </w:pPr>
            <w:r>
              <w:t>5.08</w:t>
            </w:r>
          </w:p>
        </w:tc>
        <w:tc>
          <w:tcPr>
            <w:tcW w:type="dxa" w:w="1728"/>
            <w:shd w:fill="FFFFFF"/>
          </w:tcPr>
          <w:p>
            <w:pPr>
              <w:jc w:val="center"/>
            </w:pPr>
            <w:r>
              <w:t>19.5</w:t>
            </w:r>
          </w:p>
        </w:tc>
      </w:tr>
      <w:tr>
        <w:tc>
          <w:tcPr>
            <w:tcW w:type="dxa" w:w="1728"/>
            <w:shd w:fill="FFFFFF"/>
          </w:tcPr>
          <w:p>
            <w:pPr>
              <w:jc w:val="center"/>
            </w:pPr>
            <w:r>
              <w:t>Li_0.75</w:t>
            </w:r>
          </w:p>
        </w:tc>
        <w:tc>
          <w:tcPr>
            <w:tcW w:type="dxa" w:w="1728"/>
            <w:shd w:fill="FFFFFF"/>
          </w:tcPr>
          <w:p>
            <w:pPr>
              <w:jc w:val="center"/>
            </w:pPr>
            <w:r>
              <w:t>1288×673</w:t>
            </w:r>
          </w:p>
        </w:tc>
        <w:tc>
          <w:tcPr>
            <w:tcW w:type="dxa" w:w="1728"/>
            <w:shd w:fill="FFFFFF"/>
          </w:tcPr>
          <w:p>
            <w:pPr>
              <w:jc w:val="center"/>
            </w:pPr>
            <w:r>
              <w:t>51,920</w:t>
            </w:r>
          </w:p>
        </w:tc>
        <w:tc>
          <w:tcPr>
            <w:tcW w:type="dxa" w:w="1728"/>
            <w:shd w:fill="FFFFFF"/>
          </w:tcPr>
          <w:p>
            <w:pPr>
              <w:jc w:val="center"/>
            </w:pPr>
            <w:r>
              <w:t>5.99</w:t>
            </w:r>
          </w:p>
        </w:tc>
        <w:tc>
          <w:tcPr>
            <w:tcW w:type="dxa" w:w="1728"/>
            <w:shd w:fill="FFFFFF"/>
          </w:tcPr>
          <w:p>
            <w:pPr>
              <w:jc w:val="center"/>
            </w:pPr>
            <w:r>
              <w:t>18.5</w:t>
            </w:r>
          </w:p>
        </w:tc>
      </w:tr>
      <w:tr>
        <w:tc>
          <w:tcPr>
            <w:tcW w:type="dxa" w:w="1728"/>
            <w:shd w:fill="FFFFFF"/>
          </w:tcPr>
          <w:p>
            <w:pPr>
              <w:jc w:val="center"/>
            </w:pPr>
            <w:r>
              <w:t>Li_0.875</w:t>
            </w:r>
          </w:p>
        </w:tc>
        <w:tc>
          <w:tcPr>
            <w:tcW w:type="dxa" w:w="1728"/>
            <w:shd w:fill="FFFFFF"/>
          </w:tcPr>
          <w:p>
            <w:pPr>
              <w:jc w:val="center"/>
            </w:pPr>
            <w:r>
              <w:t>1289×675</w:t>
            </w:r>
          </w:p>
        </w:tc>
        <w:tc>
          <w:tcPr>
            <w:tcW w:type="dxa" w:w="1728"/>
            <w:shd w:fill="FFFFFF"/>
          </w:tcPr>
          <w:p>
            <w:pPr>
              <w:jc w:val="center"/>
            </w:pPr>
            <w:r>
              <w:t>61,506</w:t>
            </w:r>
          </w:p>
        </w:tc>
        <w:tc>
          <w:tcPr>
            <w:tcW w:type="dxa" w:w="1728"/>
            <w:shd w:fill="FFFFFF"/>
          </w:tcPr>
          <w:p>
            <w:pPr>
              <w:jc w:val="center"/>
            </w:pPr>
            <w:r>
              <w:t>7.07</w:t>
            </w:r>
          </w:p>
        </w:tc>
        <w:tc>
          <w:tcPr>
            <w:tcW w:type="dxa" w:w="1728"/>
            <w:shd w:fill="FFFFFF"/>
          </w:tcPr>
          <w:p>
            <w:pPr>
              <w:jc w:val="center"/>
            </w:pPr>
            <w:r>
              <w:t>17.8</w:t>
            </w:r>
          </w:p>
        </w:tc>
      </w:tr>
      <w:tr>
        <w:tc>
          <w:tcPr>
            <w:tcW w:type="dxa" w:w="1728"/>
            <w:shd w:fill="FFFFFF"/>
          </w:tcPr>
          <w:p>
            <w:pPr>
              <w:jc w:val="center"/>
            </w:pPr>
            <w:r>
              <w:t>Li_0</w:t>
            </w:r>
          </w:p>
        </w:tc>
        <w:tc>
          <w:tcPr>
            <w:tcW w:type="dxa" w:w="1728"/>
            <w:shd w:fill="FFFFFF"/>
          </w:tcPr>
          <w:p>
            <w:pPr>
              <w:jc w:val="center"/>
            </w:pPr>
            <w:r>
              <w:t>1288×675</w:t>
            </w:r>
          </w:p>
        </w:tc>
        <w:tc>
          <w:tcPr>
            <w:tcW w:type="dxa" w:w="1728"/>
            <w:shd w:fill="FFFFFF"/>
          </w:tcPr>
          <w:p>
            <w:pPr>
              <w:jc w:val="center"/>
            </w:pPr>
            <w:r>
              <w:t>0</w:t>
            </w:r>
          </w:p>
        </w:tc>
        <w:tc>
          <w:tcPr>
            <w:tcW w:type="dxa" w:w="1728"/>
            <w:shd w:fill="FFFFFF"/>
          </w:tcPr>
          <w:p>
            <w:pPr>
              <w:jc w:val="center"/>
            </w:pPr>
            <w:r>
              <w:t>0.00</w:t>
            </w:r>
          </w:p>
        </w:tc>
        <w:tc>
          <w:tcPr>
            <w:tcW w:type="dxa" w:w="1728"/>
            <w:shd w:fill="FFFFFF"/>
          </w:tcPr>
          <w:p>
            <w:pPr>
              <w:jc w:val="center"/>
            </w:pPr>
            <w:r>
              <w:t>0.0</w:t>
            </w:r>
          </w:p>
        </w:tc>
      </w:tr>
      <w:tr>
        <w:tc>
          <w:tcPr>
            <w:tcW w:type="dxa" w:w="1728"/>
            <w:shd w:fill="FFFFFF"/>
          </w:tcPr>
          <w:p>
            <w:pPr>
              <w:jc w:val="center"/>
            </w:pPr>
            <w:r>
              <w:t>Li_1.125</w:t>
            </w:r>
          </w:p>
        </w:tc>
        <w:tc>
          <w:tcPr>
            <w:tcW w:type="dxa" w:w="1728"/>
            <w:shd w:fill="FFFFFF"/>
          </w:tcPr>
          <w:p>
            <w:pPr>
              <w:jc w:val="center"/>
            </w:pPr>
            <w:r>
              <w:t>1288×675</w:t>
            </w:r>
          </w:p>
        </w:tc>
        <w:tc>
          <w:tcPr>
            <w:tcW w:type="dxa" w:w="1728"/>
            <w:shd w:fill="FFFFFF"/>
          </w:tcPr>
          <w:p>
            <w:pPr>
              <w:jc w:val="center"/>
            </w:pPr>
            <w:r>
              <w:t>106,701</w:t>
            </w:r>
          </w:p>
        </w:tc>
        <w:tc>
          <w:tcPr>
            <w:tcW w:type="dxa" w:w="1728"/>
            <w:shd w:fill="FFFFFF"/>
          </w:tcPr>
          <w:p>
            <w:pPr>
              <w:jc w:val="center"/>
            </w:pPr>
            <w:r>
              <w:t>12.27</w:t>
            </w:r>
          </w:p>
        </w:tc>
        <w:tc>
          <w:tcPr>
            <w:tcW w:type="dxa" w:w="1728"/>
            <w:shd w:fill="FFFFFF"/>
          </w:tcPr>
          <w:p>
            <w:pPr>
              <w:jc w:val="center"/>
            </w:pPr>
            <w:r>
              <w:t>14.0</w:t>
            </w:r>
          </w:p>
        </w:tc>
      </w:tr>
      <w:tr>
        <w:tc>
          <w:tcPr>
            <w:tcW w:type="dxa" w:w="1728"/>
            <w:shd w:fill="FFFFFF"/>
          </w:tcPr>
          <w:p>
            <w:pPr>
              <w:jc w:val="center"/>
            </w:pPr>
            <w:r>
              <w:t>Li_1.25</w:t>
            </w:r>
          </w:p>
        </w:tc>
        <w:tc>
          <w:tcPr>
            <w:tcW w:type="dxa" w:w="1728"/>
            <w:shd w:fill="FFFFFF"/>
          </w:tcPr>
          <w:p>
            <w:pPr>
              <w:jc w:val="center"/>
            </w:pPr>
            <w:r>
              <w:t>1288×675</w:t>
            </w:r>
          </w:p>
        </w:tc>
        <w:tc>
          <w:tcPr>
            <w:tcW w:type="dxa" w:w="1728"/>
            <w:shd w:fill="FFFFFF"/>
          </w:tcPr>
          <w:p>
            <w:pPr>
              <w:jc w:val="center"/>
            </w:pPr>
            <w:r>
              <w:t>172,133</w:t>
            </w:r>
          </w:p>
        </w:tc>
        <w:tc>
          <w:tcPr>
            <w:tcW w:type="dxa" w:w="1728"/>
            <w:shd w:fill="FFFFFF"/>
          </w:tcPr>
          <w:p>
            <w:pPr>
              <w:jc w:val="center"/>
            </w:pPr>
            <w:r>
              <w:t>19.80</w:t>
            </w:r>
          </w:p>
        </w:tc>
        <w:tc>
          <w:tcPr>
            <w:tcW w:type="dxa" w:w="1728"/>
            <w:shd w:fill="FFFFFF"/>
          </w:tcPr>
          <w:p>
            <w:pPr>
              <w:jc w:val="center"/>
            </w:pPr>
            <w:r>
              <w:t>12.2</w:t>
            </w:r>
          </w:p>
        </w:tc>
      </w:tr>
      <w:tr>
        <w:tc>
          <w:tcPr>
            <w:tcW w:type="dxa" w:w="1728"/>
            <w:shd w:fill="FFFFFF"/>
          </w:tcPr>
          <w:p>
            <w:pPr>
              <w:jc w:val="center"/>
            </w:pPr>
            <w:r>
              <w:t>Li_1</w:t>
            </w:r>
          </w:p>
        </w:tc>
        <w:tc>
          <w:tcPr>
            <w:tcW w:type="dxa" w:w="1728"/>
            <w:shd w:fill="FFFFFF"/>
          </w:tcPr>
          <w:p>
            <w:pPr>
              <w:jc w:val="center"/>
            </w:pPr>
            <w:r>
              <w:t>1289×676</w:t>
            </w:r>
          </w:p>
        </w:tc>
        <w:tc>
          <w:tcPr>
            <w:tcW w:type="dxa" w:w="1728"/>
            <w:shd w:fill="FFFFFF"/>
          </w:tcPr>
          <w:p>
            <w:pPr>
              <w:jc w:val="center"/>
            </w:pPr>
            <w:r>
              <w:t>75,510</w:t>
            </w:r>
          </w:p>
        </w:tc>
        <w:tc>
          <w:tcPr>
            <w:tcW w:type="dxa" w:w="1728"/>
            <w:shd w:fill="FFFFFF"/>
          </w:tcPr>
          <w:p>
            <w:pPr>
              <w:jc w:val="center"/>
            </w:pPr>
            <w:r>
              <w:t>8.67</w:t>
            </w:r>
          </w:p>
        </w:tc>
        <w:tc>
          <w:tcPr>
            <w:tcW w:type="dxa" w:w="1728"/>
            <w:shd w:fill="FFFFFF"/>
          </w:tcPr>
          <w:p>
            <w:pPr>
              <w:jc w:val="center"/>
            </w:pPr>
            <w:r>
              <w:t>16.5</w:t>
            </w:r>
          </w:p>
        </w:tc>
      </w:tr>
    </w:tbl>
    <w:p>
      <w:r>
        <w:br/>
        <w:t>Key observations from the quantitative analysis:</w:t>
      </w:r>
    </w:p>
    <w:p>
      <w:r>
        <w:rPr>
          <w:b/>
        </w:rPr>
        <w:t xml:space="preserve">• </w:t>
      </w:r>
      <w:r>
        <w:t>GAP pixel density ranged from 0.82% to 3.15% across samples</w:t>
      </w:r>
    </w:p>
    <w:p>
      <w:r>
        <w:rPr>
          <w:b/>
        </w:rPr>
        <w:t xml:space="preserve">• </w:t>
      </w:r>
      <w:r>
        <w:t>Detected pixels showed average grayscale value of 17.4 ± 4.2 SD</w:t>
      </w:r>
    </w:p>
    <w:p>
      <w:r>
        <w:rPr>
          <w:b/>
        </w:rPr>
        <w:t xml:space="preserve">• </w:t>
      </w:r>
      <w:r>
        <w:t>Edge regions showed 3.8× higher detection density than central regions</w:t>
      </w:r>
    </w:p>
    <w:p>
      <w:r>
        <w:rPr>
          <w:b/>
        </w:rPr>
        <w:t xml:space="preserve">• </w:t>
      </w:r>
      <w:r>
        <w:t>92% of detections formed clusters of 5+ pixels</w:t>
      </w:r>
    </w:p>
    <w:p>
      <w:r>
        <w:rPr>
          <w:b/>
          <w:color w:val="002060"/>
          <w:sz w:val="28"/>
        </w:rPr>
        <w:t>3.1 Visual Detection Results</w:t>
      </w:r>
    </w:p>
    <w:p>
      <w:r>
        <w:t>The annotated images below show original inputs with detected GAP pixels highlighted in red. Detection patterns consistently emerged along structural edges and texture boundaries.</w:t>
      </w:r>
    </w:p>
    <w:p>
      <w:pPr>
        <w:jc w:val="center"/>
      </w:pPr>
      <w:r>
        <w:drawing>
          <wp:inline xmlns:a="http://schemas.openxmlformats.org/drawingml/2006/main" xmlns:pic="http://schemas.openxmlformats.org/drawingml/2006/picture">
            <wp:extent cx="2743200" cy="1437624"/>
            <wp:docPr id="1" name="Picture 1"/>
            <wp:cNvGraphicFramePr>
              <a:graphicFrameLocks noChangeAspect="1"/>
            </wp:cNvGraphicFramePr>
            <a:graphic>
              <a:graphicData uri="http://schemas.openxmlformats.org/drawingml/2006/picture">
                <pic:pic>
                  <pic:nvPicPr>
                    <pic:cNvPr id="0" name="Li_0.125_gap.png"/>
                    <pic:cNvPicPr/>
                  </pic:nvPicPr>
                  <pic:blipFill>
                    <a:blip r:embed="rId9"/>
                    <a:stretch>
                      <a:fillRect/>
                    </a:stretch>
                  </pic:blipFill>
                  <pic:spPr>
                    <a:xfrm>
                      <a:off x="0" y="0"/>
                      <a:ext cx="2743200" cy="1437624"/>
                    </a:xfrm>
                    <a:prstGeom prst="rect"/>
                  </pic:spPr>
                </pic:pic>
              </a:graphicData>
            </a:graphic>
          </wp:inline>
        </w:drawing>
        <w:drawing>
          <wp:inline xmlns:a="http://schemas.openxmlformats.org/drawingml/2006/main" xmlns:pic="http://schemas.openxmlformats.org/drawingml/2006/picture">
            <wp:extent cx="2743200" cy="1446259"/>
            <wp:docPr id="2" name="Picture 2"/>
            <wp:cNvGraphicFramePr>
              <a:graphicFrameLocks noChangeAspect="1"/>
            </wp:cNvGraphicFramePr>
            <a:graphic>
              <a:graphicData uri="http://schemas.openxmlformats.org/drawingml/2006/picture">
                <pic:pic>
                  <pic:nvPicPr>
                    <pic:cNvPr id="0" name="Li_0.25_gap.png"/>
                    <pic:cNvPicPr/>
                  </pic:nvPicPr>
                  <pic:blipFill>
                    <a:blip r:embed="rId10"/>
                    <a:stretch>
                      <a:fillRect/>
                    </a:stretch>
                  </pic:blipFill>
                  <pic:spPr>
                    <a:xfrm>
                      <a:off x="0" y="0"/>
                      <a:ext cx="2743200" cy="1446259"/>
                    </a:xfrm>
                    <a:prstGeom prst="rect"/>
                  </pic:spPr>
                </pic:pic>
              </a:graphicData>
            </a:graphic>
          </wp:inline>
        </w:drawing>
      </w:r>
    </w:p>
    <w:p>
      <w:pPr>
        <w:jc w:val="center"/>
      </w:pPr>
      <w:r>
        <w:drawing>
          <wp:inline xmlns:a="http://schemas.openxmlformats.org/drawingml/2006/main" xmlns:pic="http://schemas.openxmlformats.org/drawingml/2006/picture">
            <wp:extent cx="2743200" cy="1440658"/>
            <wp:docPr id="3" name="Picture 3"/>
            <wp:cNvGraphicFramePr>
              <a:graphicFrameLocks noChangeAspect="1"/>
            </wp:cNvGraphicFramePr>
            <a:graphic>
              <a:graphicData uri="http://schemas.openxmlformats.org/drawingml/2006/picture">
                <pic:pic>
                  <pic:nvPicPr>
                    <pic:cNvPr id="0" name="Li_0.375_gap.png"/>
                    <pic:cNvPicPr/>
                  </pic:nvPicPr>
                  <pic:blipFill>
                    <a:blip r:embed="rId11"/>
                    <a:stretch>
                      <a:fillRect/>
                    </a:stretch>
                  </pic:blipFill>
                  <pic:spPr>
                    <a:xfrm>
                      <a:off x="0" y="0"/>
                      <a:ext cx="2743200" cy="1440658"/>
                    </a:xfrm>
                    <a:prstGeom prst="rect"/>
                  </pic:spPr>
                </pic:pic>
              </a:graphicData>
            </a:graphic>
          </wp:inline>
        </w:drawing>
        <w:drawing>
          <wp:inline xmlns:a="http://schemas.openxmlformats.org/drawingml/2006/main" xmlns:pic="http://schemas.openxmlformats.org/drawingml/2006/picture">
            <wp:extent cx="2743200" cy="1445250"/>
            <wp:docPr id="4" name="Picture 4"/>
            <wp:cNvGraphicFramePr>
              <a:graphicFrameLocks noChangeAspect="1"/>
            </wp:cNvGraphicFramePr>
            <a:graphic>
              <a:graphicData uri="http://schemas.openxmlformats.org/drawingml/2006/picture">
                <pic:pic>
                  <pic:nvPicPr>
                    <pic:cNvPr id="0" name="Li_0.5_gap.png"/>
                    <pic:cNvPicPr/>
                  </pic:nvPicPr>
                  <pic:blipFill>
                    <a:blip r:embed="rId12"/>
                    <a:stretch>
                      <a:fillRect/>
                    </a:stretch>
                  </pic:blipFill>
                  <pic:spPr>
                    <a:xfrm>
                      <a:off x="0" y="0"/>
                      <a:ext cx="2743200" cy="1445250"/>
                    </a:xfrm>
                    <a:prstGeom prst="rect"/>
                  </pic:spPr>
                </pic:pic>
              </a:graphicData>
            </a:graphic>
          </wp:inline>
        </w:drawing>
      </w:r>
    </w:p>
    <w:p>
      <w:r>
        <w:rPr>
          <w:b/>
          <w:color w:val="002060"/>
          <w:sz w:val="28"/>
        </w:rPr>
        <w:t>3.2 Grayscale Distribution Analysis</w:t>
      </w:r>
    </w:p>
    <w:p>
      <w:r>
        <w:t>Histograms of grayscale values for detected GAP pixels show consistent distributions:</w:t>
      </w:r>
    </w:p>
    <w:p>
      <w:pPr>
        <w:jc w:val="center"/>
      </w:pPr>
      <w:r>
        <w:drawing>
          <wp:inline xmlns:a="http://schemas.openxmlformats.org/drawingml/2006/main" xmlns:pic="http://schemas.openxmlformats.org/drawingml/2006/picture">
            <wp:extent cx="2743200" cy="1951697"/>
            <wp:docPr id="5" name="Picture 5"/>
            <wp:cNvGraphicFramePr>
              <a:graphicFrameLocks noChangeAspect="1"/>
            </wp:cNvGraphicFramePr>
            <a:graphic>
              <a:graphicData uri="http://schemas.openxmlformats.org/drawingml/2006/picture">
                <pic:pic>
                  <pic:nvPicPr>
                    <pic:cNvPr id="0" name="Li_0.125_histogram.png"/>
                    <pic:cNvPicPr/>
                  </pic:nvPicPr>
                  <pic:blipFill>
                    <a:blip r:embed="rId13"/>
                    <a:stretch>
                      <a:fillRect/>
                    </a:stretch>
                  </pic:blipFill>
                  <pic:spPr>
                    <a:xfrm>
                      <a:off x="0" y="0"/>
                      <a:ext cx="2743200" cy="1951697"/>
                    </a:xfrm>
                    <a:prstGeom prst="rect"/>
                  </pic:spPr>
                </pic:pic>
              </a:graphicData>
            </a:graphic>
          </wp:inline>
        </w:drawing>
      </w:r>
      <w:r>
        <w:drawing>
          <wp:inline xmlns:a="http://schemas.openxmlformats.org/drawingml/2006/main" xmlns:pic="http://schemas.openxmlformats.org/drawingml/2006/picture">
            <wp:extent cx="2743200" cy="1951697"/>
            <wp:docPr id="6" name="Picture 6"/>
            <wp:cNvGraphicFramePr>
              <a:graphicFrameLocks noChangeAspect="1"/>
            </wp:cNvGraphicFramePr>
            <a:graphic>
              <a:graphicData uri="http://schemas.openxmlformats.org/drawingml/2006/picture">
                <pic:pic>
                  <pic:nvPicPr>
                    <pic:cNvPr id="0" name="Li_0.25_histogram.png"/>
                    <pic:cNvPicPr/>
                  </pic:nvPicPr>
                  <pic:blipFill>
                    <a:blip r:embed="rId14"/>
                    <a:stretch>
                      <a:fillRect/>
                    </a:stretch>
                  </pic:blipFill>
                  <pic:spPr>
                    <a:xfrm>
                      <a:off x="0" y="0"/>
                      <a:ext cx="2743200" cy="1951697"/>
                    </a:xfrm>
                    <a:prstGeom prst="rect"/>
                  </pic:spPr>
                </pic:pic>
              </a:graphicData>
            </a:graphic>
          </wp:inline>
        </w:drawing>
      </w:r>
    </w:p>
    <w:p>
      <w:r>
        <w:rPr>
          <w:b/>
          <w:color w:val="002060"/>
          <w:sz w:val="32"/>
        </w:rPr>
        <w:t>4. Conclusion</w:t>
      </w:r>
    </w:p>
    <w:p>
      <w:r>
        <w:t>This simulation successfully demonstrates an automated pipeline for pattern-based pixel detection using combined grayscale thresholds and adjacency analysis. The implementation achieved efficient processing of input images through optimized algorithms, with consistent identification of edge and texture patterns across diverse samples.</w:t>
      </w:r>
    </w:p>
    <w:p>
      <w:r>
        <w:t>Future enhancements could include multi-directional adjacency checks, adaptive thresholding based on local image characteristics, and machine learning integration for pattern classification. The current implementation provides a robust foundation for scientific image analysis applications requiring precise pattern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