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171E21">
      <w:pPr>
        <w:pStyle w:val="31"/>
        <w:keepNext/>
        <w:spacing w:before="80" w:after="360"/>
        <w:jc w:val="center"/>
        <w:rPr>
          <w:rFonts w:hint="eastAsia" w:ascii="华文楷体" w:hAnsi="华文楷体" w:eastAsia="华文楷体" w:cs="华文楷体"/>
        </w:rPr>
      </w:pPr>
      <w:r>
        <w:rPr>
          <w:rFonts w:hint="eastAsia" w:ascii="华文楷体" w:hAnsi="华文楷体" w:eastAsia="华文楷体" w:cs="华文楷体"/>
          <w:b/>
          <w:color w:val="000000"/>
          <w:sz w:val="36"/>
        </w:rPr>
        <w:t>关于四份设备采购合同尾款未支付情况的说明</w:t>
      </w:r>
    </w:p>
    <w:p w14:paraId="00E13052">
      <w:pPr>
        <w:keepLines w:val="0"/>
        <w:spacing w:before="0" w:after="160" w:line="360" w:lineRule="auto"/>
        <w:ind w:firstLine="480"/>
        <w:jc w:val="both"/>
        <w:rPr>
          <w:rFonts w:hint="eastAsia" w:ascii="华文楷体" w:hAnsi="华文楷体" w:eastAsia="华文楷体" w:cs="华文楷体"/>
        </w:rPr>
      </w:pPr>
      <w:r>
        <w:rPr>
          <w:rFonts w:hint="eastAsia" w:ascii="华文楷体" w:hAnsi="华文楷体" w:eastAsia="华文楷体" w:cs="华文楷体"/>
          <w:b w:val="0"/>
          <w:color w:val="000000"/>
          <w:sz w:val="24"/>
        </w:rPr>
        <w:t>根据临近空间全高程环境多要素激光雷达探测平台项目设备采购合同的执行情况，现就四份设备采购合同尾款未支付情况说明如下。四份合同尚未支付尾款合计1,938万元，因2026年度内无法完成设备交付及验收，尚未达到合同约定的付款条件。</w:t>
      </w:r>
    </w:p>
    <w:p w14:paraId="6B9C5532">
      <w:pPr>
        <w:pStyle w:val="3"/>
        <w:keepNext/>
        <w:keepLines/>
        <w:spacing w:before="200" w:after="100"/>
        <w:rPr>
          <w:rFonts w:hint="eastAsia" w:ascii="华文楷体" w:hAnsi="华文楷体" w:eastAsia="华文楷体" w:cs="华文楷体"/>
        </w:rPr>
      </w:pPr>
      <w:r>
        <w:rPr>
          <w:rFonts w:hint="eastAsia" w:ascii="华文楷体" w:hAnsi="华文楷体" w:eastAsia="华文楷体" w:cs="华文楷体"/>
          <w:b/>
          <w:color w:val="000000"/>
          <w:sz w:val="24"/>
        </w:rPr>
        <w:t>一 合同付款情况</w:t>
      </w:r>
    </w:p>
    <w:p w14:paraId="7B1EA116">
      <w:pPr>
        <w:keepLines w:val="0"/>
        <w:spacing w:before="0" w:after="140" w:line="360" w:lineRule="auto"/>
        <w:ind w:firstLine="480"/>
        <w:jc w:val="both"/>
        <w:rPr>
          <w:rFonts w:hint="eastAsia" w:ascii="华文楷体" w:hAnsi="华文楷体" w:eastAsia="华文楷体" w:cs="华文楷体"/>
        </w:rPr>
      </w:pPr>
      <w:r>
        <w:rPr>
          <w:rFonts w:hint="eastAsia" w:ascii="华文楷体" w:hAnsi="华文楷体" w:eastAsia="华文楷体" w:cs="华文楷体"/>
          <w:b w:val="0"/>
          <w:color w:val="000000"/>
          <w:sz w:val="24"/>
        </w:rPr>
        <w:t>项目涉及临空探测雷达光学基础支撑系统、钠原子探测激光雷达、臭氧探测激光雷达和气象要素探测激光雷达系统四份采购合同。合同总金额合计3,230万元，已支付1,292万元，尚未支付尾款1,938万元，具体如下。</w:t>
      </w:r>
    </w:p>
    <w:tbl>
      <w:tblPr>
        <w:tblStyle w:val="32"/>
        <w:tblW w:w="0" w:type="auto"/>
        <w:jc w:val="center"/>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Layout w:type="fixed"/>
        <w:tblCellMar>
          <w:top w:w="0" w:type="dxa"/>
          <w:left w:w="108" w:type="dxa"/>
          <w:bottom w:w="0" w:type="dxa"/>
          <w:right w:w="108" w:type="dxa"/>
        </w:tblCellMar>
      </w:tblPr>
      <w:tblGrid>
        <w:gridCol w:w="691"/>
        <w:gridCol w:w="4579"/>
        <w:gridCol w:w="1267"/>
        <w:gridCol w:w="1123"/>
        <w:gridCol w:w="1440"/>
      </w:tblGrid>
      <w:tr w14:paraId="5692358F">
        <w:trPr>
          <w:tblHeader/>
          <w:jc w:val="center"/>
        </w:trPr>
        <w:tc>
          <w:tcPr>
            <w:tcW w:w="691" w:type="dxa"/>
            <w:shd w:val="clear" w:color="auto" w:fill="E7E6E6"/>
            <w:tcMar>
              <w:top w:w="105" w:type="dxa"/>
              <w:left w:w="90" w:type="dxa"/>
              <w:bottom w:w="105" w:type="dxa"/>
              <w:right w:w="90" w:type="dxa"/>
            </w:tcMar>
            <w:vAlign w:val="center"/>
          </w:tcPr>
          <w:p w14:paraId="0431D3BD">
            <w:pPr>
              <w:spacing w:before="0" w:after="0" w:line="252" w:lineRule="auto"/>
              <w:jc w:val="center"/>
              <w:rPr>
                <w:rFonts w:hint="eastAsia" w:ascii="华文楷体" w:hAnsi="华文楷体" w:eastAsia="华文楷体" w:cs="华文楷体"/>
              </w:rPr>
            </w:pPr>
            <w:r>
              <w:rPr>
                <w:rFonts w:hint="eastAsia" w:ascii="华文楷体" w:hAnsi="华文楷体" w:eastAsia="华文楷体" w:cs="华文楷体"/>
                <w:b/>
                <w:color w:val="000000"/>
                <w:sz w:val="20"/>
              </w:rPr>
              <w:t>序号</w:t>
            </w:r>
          </w:p>
        </w:tc>
        <w:tc>
          <w:tcPr>
            <w:tcW w:w="4579" w:type="dxa"/>
            <w:shd w:val="clear" w:color="auto" w:fill="E7E6E6"/>
            <w:tcMar>
              <w:top w:w="105" w:type="dxa"/>
              <w:left w:w="90" w:type="dxa"/>
              <w:bottom w:w="105" w:type="dxa"/>
              <w:right w:w="90" w:type="dxa"/>
            </w:tcMar>
            <w:vAlign w:val="center"/>
          </w:tcPr>
          <w:p w14:paraId="1395C6DE">
            <w:pPr>
              <w:spacing w:before="0" w:after="0" w:line="252" w:lineRule="auto"/>
              <w:jc w:val="center"/>
              <w:rPr>
                <w:rFonts w:hint="eastAsia" w:ascii="华文楷体" w:hAnsi="华文楷体" w:eastAsia="华文楷体" w:cs="华文楷体"/>
              </w:rPr>
            </w:pPr>
            <w:r>
              <w:rPr>
                <w:rFonts w:hint="eastAsia" w:ascii="华文楷体" w:hAnsi="华文楷体" w:eastAsia="华文楷体" w:cs="华文楷体"/>
                <w:b/>
                <w:color w:val="000000"/>
                <w:sz w:val="20"/>
              </w:rPr>
              <w:t>合同名称</w:t>
            </w:r>
          </w:p>
        </w:tc>
        <w:tc>
          <w:tcPr>
            <w:tcW w:w="1267" w:type="dxa"/>
            <w:shd w:val="clear" w:color="auto" w:fill="E7E6E6"/>
            <w:tcMar>
              <w:top w:w="105" w:type="dxa"/>
              <w:left w:w="90" w:type="dxa"/>
              <w:bottom w:w="105" w:type="dxa"/>
              <w:right w:w="90" w:type="dxa"/>
            </w:tcMar>
            <w:vAlign w:val="center"/>
          </w:tcPr>
          <w:p w14:paraId="2B7D3AEB">
            <w:pPr>
              <w:spacing w:before="0" w:after="0" w:line="252" w:lineRule="auto"/>
              <w:jc w:val="center"/>
              <w:rPr>
                <w:rFonts w:hint="eastAsia" w:ascii="华文楷体" w:hAnsi="华文楷体" w:eastAsia="华文楷体" w:cs="华文楷体"/>
              </w:rPr>
            </w:pPr>
            <w:r>
              <w:rPr>
                <w:rFonts w:hint="eastAsia" w:ascii="华文楷体" w:hAnsi="华文楷体" w:eastAsia="华文楷体" w:cs="华文楷体"/>
                <w:b/>
                <w:color w:val="000000"/>
                <w:sz w:val="20"/>
              </w:rPr>
              <w:t>合同金额</w:t>
            </w:r>
          </w:p>
        </w:tc>
        <w:tc>
          <w:tcPr>
            <w:tcW w:w="1123" w:type="dxa"/>
            <w:shd w:val="clear" w:color="auto" w:fill="E7E6E6"/>
            <w:tcMar>
              <w:top w:w="105" w:type="dxa"/>
              <w:left w:w="90" w:type="dxa"/>
              <w:bottom w:w="105" w:type="dxa"/>
              <w:right w:w="90" w:type="dxa"/>
            </w:tcMar>
            <w:vAlign w:val="center"/>
          </w:tcPr>
          <w:p w14:paraId="044B9903">
            <w:pPr>
              <w:spacing w:before="0" w:after="0" w:line="252" w:lineRule="auto"/>
              <w:jc w:val="center"/>
              <w:rPr>
                <w:rFonts w:hint="eastAsia" w:ascii="华文楷体" w:hAnsi="华文楷体" w:eastAsia="华文楷体" w:cs="华文楷体"/>
              </w:rPr>
            </w:pPr>
            <w:r>
              <w:rPr>
                <w:rFonts w:hint="eastAsia" w:ascii="华文楷体" w:hAnsi="华文楷体" w:eastAsia="华文楷体" w:cs="华文楷体"/>
                <w:b/>
                <w:color w:val="000000"/>
                <w:sz w:val="20"/>
              </w:rPr>
              <w:t>已支付</w:t>
            </w:r>
          </w:p>
        </w:tc>
        <w:tc>
          <w:tcPr>
            <w:tcW w:w="1440" w:type="dxa"/>
            <w:shd w:val="clear" w:color="auto" w:fill="E7E6E6"/>
            <w:tcMar>
              <w:top w:w="105" w:type="dxa"/>
              <w:left w:w="90" w:type="dxa"/>
              <w:bottom w:w="105" w:type="dxa"/>
              <w:right w:w="90" w:type="dxa"/>
            </w:tcMar>
            <w:vAlign w:val="center"/>
          </w:tcPr>
          <w:p w14:paraId="2D88D4E4">
            <w:pPr>
              <w:spacing w:before="0" w:after="0" w:line="252" w:lineRule="auto"/>
              <w:jc w:val="center"/>
              <w:rPr>
                <w:rFonts w:hint="eastAsia" w:ascii="华文楷体" w:hAnsi="华文楷体" w:eastAsia="华文楷体" w:cs="华文楷体"/>
              </w:rPr>
            </w:pPr>
            <w:r>
              <w:rPr>
                <w:rFonts w:hint="eastAsia" w:ascii="华文楷体" w:hAnsi="华文楷体" w:eastAsia="华文楷体" w:cs="华文楷体"/>
                <w:b/>
                <w:color w:val="000000"/>
                <w:sz w:val="20"/>
              </w:rPr>
              <w:t>未支付尾款</w:t>
            </w:r>
          </w:p>
        </w:tc>
      </w:tr>
      <w:tr w14:paraId="70FE728C">
        <w:trPr>
          <w:jc w:val="center"/>
        </w:trPr>
        <w:tc>
          <w:tcPr>
            <w:tcW w:w="691" w:type="dxa"/>
            <w:tcMar>
              <w:top w:w="100" w:type="dxa"/>
              <w:left w:w="90" w:type="dxa"/>
              <w:bottom w:w="100" w:type="dxa"/>
              <w:right w:w="90" w:type="dxa"/>
            </w:tcMar>
            <w:vAlign w:val="center"/>
          </w:tcPr>
          <w:p w14:paraId="3F2E4F66">
            <w:pPr>
              <w:spacing w:before="0" w:after="0" w:line="269" w:lineRule="auto"/>
              <w:jc w:val="center"/>
              <w:rPr>
                <w:rFonts w:hint="eastAsia" w:ascii="华文楷体" w:hAnsi="华文楷体" w:eastAsia="华文楷体" w:cs="华文楷体"/>
              </w:rPr>
            </w:pPr>
            <w:r>
              <w:rPr>
                <w:rFonts w:hint="eastAsia" w:ascii="华文楷体" w:hAnsi="华文楷体" w:eastAsia="华文楷体" w:cs="华文楷体"/>
                <w:b w:val="0"/>
                <w:color w:val="000000"/>
                <w:sz w:val="20"/>
              </w:rPr>
              <w:t>1</w:t>
            </w:r>
          </w:p>
        </w:tc>
        <w:tc>
          <w:tcPr>
            <w:tcW w:w="4579" w:type="dxa"/>
            <w:tcMar>
              <w:top w:w="100" w:type="dxa"/>
              <w:left w:w="90" w:type="dxa"/>
              <w:bottom w:w="100" w:type="dxa"/>
              <w:right w:w="90" w:type="dxa"/>
            </w:tcMar>
            <w:vAlign w:val="center"/>
          </w:tcPr>
          <w:p w14:paraId="3BE9A838">
            <w:pPr>
              <w:spacing w:before="0" w:after="0" w:line="269" w:lineRule="auto"/>
              <w:jc w:val="left"/>
              <w:rPr>
                <w:rFonts w:hint="eastAsia" w:ascii="华文楷体" w:hAnsi="华文楷体" w:eastAsia="华文楷体" w:cs="华文楷体"/>
              </w:rPr>
            </w:pPr>
            <w:r>
              <w:rPr>
                <w:rFonts w:hint="eastAsia" w:ascii="华文楷体" w:hAnsi="华文楷体" w:eastAsia="华文楷体" w:cs="华文楷体"/>
                <w:b w:val="0"/>
                <w:color w:val="000000"/>
                <w:sz w:val="20"/>
              </w:rPr>
              <w:t>临空探测雷达光学基础支撑系统</w:t>
            </w:r>
          </w:p>
        </w:tc>
        <w:tc>
          <w:tcPr>
            <w:tcW w:w="1267" w:type="dxa"/>
            <w:tcMar>
              <w:top w:w="100" w:type="dxa"/>
              <w:left w:w="90" w:type="dxa"/>
              <w:bottom w:w="100" w:type="dxa"/>
              <w:right w:w="90" w:type="dxa"/>
            </w:tcMar>
            <w:vAlign w:val="center"/>
          </w:tcPr>
          <w:p w14:paraId="602C71B4">
            <w:pPr>
              <w:spacing w:before="0" w:after="0" w:line="269" w:lineRule="auto"/>
              <w:jc w:val="center"/>
              <w:rPr>
                <w:rFonts w:hint="eastAsia" w:ascii="华文楷体" w:hAnsi="华文楷体" w:eastAsia="华文楷体" w:cs="华文楷体"/>
              </w:rPr>
            </w:pPr>
            <w:r>
              <w:rPr>
                <w:rFonts w:hint="eastAsia" w:ascii="华文楷体" w:hAnsi="华文楷体" w:eastAsia="华文楷体" w:cs="华文楷体"/>
                <w:b w:val="0"/>
                <w:color w:val="000000"/>
                <w:sz w:val="20"/>
              </w:rPr>
              <w:t>1,190</w:t>
            </w:r>
          </w:p>
        </w:tc>
        <w:tc>
          <w:tcPr>
            <w:tcW w:w="1123" w:type="dxa"/>
            <w:tcMar>
              <w:top w:w="100" w:type="dxa"/>
              <w:left w:w="90" w:type="dxa"/>
              <w:bottom w:w="100" w:type="dxa"/>
              <w:right w:w="90" w:type="dxa"/>
            </w:tcMar>
            <w:vAlign w:val="center"/>
          </w:tcPr>
          <w:p w14:paraId="108C857C">
            <w:pPr>
              <w:spacing w:before="0" w:after="0" w:line="269" w:lineRule="auto"/>
              <w:jc w:val="center"/>
              <w:rPr>
                <w:rFonts w:hint="eastAsia" w:ascii="华文楷体" w:hAnsi="华文楷体" w:eastAsia="华文楷体" w:cs="华文楷体"/>
              </w:rPr>
            </w:pPr>
            <w:r>
              <w:rPr>
                <w:rFonts w:hint="eastAsia" w:ascii="华文楷体" w:hAnsi="华文楷体" w:eastAsia="华文楷体" w:cs="华文楷体"/>
                <w:b w:val="0"/>
                <w:color w:val="000000"/>
                <w:sz w:val="20"/>
              </w:rPr>
              <w:t>476</w:t>
            </w:r>
          </w:p>
        </w:tc>
        <w:tc>
          <w:tcPr>
            <w:tcW w:w="1440" w:type="dxa"/>
            <w:tcMar>
              <w:top w:w="100" w:type="dxa"/>
              <w:left w:w="90" w:type="dxa"/>
              <w:bottom w:w="100" w:type="dxa"/>
              <w:right w:w="90" w:type="dxa"/>
            </w:tcMar>
            <w:vAlign w:val="center"/>
          </w:tcPr>
          <w:p w14:paraId="258C6E91">
            <w:pPr>
              <w:spacing w:before="0" w:after="0" w:line="269" w:lineRule="auto"/>
              <w:jc w:val="center"/>
              <w:rPr>
                <w:rFonts w:hint="eastAsia" w:ascii="华文楷体" w:hAnsi="华文楷体" w:eastAsia="华文楷体" w:cs="华文楷体"/>
              </w:rPr>
            </w:pPr>
            <w:r>
              <w:rPr>
                <w:rFonts w:hint="eastAsia" w:ascii="华文楷体" w:hAnsi="华文楷体" w:eastAsia="华文楷体" w:cs="华文楷体"/>
                <w:b w:val="0"/>
                <w:color w:val="000000"/>
                <w:sz w:val="20"/>
              </w:rPr>
              <w:t>714</w:t>
            </w:r>
          </w:p>
        </w:tc>
      </w:tr>
      <w:tr w14:paraId="72EBC145">
        <w:trPr>
          <w:jc w:val="center"/>
        </w:trPr>
        <w:tc>
          <w:tcPr>
            <w:tcW w:w="691" w:type="dxa"/>
            <w:tcMar>
              <w:top w:w="100" w:type="dxa"/>
              <w:left w:w="90" w:type="dxa"/>
              <w:bottom w:w="100" w:type="dxa"/>
              <w:right w:w="90" w:type="dxa"/>
            </w:tcMar>
            <w:vAlign w:val="center"/>
          </w:tcPr>
          <w:p w14:paraId="6D295D48">
            <w:pPr>
              <w:spacing w:before="0" w:after="0" w:line="269" w:lineRule="auto"/>
              <w:jc w:val="center"/>
              <w:rPr>
                <w:rFonts w:hint="eastAsia" w:ascii="华文楷体" w:hAnsi="华文楷体" w:eastAsia="华文楷体" w:cs="华文楷体"/>
              </w:rPr>
            </w:pPr>
            <w:r>
              <w:rPr>
                <w:rFonts w:hint="eastAsia" w:ascii="华文楷体" w:hAnsi="华文楷体" w:eastAsia="华文楷体" w:cs="华文楷体"/>
                <w:b w:val="0"/>
                <w:color w:val="000000"/>
                <w:sz w:val="20"/>
              </w:rPr>
              <w:t>2</w:t>
            </w:r>
          </w:p>
        </w:tc>
        <w:tc>
          <w:tcPr>
            <w:tcW w:w="4579" w:type="dxa"/>
            <w:tcMar>
              <w:top w:w="100" w:type="dxa"/>
              <w:left w:w="90" w:type="dxa"/>
              <w:bottom w:w="100" w:type="dxa"/>
              <w:right w:w="90" w:type="dxa"/>
            </w:tcMar>
            <w:vAlign w:val="center"/>
          </w:tcPr>
          <w:p w14:paraId="25A39BD2">
            <w:pPr>
              <w:spacing w:before="0" w:after="0" w:line="269" w:lineRule="auto"/>
              <w:jc w:val="left"/>
              <w:rPr>
                <w:rFonts w:hint="eastAsia" w:ascii="华文楷体" w:hAnsi="华文楷体" w:eastAsia="华文楷体" w:cs="华文楷体"/>
              </w:rPr>
            </w:pPr>
            <w:r>
              <w:rPr>
                <w:rFonts w:hint="eastAsia" w:ascii="华文楷体" w:hAnsi="华文楷体" w:eastAsia="华文楷体" w:cs="华文楷体"/>
                <w:b w:val="0"/>
                <w:color w:val="000000"/>
                <w:sz w:val="20"/>
              </w:rPr>
              <w:t>钠原子探测激光雷达</w:t>
            </w:r>
          </w:p>
        </w:tc>
        <w:tc>
          <w:tcPr>
            <w:tcW w:w="1267" w:type="dxa"/>
            <w:tcMar>
              <w:top w:w="100" w:type="dxa"/>
              <w:left w:w="90" w:type="dxa"/>
              <w:bottom w:w="100" w:type="dxa"/>
              <w:right w:w="90" w:type="dxa"/>
            </w:tcMar>
            <w:vAlign w:val="center"/>
          </w:tcPr>
          <w:p w14:paraId="737738D2">
            <w:pPr>
              <w:spacing w:before="0" w:after="0" w:line="269" w:lineRule="auto"/>
              <w:jc w:val="center"/>
              <w:rPr>
                <w:rFonts w:hint="eastAsia" w:ascii="华文楷体" w:hAnsi="华文楷体" w:eastAsia="华文楷体" w:cs="华文楷体"/>
              </w:rPr>
            </w:pPr>
            <w:r>
              <w:rPr>
                <w:rFonts w:hint="eastAsia" w:ascii="华文楷体" w:hAnsi="华文楷体" w:eastAsia="华文楷体" w:cs="华文楷体"/>
                <w:b w:val="0"/>
                <w:color w:val="000000"/>
                <w:sz w:val="20"/>
              </w:rPr>
              <w:t>780</w:t>
            </w:r>
          </w:p>
        </w:tc>
        <w:tc>
          <w:tcPr>
            <w:tcW w:w="1123" w:type="dxa"/>
            <w:tcMar>
              <w:top w:w="100" w:type="dxa"/>
              <w:left w:w="90" w:type="dxa"/>
              <w:bottom w:w="100" w:type="dxa"/>
              <w:right w:w="90" w:type="dxa"/>
            </w:tcMar>
            <w:vAlign w:val="center"/>
          </w:tcPr>
          <w:p w14:paraId="50938CA5">
            <w:pPr>
              <w:spacing w:before="0" w:after="0" w:line="269" w:lineRule="auto"/>
              <w:jc w:val="center"/>
              <w:rPr>
                <w:rFonts w:hint="eastAsia" w:ascii="华文楷体" w:hAnsi="华文楷体" w:eastAsia="华文楷体" w:cs="华文楷体"/>
              </w:rPr>
            </w:pPr>
            <w:r>
              <w:rPr>
                <w:rFonts w:hint="eastAsia" w:ascii="华文楷体" w:hAnsi="华文楷体" w:eastAsia="华文楷体" w:cs="华文楷体"/>
                <w:b w:val="0"/>
                <w:color w:val="000000"/>
                <w:sz w:val="20"/>
              </w:rPr>
              <w:t>312</w:t>
            </w:r>
          </w:p>
        </w:tc>
        <w:tc>
          <w:tcPr>
            <w:tcW w:w="1440" w:type="dxa"/>
            <w:tcMar>
              <w:top w:w="100" w:type="dxa"/>
              <w:left w:w="90" w:type="dxa"/>
              <w:bottom w:w="100" w:type="dxa"/>
              <w:right w:w="90" w:type="dxa"/>
            </w:tcMar>
            <w:vAlign w:val="center"/>
          </w:tcPr>
          <w:p w14:paraId="3DDD81FF">
            <w:pPr>
              <w:spacing w:before="0" w:after="0" w:line="269" w:lineRule="auto"/>
              <w:jc w:val="center"/>
              <w:rPr>
                <w:rFonts w:hint="eastAsia" w:ascii="华文楷体" w:hAnsi="华文楷体" w:eastAsia="华文楷体" w:cs="华文楷体"/>
              </w:rPr>
            </w:pPr>
            <w:r>
              <w:rPr>
                <w:rFonts w:hint="eastAsia" w:ascii="华文楷体" w:hAnsi="华文楷体" w:eastAsia="华文楷体" w:cs="华文楷体"/>
                <w:b w:val="0"/>
                <w:color w:val="000000"/>
                <w:sz w:val="20"/>
              </w:rPr>
              <w:t>468</w:t>
            </w:r>
          </w:p>
        </w:tc>
      </w:tr>
      <w:tr w14:paraId="70D96A85">
        <w:trPr>
          <w:jc w:val="center"/>
        </w:trPr>
        <w:tc>
          <w:tcPr>
            <w:tcW w:w="691" w:type="dxa"/>
            <w:tcMar>
              <w:top w:w="100" w:type="dxa"/>
              <w:left w:w="90" w:type="dxa"/>
              <w:bottom w:w="100" w:type="dxa"/>
              <w:right w:w="90" w:type="dxa"/>
            </w:tcMar>
            <w:vAlign w:val="center"/>
          </w:tcPr>
          <w:p w14:paraId="335DF595">
            <w:pPr>
              <w:spacing w:before="0" w:after="0" w:line="269" w:lineRule="auto"/>
              <w:jc w:val="center"/>
              <w:rPr>
                <w:rFonts w:hint="eastAsia" w:ascii="华文楷体" w:hAnsi="华文楷体" w:eastAsia="华文楷体" w:cs="华文楷体"/>
              </w:rPr>
            </w:pPr>
            <w:r>
              <w:rPr>
                <w:rFonts w:hint="eastAsia" w:ascii="华文楷体" w:hAnsi="华文楷体" w:eastAsia="华文楷体" w:cs="华文楷体"/>
                <w:b w:val="0"/>
                <w:color w:val="000000"/>
                <w:sz w:val="20"/>
              </w:rPr>
              <w:t>3</w:t>
            </w:r>
          </w:p>
        </w:tc>
        <w:tc>
          <w:tcPr>
            <w:tcW w:w="4579" w:type="dxa"/>
            <w:tcMar>
              <w:top w:w="100" w:type="dxa"/>
              <w:left w:w="90" w:type="dxa"/>
              <w:bottom w:w="100" w:type="dxa"/>
              <w:right w:w="90" w:type="dxa"/>
            </w:tcMar>
            <w:vAlign w:val="center"/>
          </w:tcPr>
          <w:p w14:paraId="6CA81257">
            <w:pPr>
              <w:spacing w:before="0" w:after="0" w:line="269" w:lineRule="auto"/>
              <w:jc w:val="left"/>
              <w:rPr>
                <w:rFonts w:hint="eastAsia" w:ascii="华文楷体" w:hAnsi="华文楷体" w:eastAsia="华文楷体" w:cs="华文楷体"/>
              </w:rPr>
            </w:pPr>
            <w:r>
              <w:rPr>
                <w:rFonts w:hint="eastAsia" w:ascii="华文楷体" w:hAnsi="华文楷体" w:eastAsia="华文楷体" w:cs="华文楷体"/>
                <w:b w:val="0"/>
                <w:color w:val="000000"/>
                <w:sz w:val="20"/>
              </w:rPr>
              <w:t>臭氧探测激光雷达</w:t>
            </w:r>
          </w:p>
        </w:tc>
        <w:tc>
          <w:tcPr>
            <w:tcW w:w="1267" w:type="dxa"/>
            <w:tcMar>
              <w:top w:w="100" w:type="dxa"/>
              <w:left w:w="90" w:type="dxa"/>
              <w:bottom w:w="100" w:type="dxa"/>
              <w:right w:w="90" w:type="dxa"/>
            </w:tcMar>
            <w:vAlign w:val="center"/>
          </w:tcPr>
          <w:p w14:paraId="45421BA3">
            <w:pPr>
              <w:spacing w:before="0" w:after="0" w:line="269" w:lineRule="auto"/>
              <w:jc w:val="center"/>
              <w:rPr>
                <w:rFonts w:hint="eastAsia" w:ascii="华文楷体" w:hAnsi="华文楷体" w:eastAsia="华文楷体" w:cs="华文楷体"/>
              </w:rPr>
            </w:pPr>
            <w:r>
              <w:rPr>
                <w:rFonts w:hint="eastAsia" w:ascii="华文楷体" w:hAnsi="华文楷体" w:eastAsia="华文楷体" w:cs="华文楷体"/>
                <w:b w:val="0"/>
                <w:color w:val="000000"/>
                <w:sz w:val="20"/>
              </w:rPr>
              <w:t>540</w:t>
            </w:r>
          </w:p>
        </w:tc>
        <w:tc>
          <w:tcPr>
            <w:tcW w:w="1123" w:type="dxa"/>
            <w:tcMar>
              <w:top w:w="100" w:type="dxa"/>
              <w:left w:w="90" w:type="dxa"/>
              <w:bottom w:w="100" w:type="dxa"/>
              <w:right w:w="90" w:type="dxa"/>
            </w:tcMar>
            <w:vAlign w:val="center"/>
          </w:tcPr>
          <w:p w14:paraId="4513E810">
            <w:pPr>
              <w:spacing w:before="0" w:after="0" w:line="269" w:lineRule="auto"/>
              <w:jc w:val="center"/>
              <w:rPr>
                <w:rFonts w:hint="eastAsia" w:ascii="华文楷体" w:hAnsi="华文楷体" w:eastAsia="华文楷体" w:cs="华文楷体"/>
              </w:rPr>
            </w:pPr>
            <w:r>
              <w:rPr>
                <w:rFonts w:hint="eastAsia" w:ascii="华文楷体" w:hAnsi="华文楷体" w:eastAsia="华文楷体" w:cs="华文楷体"/>
                <w:b w:val="0"/>
                <w:color w:val="000000"/>
                <w:sz w:val="20"/>
              </w:rPr>
              <w:t>216</w:t>
            </w:r>
          </w:p>
        </w:tc>
        <w:tc>
          <w:tcPr>
            <w:tcW w:w="1440" w:type="dxa"/>
            <w:tcMar>
              <w:top w:w="100" w:type="dxa"/>
              <w:left w:w="90" w:type="dxa"/>
              <w:bottom w:w="100" w:type="dxa"/>
              <w:right w:w="90" w:type="dxa"/>
            </w:tcMar>
            <w:vAlign w:val="center"/>
          </w:tcPr>
          <w:p w14:paraId="63D121EA">
            <w:pPr>
              <w:spacing w:before="0" w:after="0" w:line="269" w:lineRule="auto"/>
              <w:jc w:val="center"/>
              <w:rPr>
                <w:rFonts w:hint="eastAsia" w:ascii="华文楷体" w:hAnsi="华文楷体" w:eastAsia="华文楷体" w:cs="华文楷体"/>
              </w:rPr>
            </w:pPr>
            <w:r>
              <w:rPr>
                <w:rFonts w:hint="eastAsia" w:ascii="华文楷体" w:hAnsi="华文楷体" w:eastAsia="华文楷体" w:cs="华文楷体"/>
                <w:b w:val="0"/>
                <w:color w:val="000000"/>
                <w:sz w:val="20"/>
              </w:rPr>
              <w:t>324</w:t>
            </w:r>
          </w:p>
        </w:tc>
      </w:tr>
      <w:tr w14:paraId="55822F91">
        <w:trPr>
          <w:jc w:val="center"/>
        </w:trPr>
        <w:tc>
          <w:tcPr>
            <w:tcW w:w="691" w:type="dxa"/>
            <w:tcMar>
              <w:top w:w="100" w:type="dxa"/>
              <w:left w:w="90" w:type="dxa"/>
              <w:bottom w:w="100" w:type="dxa"/>
              <w:right w:w="90" w:type="dxa"/>
            </w:tcMar>
            <w:vAlign w:val="center"/>
          </w:tcPr>
          <w:p w14:paraId="3900BFD5">
            <w:pPr>
              <w:spacing w:before="0" w:after="0" w:line="269" w:lineRule="auto"/>
              <w:jc w:val="center"/>
              <w:rPr>
                <w:rFonts w:hint="eastAsia" w:ascii="华文楷体" w:hAnsi="华文楷体" w:eastAsia="华文楷体" w:cs="华文楷体"/>
              </w:rPr>
            </w:pPr>
            <w:r>
              <w:rPr>
                <w:rFonts w:hint="eastAsia" w:ascii="华文楷体" w:hAnsi="华文楷体" w:eastAsia="华文楷体" w:cs="华文楷体"/>
                <w:b w:val="0"/>
                <w:color w:val="000000"/>
                <w:sz w:val="20"/>
              </w:rPr>
              <w:t>4</w:t>
            </w:r>
          </w:p>
        </w:tc>
        <w:tc>
          <w:tcPr>
            <w:tcW w:w="4579" w:type="dxa"/>
            <w:tcMar>
              <w:top w:w="100" w:type="dxa"/>
              <w:left w:w="90" w:type="dxa"/>
              <w:bottom w:w="100" w:type="dxa"/>
              <w:right w:w="90" w:type="dxa"/>
            </w:tcMar>
            <w:vAlign w:val="center"/>
          </w:tcPr>
          <w:p w14:paraId="67F14C9E">
            <w:pPr>
              <w:spacing w:before="0" w:after="0" w:line="269" w:lineRule="auto"/>
              <w:jc w:val="left"/>
              <w:rPr>
                <w:rFonts w:hint="eastAsia" w:ascii="华文楷体" w:hAnsi="华文楷体" w:eastAsia="华文楷体" w:cs="华文楷体"/>
              </w:rPr>
            </w:pPr>
            <w:r>
              <w:rPr>
                <w:rFonts w:hint="eastAsia" w:ascii="华文楷体" w:hAnsi="华文楷体" w:eastAsia="华文楷体" w:cs="华文楷体"/>
                <w:b w:val="0"/>
                <w:color w:val="000000"/>
                <w:sz w:val="20"/>
              </w:rPr>
              <w:t>气象要素探测激光雷达系统</w:t>
            </w:r>
          </w:p>
        </w:tc>
        <w:tc>
          <w:tcPr>
            <w:tcW w:w="1267" w:type="dxa"/>
            <w:tcMar>
              <w:top w:w="100" w:type="dxa"/>
              <w:left w:w="90" w:type="dxa"/>
              <w:bottom w:w="100" w:type="dxa"/>
              <w:right w:w="90" w:type="dxa"/>
            </w:tcMar>
            <w:vAlign w:val="center"/>
          </w:tcPr>
          <w:p w14:paraId="1ED32F8E">
            <w:pPr>
              <w:spacing w:before="0" w:after="0" w:line="269" w:lineRule="auto"/>
              <w:jc w:val="center"/>
              <w:rPr>
                <w:rFonts w:hint="eastAsia" w:ascii="华文楷体" w:hAnsi="华文楷体" w:eastAsia="华文楷体" w:cs="华文楷体"/>
              </w:rPr>
            </w:pPr>
            <w:r>
              <w:rPr>
                <w:rFonts w:hint="eastAsia" w:ascii="华文楷体" w:hAnsi="华文楷体" w:eastAsia="华文楷体" w:cs="华文楷体"/>
                <w:b w:val="0"/>
                <w:color w:val="000000"/>
                <w:sz w:val="20"/>
              </w:rPr>
              <w:t>720</w:t>
            </w:r>
          </w:p>
        </w:tc>
        <w:tc>
          <w:tcPr>
            <w:tcW w:w="1123" w:type="dxa"/>
            <w:tcMar>
              <w:top w:w="100" w:type="dxa"/>
              <w:left w:w="90" w:type="dxa"/>
              <w:bottom w:w="100" w:type="dxa"/>
              <w:right w:w="90" w:type="dxa"/>
            </w:tcMar>
            <w:vAlign w:val="center"/>
          </w:tcPr>
          <w:p w14:paraId="563D61B9">
            <w:pPr>
              <w:spacing w:before="0" w:after="0" w:line="269" w:lineRule="auto"/>
              <w:jc w:val="center"/>
              <w:rPr>
                <w:rFonts w:hint="eastAsia" w:ascii="华文楷体" w:hAnsi="华文楷体" w:eastAsia="华文楷体" w:cs="华文楷体"/>
              </w:rPr>
            </w:pPr>
            <w:r>
              <w:rPr>
                <w:rFonts w:hint="eastAsia" w:ascii="华文楷体" w:hAnsi="华文楷体" w:eastAsia="华文楷体" w:cs="华文楷体"/>
                <w:b w:val="0"/>
                <w:color w:val="000000"/>
                <w:sz w:val="20"/>
              </w:rPr>
              <w:t>288</w:t>
            </w:r>
          </w:p>
        </w:tc>
        <w:tc>
          <w:tcPr>
            <w:tcW w:w="1440" w:type="dxa"/>
            <w:tcMar>
              <w:top w:w="100" w:type="dxa"/>
              <w:left w:w="90" w:type="dxa"/>
              <w:bottom w:w="100" w:type="dxa"/>
              <w:right w:w="90" w:type="dxa"/>
            </w:tcMar>
            <w:vAlign w:val="center"/>
          </w:tcPr>
          <w:p w14:paraId="31F8AF5E">
            <w:pPr>
              <w:spacing w:before="0" w:after="0" w:line="269" w:lineRule="auto"/>
              <w:jc w:val="center"/>
              <w:rPr>
                <w:rFonts w:hint="eastAsia" w:ascii="华文楷体" w:hAnsi="华文楷体" w:eastAsia="华文楷体" w:cs="华文楷体"/>
              </w:rPr>
            </w:pPr>
            <w:r>
              <w:rPr>
                <w:rFonts w:hint="eastAsia" w:ascii="华文楷体" w:hAnsi="华文楷体" w:eastAsia="华文楷体" w:cs="华文楷体"/>
                <w:b w:val="0"/>
                <w:color w:val="000000"/>
                <w:sz w:val="20"/>
              </w:rPr>
              <w:t>432</w:t>
            </w:r>
          </w:p>
        </w:tc>
      </w:tr>
      <w:tr w14:paraId="6D622F08">
        <w:trPr>
          <w:jc w:val="center"/>
        </w:trPr>
        <w:tc>
          <w:tcPr>
            <w:tcW w:w="691" w:type="dxa"/>
            <w:shd w:val="clear" w:color="auto" w:fill="F2F2F2"/>
            <w:tcMar>
              <w:top w:w="100" w:type="dxa"/>
              <w:left w:w="90" w:type="dxa"/>
              <w:bottom w:w="100" w:type="dxa"/>
              <w:right w:w="90" w:type="dxa"/>
            </w:tcMar>
            <w:vAlign w:val="center"/>
          </w:tcPr>
          <w:p w14:paraId="26A445BD">
            <w:pPr>
              <w:spacing w:before="0" w:after="0" w:line="269" w:lineRule="auto"/>
              <w:jc w:val="center"/>
              <w:rPr>
                <w:rFonts w:hint="eastAsia" w:ascii="华文楷体" w:hAnsi="华文楷体" w:eastAsia="华文楷体" w:cs="华文楷体"/>
              </w:rPr>
            </w:pPr>
          </w:p>
        </w:tc>
        <w:tc>
          <w:tcPr>
            <w:tcW w:w="4579" w:type="dxa"/>
            <w:shd w:val="clear" w:color="auto" w:fill="F2F2F2"/>
            <w:tcMar>
              <w:top w:w="100" w:type="dxa"/>
              <w:left w:w="90" w:type="dxa"/>
              <w:bottom w:w="100" w:type="dxa"/>
              <w:right w:w="90" w:type="dxa"/>
            </w:tcMar>
            <w:vAlign w:val="center"/>
          </w:tcPr>
          <w:p w14:paraId="6721AD5C">
            <w:pPr>
              <w:spacing w:before="0" w:after="0" w:line="269" w:lineRule="auto"/>
              <w:jc w:val="center"/>
              <w:rPr>
                <w:rFonts w:hint="eastAsia" w:ascii="华文楷体" w:hAnsi="华文楷体" w:eastAsia="华文楷体" w:cs="华文楷体"/>
              </w:rPr>
            </w:pPr>
            <w:r>
              <w:rPr>
                <w:rFonts w:hint="eastAsia" w:ascii="华文楷体" w:hAnsi="华文楷体" w:eastAsia="华文楷体" w:cs="华文楷体"/>
                <w:b/>
                <w:color w:val="000000"/>
                <w:sz w:val="20"/>
              </w:rPr>
              <w:t>合计</w:t>
            </w:r>
          </w:p>
        </w:tc>
        <w:tc>
          <w:tcPr>
            <w:tcW w:w="1267" w:type="dxa"/>
            <w:shd w:val="clear" w:color="auto" w:fill="F2F2F2"/>
            <w:tcMar>
              <w:top w:w="100" w:type="dxa"/>
              <w:left w:w="90" w:type="dxa"/>
              <w:bottom w:w="100" w:type="dxa"/>
              <w:right w:w="90" w:type="dxa"/>
            </w:tcMar>
            <w:vAlign w:val="center"/>
          </w:tcPr>
          <w:p w14:paraId="24F55B4E">
            <w:pPr>
              <w:spacing w:before="0" w:after="0" w:line="269" w:lineRule="auto"/>
              <w:jc w:val="center"/>
              <w:rPr>
                <w:rFonts w:hint="eastAsia" w:ascii="华文楷体" w:hAnsi="华文楷体" w:eastAsia="华文楷体" w:cs="华文楷体"/>
              </w:rPr>
            </w:pPr>
            <w:r>
              <w:rPr>
                <w:rFonts w:hint="eastAsia" w:ascii="华文楷体" w:hAnsi="华文楷体" w:eastAsia="华文楷体" w:cs="华文楷体"/>
                <w:b/>
                <w:color w:val="000000"/>
                <w:sz w:val="20"/>
              </w:rPr>
              <w:t>3,230</w:t>
            </w:r>
          </w:p>
        </w:tc>
        <w:tc>
          <w:tcPr>
            <w:tcW w:w="1123" w:type="dxa"/>
            <w:shd w:val="clear" w:color="auto" w:fill="F2F2F2"/>
            <w:tcMar>
              <w:top w:w="100" w:type="dxa"/>
              <w:left w:w="90" w:type="dxa"/>
              <w:bottom w:w="100" w:type="dxa"/>
              <w:right w:w="90" w:type="dxa"/>
            </w:tcMar>
            <w:vAlign w:val="center"/>
          </w:tcPr>
          <w:p w14:paraId="4F04154B">
            <w:pPr>
              <w:spacing w:before="0" w:after="0" w:line="269" w:lineRule="auto"/>
              <w:jc w:val="center"/>
              <w:rPr>
                <w:rFonts w:hint="eastAsia" w:ascii="华文楷体" w:hAnsi="华文楷体" w:eastAsia="华文楷体" w:cs="华文楷体"/>
              </w:rPr>
            </w:pPr>
            <w:r>
              <w:rPr>
                <w:rFonts w:hint="eastAsia" w:ascii="华文楷体" w:hAnsi="华文楷体" w:eastAsia="华文楷体" w:cs="华文楷体"/>
                <w:b/>
                <w:color w:val="000000"/>
                <w:sz w:val="20"/>
              </w:rPr>
              <w:t>1,292</w:t>
            </w:r>
          </w:p>
        </w:tc>
        <w:tc>
          <w:tcPr>
            <w:tcW w:w="1440" w:type="dxa"/>
            <w:shd w:val="clear" w:color="auto" w:fill="F2F2F2"/>
            <w:tcMar>
              <w:top w:w="100" w:type="dxa"/>
              <w:left w:w="90" w:type="dxa"/>
              <w:bottom w:w="100" w:type="dxa"/>
              <w:right w:w="90" w:type="dxa"/>
            </w:tcMar>
            <w:vAlign w:val="center"/>
          </w:tcPr>
          <w:p w14:paraId="526D8040">
            <w:pPr>
              <w:spacing w:before="0" w:after="0" w:line="269" w:lineRule="auto"/>
              <w:jc w:val="center"/>
              <w:rPr>
                <w:rFonts w:hint="eastAsia" w:ascii="华文楷体" w:hAnsi="华文楷体" w:eastAsia="华文楷体" w:cs="华文楷体"/>
              </w:rPr>
            </w:pPr>
            <w:r>
              <w:rPr>
                <w:rFonts w:hint="eastAsia" w:ascii="华文楷体" w:hAnsi="华文楷体" w:eastAsia="华文楷体" w:cs="华文楷体"/>
                <w:b/>
                <w:color w:val="000000"/>
                <w:sz w:val="20"/>
              </w:rPr>
              <w:t>1,938</w:t>
            </w:r>
          </w:p>
        </w:tc>
      </w:tr>
    </w:tbl>
    <w:p w14:paraId="1A2BA1EE">
      <w:pPr>
        <w:spacing w:before="140" w:after="160" w:line="360" w:lineRule="auto"/>
        <w:jc w:val="both"/>
        <w:rPr>
          <w:rFonts w:hint="eastAsia" w:ascii="华文楷体" w:hAnsi="华文楷体" w:eastAsia="华文楷体" w:cs="华文楷体"/>
        </w:rPr>
      </w:pPr>
      <w:r>
        <w:rPr>
          <w:rFonts w:hint="eastAsia" w:ascii="华文楷体" w:hAnsi="华文楷体" w:eastAsia="华文楷体" w:cs="华文楷体"/>
          <w:b/>
          <w:color w:val="000000"/>
          <w:sz w:val="21"/>
        </w:rPr>
        <w:t>注：</w:t>
      </w:r>
      <w:r>
        <w:rPr>
          <w:rFonts w:hint="eastAsia" w:ascii="华文楷体" w:hAnsi="华文楷体" w:eastAsia="华文楷体" w:cs="华文楷体"/>
          <w:b w:val="0"/>
          <w:color w:val="000000"/>
          <w:sz w:val="21"/>
        </w:rPr>
        <w:t>临空探测雷达光学基础支撑系统合同在经费申请表中拆分为前三项，即光学主镜、主镜筒机电结构、拼接基座及外框架。其中，光学主镜未支付426.45万元，主镜筒机电结构未支付267.96万元，拼接基座及外框架未支付19.59万元，合计714万元。</w:t>
      </w:r>
    </w:p>
    <w:p w14:paraId="08549B0B">
      <w:pPr>
        <w:pStyle w:val="3"/>
        <w:keepNext/>
        <w:keepLines/>
        <w:spacing w:before="200" w:after="100"/>
        <w:rPr>
          <w:rFonts w:hint="eastAsia" w:ascii="华文楷体" w:hAnsi="华文楷体" w:eastAsia="华文楷体" w:cs="华文楷体"/>
        </w:rPr>
      </w:pPr>
      <w:r>
        <w:rPr>
          <w:rFonts w:hint="eastAsia" w:ascii="华文楷体" w:hAnsi="华文楷体" w:eastAsia="华文楷体" w:cs="华文楷体"/>
          <w:b/>
          <w:color w:val="000000"/>
          <w:sz w:val="24"/>
        </w:rPr>
        <w:t>二 尾款未支付原因</w:t>
      </w:r>
    </w:p>
    <w:p w14:paraId="03D218CB">
      <w:pPr>
        <w:keepLines/>
        <w:spacing w:before="0" w:after="160" w:line="360" w:lineRule="auto"/>
        <w:ind w:firstLine="480"/>
        <w:jc w:val="both"/>
        <w:rPr>
          <w:rFonts w:hint="eastAsia" w:ascii="华文楷体" w:hAnsi="华文楷体" w:eastAsia="华文楷体" w:cs="华文楷体"/>
        </w:rPr>
      </w:pPr>
      <w:r>
        <w:rPr>
          <w:rFonts w:hint="eastAsia" w:ascii="华文楷体" w:hAnsi="华文楷体" w:eastAsia="华文楷体" w:cs="华文楷体"/>
          <w:b w:val="0"/>
          <w:color w:val="000000"/>
          <w:sz w:val="24"/>
        </w:rPr>
        <w:t>上述四份合同均于2025年12月7日签订。根据合同约定，临空探测雷达光学基础支撑系统应于2027年3月31日前完成货物交付、安装和调试；钠原子探测激光雷达、臭氧探测激光雷达和气象要素探测激光雷达系统的交货期均为合同签订之日起16个月内，交货周期延续至2027年4月。</w:t>
      </w:r>
    </w:p>
    <w:p w14:paraId="47767A04">
      <w:pPr>
        <w:keepLines w:val="0"/>
        <w:spacing w:before="0" w:after="160" w:line="360" w:lineRule="auto"/>
        <w:ind w:firstLine="480"/>
        <w:jc w:val="both"/>
        <w:rPr>
          <w:rFonts w:hint="eastAsia" w:ascii="华文楷体" w:hAnsi="华文楷体" w:eastAsia="华文楷体" w:cs="华文楷体"/>
        </w:rPr>
      </w:pPr>
      <w:r>
        <w:rPr>
          <w:rFonts w:hint="eastAsia" w:ascii="华文楷体" w:hAnsi="华文楷体" w:eastAsia="华文楷体" w:cs="华文楷体"/>
          <w:b w:val="0"/>
          <w:color w:val="000000"/>
          <w:sz w:val="24"/>
        </w:rPr>
        <w:t>同时，四份合同均约定，剩余60%的合同款须在设备完成交付、安装调试并验收合格后方可支付。由于上述设备在2026年度内无法完成交付、安装调试及验收，尚未达到合同约定的尾款支付条件，因此无法在2026年度完成尾款支付。上述未付款项属于合同尚未达到付款节点，并非逾期拖欠。</w:t>
      </w:r>
    </w:p>
    <w:p w14:paraId="7A74ECE8">
      <w:pPr>
        <w:pStyle w:val="3"/>
        <w:keepNext/>
        <w:keepLines/>
        <w:spacing w:before="200" w:after="100"/>
        <w:rPr>
          <w:rFonts w:hint="eastAsia" w:ascii="华文楷体" w:hAnsi="华文楷体" w:eastAsia="华文楷体" w:cs="华文楷体"/>
        </w:rPr>
      </w:pPr>
      <w:r>
        <w:rPr>
          <w:rFonts w:hint="eastAsia" w:ascii="华文楷体" w:hAnsi="华文楷体" w:eastAsia="华文楷体" w:cs="华文楷体"/>
          <w:b/>
          <w:color w:val="000000"/>
          <w:sz w:val="24"/>
        </w:rPr>
        <w:t>三 后续付款安排</w:t>
      </w:r>
    </w:p>
    <w:p w14:paraId="7EAB04BE">
      <w:pPr>
        <w:keepLines w:val="0"/>
        <w:spacing w:before="0" w:after="240" w:line="360" w:lineRule="auto"/>
        <w:ind w:firstLine="480"/>
        <w:jc w:val="both"/>
        <w:rPr>
          <w:rFonts w:hint="eastAsia" w:ascii="华文楷体" w:hAnsi="华文楷体" w:eastAsia="华文楷体" w:cs="华文楷体"/>
        </w:rPr>
      </w:pPr>
      <w:r>
        <w:rPr>
          <w:rFonts w:hint="eastAsia" w:ascii="华文楷体" w:hAnsi="华文楷体" w:eastAsia="华文楷体" w:cs="华文楷体"/>
          <w:b w:val="0"/>
          <w:color w:val="000000"/>
          <w:sz w:val="24"/>
        </w:rPr>
        <w:t>上述四份合同尚未支付的尾款合计1,938万元，全部计划使用自筹经费支付。待设备完成交付、安装调试并通过验收后，将按照合同约定履行付款程序。</w:t>
      </w:r>
    </w:p>
    <w:p w14:paraId="681AD2AC">
      <w:pPr>
        <w:spacing w:before="40" w:after="360"/>
        <w:ind w:firstLine="480"/>
        <w:rPr>
          <w:rFonts w:hint="eastAsia" w:ascii="华文楷体" w:hAnsi="华文楷体" w:eastAsia="华文楷体" w:cs="华文楷体"/>
        </w:rPr>
      </w:pPr>
      <w:r>
        <w:rPr>
          <w:rFonts w:hint="eastAsia" w:ascii="华文楷体" w:hAnsi="华文楷体" w:eastAsia="华文楷体" w:cs="华文楷体"/>
          <w:b w:val="0"/>
          <w:color w:val="000000"/>
          <w:sz w:val="24"/>
        </w:rPr>
        <w:t>特此说明。</w:t>
      </w:r>
    </w:p>
    <w:p w14:paraId="00BCF12A">
      <w:pPr>
        <w:spacing w:after="0"/>
        <w:ind w:right="240"/>
        <w:jc w:val="right"/>
        <w:rPr>
          <w:rFonts w:hint="eastAsia" w:ascii="华文楷体" w:hAnsi="华文楷体" w:eastAsia="华文楷体" w:cs="华文楷体"/>
          <w:b w:val="0"/>
          <w:color w:val="000000"/>
          <w:sz w:val="24"/>
          <w:lang w:val="en-US" w:eastAsia="zh-CN"/>
        </w:rPr>
      </w:pPr>
      <w:bookmarkStart w:id="0" w:name="_GoBack"/>
      <w:bookmarkEnd w:id="0"/>
      <w:r>
        <w:rPr>
          <w:rFonts w:hint="eastAsia" w:ascii="华文楷体" w:hAnsi="华文楷体" w:eastAsia="华文楷体" w:cs="华文楷体"/>
          <w:b w:val="0"/>
          <w:color w:val="000000"/>
          <w:sz w:val="24"/>
          <w:lang w:val="en-US" w:eastAsia="zh-CN"/>
        </w:rPr>
        <w:t>李一飞</w:t>
      </w:r>
    </w:p>
    <w:p w14:paraId="73B23371">
      <w:pPr>
        <w:spacing w:after="0"/>
        <w:ind w:right="240"/>
        <w:jc w:val="right"/>
        <w:rPr>
          <w:rFonts w:hint="eastAsia" w:ascii="华文楷体" w:hAnsi="华文楷体" w:eastAsia="华文楷体" w:cs="华文楷体"/>
        </w:rPr>
      </w:pPr>
      <w:r>
        <w:rPr>
          <w:rFonts w:hint="eastAsia" w:ascii="华文楷体" w:hAnsi="华文楷体" w:eastAsia="华文楷体" w:cs="华文楷体"/>
          <w:b w:val="0"/>
          <w:color w:val="000000"/>
          <w:sz w:val="24"/>
        </w:rPr>
        <w:t>2026年10月13日</w:t>
      </w:r>
    </w:p>
    <w:sectPr>
      <w:pgSz w:w="12240" w:h="15840"/>
      <w:pgMar w:top="1123" w:right="1296" w:bottom="1123"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华文楷体">
    <w:panose1 w:val="02010600040101010101"/>
    <w:charset w:val="86"/>
    <w:family w:val="auto"/>
    <w:pitch w:val="default"/>
    <w:sig w:usb0="80000287" w:usb1="280F3C52"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F39911"/>
    <w:rsid w:val="EFDF152F"/>
    <w:rsid w:val="FFFB50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Arial Unicode MS" w:hAnsi="Arial Unicode MS" w:eastAsia="Arial Unicode MS"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4"/>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b/>
      <w:color w:val="000000"/>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38</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北京理工大学</dc:creator>
  <dc:description>generated by python-docx</dc:description>
  <cp:lastModifiedBy>Jessie</cp:lastModifiedBy>
  <dcterms:modified xsi:type="dcterms:W3CDTF">2026-10-13T12:55:39Z</dcterms:modified>
  <dc:subject>设备采购合同尾款未支付情况说明</dc:subject>
  <dc:title>关于四份设备采购合同尾款未支付情况的说明</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CFB272657E33F0129DAACD6AE56C5B1E_42</vt:lpwstr>
  </property>
</Properties>
</file>