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4863E">
      <w:pPr>
        <w:keepNext w:val="0"/>
        <w:keepLines w:val="0"/>
        <w:widowControl/>
        <w:suppressLineNumbers w:val="0"/>
        <w:jc w:val="center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光学微腔加工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32"/>
          <w:szCs w:val="32"/>
          <w:lang w:val="en-US" w:eastAsia="zh-CN" w:bidi="ar"/>
        </w:rPr>
        <w:t>实验报告</w:t>
      </w:r>
    </w:p>
    <w:p w14:paraId="2007ED4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1实验设计 </w:t>
      </w:r>
    </w:p>
    <w:p w14:paraId="7E0DAAB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</w:t>
      </w:r>
      <w:r>
        <w:rPr>
          <w:rFonts w:hint="default"/>
          <w:lang w:val="en-US" w:eastAsia="zh-CN"/>
        </w:rPr>
        <w:t xml:space="preserve">实验原理： </w:t>
      </w:r>
    </w:p>
    <w:p w14:paraId="36B00B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电子束光刻（EBL）： 利用聚焦的高能电子束在涂有对电子敏感的光刻胶（Resist）的基底上进行直写扫描。电子束改变光刻胶的分子结构（链断裂或交联），使其在显影液中的溶解度发生变化，从而将设计好的图形转移到光刻胶上。ICP刻蚀： 利用电感耦合等离子体（Inductively Coupled Plasma）产生高密度的等离子体。通过物理轰击（离子）和化学反应（自由基）的协同作用（如 H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Br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气体），对未被光刻胶保护的硅基底进行各向异性刻蚀，实现高深宽比的结构转移。SEM表征： 利用聚焦电子束扫描样品表面，通过收集二次电子（SE）或背散射电子（BSE）信号，成像观察加工后的纳米结构形貌、尺寸及侧壁陡直度。</w:t>
      </w:r>
    </w:p>
    <w:p w14:paraId="038230E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1.2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实验目的 </w:t>
      </w:r>
    </w:p>
    <w:p w14:paraId="5C73365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通过电子束光刻和ICP干法刻蚀技术，在硅片上制备微纳结构（如光子晶体孔洞或波导），并利用SEM分析加工精度及刻蚀效果。</w:t>
      </w:r>
    </w:p>
    <w:p w14:paraId="494CDE98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参数选择 </w:t>
      </w:r>
    </w:p>
    <w:p w14:paraId="1678A447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.1 材料选择 </w:t>
      </w:r>
    </w:p>
    <w:p w14:paraId="36CF386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基底： 选择单晶硅片（Silicon Wafer）作为加工材料。硅是微纳加工中最成熟的材料，适合进行各向异性刻蚀。</w:t>
      </w:r>
    </w:p>
    <w:p w14:paraId="1A5B981F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.2 加工方法</w:t>
      </w:r>
    </w:p>
    <w:p w14:paraId="1719C4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选择 EBL直写 + ICP刻蚀 组合工艺。相比于紫外光刻，EBL能提供更高的分辨率（可达10nm级），适合加工精细的纳米结构；ICP刻蚀能提供良好的侧壁垂直度。</w:t>
      </w:r>
    </w:p>
    <w:p w14:paraId="756E1DD5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.3 基底选择</w:t>
      </w:r>
    </w:p>
    <w:p w14:paraId="0E9D98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本实验选择了硅片，晶向(100) 规格： 单面抛光，N型或P型均可，电阻率1-10 Ω⋅cmΩ⋅cm。裁切尺寸为 1 cm×1 cm 小片以便于EBL载台装载。 </w:t>
      </w:r>
    </w:p>
    <w:p w14:paraId="517322E2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.4 光刻胶选择 </w:t>
      </w:r>
    </w:p>
    <w:p w14:paraId="4357A0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AR-P 6200.09 光刻胶，适用于 EBL 工艺，能满足微纳图形转移的掩膜需求。</w:t>
      </w:r>
    </w:p>
    <w:p w14:paraId="01BAAE9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1.3.5试剂选择</w:t>
      </w:r>
    </w:p>
    <w:p w14:paraId="0EB95AC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丙酮、异丙醇、去离子水（用于基底清洗）；乙酸丁酯（Butyl Acetate）</w:t>
      </w:r>
    </w:p>
    <w:p w14:paraId="79B5BD9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strike w:val="0"/>
          <w:dstrike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、异丙醇（Isopropyl Alcohol，IPA）（用于显影定影）；HBr 气体（用于 ICP 刻蚀反应）。</w:t>
      </w:r>
    </w:p>
    <w:p w14:paraId="0177900A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6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设备选择</w:t>
      </w:r>
    </w:p>
    <w:p w14:paraId="72C7EBF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扫描电子显微镜 (SEM)： 由于加工结构在纳米尺度（如几百纳米），光学显微镜分辨率不足必须使用SEM进行观察。参数预设： 加速电压 5-kV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，束流5uA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，工作距离 (WD) 4-8 mm。</w:t>
      </w:r>
    </w:p>
    <w:p w14:paraId="613FFF9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电子束光刻（EBL）系统：用于光刻胶图形化直写。</w:t>
      </w:r>
    </w:p>
    <w:p w14:paraId="53749A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ICP 刻蚀机：用于硅基底的各向异性刻蚀。</w:t>
      </w:r>
    </w:p>
    <w:p w14:paraId="7F325FD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扫描电子显微镜（SEM）：用于纳米结构的形貌表征，参数预设：加速电压 5-10kV，工作距离（WD）4-8mm。</w:t>
      </w:r>
    </w:p>
    <w:p w14:paraId="53B857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去胶设备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：微波等离子体去胶机，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RIE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用于刻蚀后光刻胶的去除。</w:t>
      </w:r>
    </w:p>
    <w:p w14:paraId="73790F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超声清洗仪：用于基底的清洗处理。</w:t>
      </w:r>
    </w:p>
    <w:p w14:paraId="21796E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热板：用于基底烘烤、光刻胶前烘和后烘。</w:t>
      </w:r>
    </w:p>
    <w:p w14:paraId="2A9ACB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氮气吹干仪：用于样品清洗后的干燥处理。</w:t>
      </w:r>
    </w:p>
    <w:p w14:paraId="6EDA9F8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绿光光学显微镜：用于 EBL 光刻后图形的初步观察。</w:t>
      </w:r>
    </w:p>
    <w:p w14:paraId="6CDB02BB">
      <w:pPr>
        <w:keepNext w:val="0"/>
        <w:keepLines w:val="0"/>
        <w:widowControl/>
        <w:suppressLineNumbers w:val="0"/>
        <w:jc w:val="left"/>
        <w:outlineLvl w:val="2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7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实验室选择 </w:t>
      </w:r>
    </w:p>
    <w:p w14:paraId="0668D3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微纳加工超净间（Cleanroom），黄光区（防止光刻胶意外曝光）。</w:t>
      </w:r>
    </w:p>
    <w:p w14:paraId="221374D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1.4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预计结果-预测</w:t>
      </w:r>
    </w:p>
    <w:p w14:paraId="4F0EFE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预计在硅片上成功转移设计的图案，刻蚀深度达到预定目标，侧壁陡直，无明显的 “扇贝纹” 或钻蚀现象；EBL 光刻后经绿光光学显微镜观察可初步确认图形完整性，SEM 表征能清晰呈现结构细节。</w:t>
      </w:r>
    </w:p>
    <w:p w14:paraId="075F2FF1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可能错误 </w:t>
      </w:r>
    </w:p>
    <w:p w14:paraId="219C931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曝光剂量不准： 剂量过大导致图形扩大（Proximity Effect），剂量过小导致显影不完全。</w:t>
      </w:r>
    </w:p>
    <w:p w14:paraId="068211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刻蚀形貌差： 气体比例或功率设置不当，可能导致侧壁倾斜（Taper）或表面粗糙（Black Silicon）。</w:t>
      </w:r>
    </w:p>
    <w:p w14:paraId="36E9CC3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对焦漂移： EBL过程中电子束聚焦不准，导致图形模糊。</w:t>
      </w:r>
    </w:p>
    <w:p w14:paraId="3D29E9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光刻胶处理问题：旋涂转速、烘烤温度或时间不当，导致胶层厚度不均、残留溶剂过多或胶层开裂；显影、定影时间控制不当，影响图形质量。</w:t>
      </w:r>
    </w:p>
    <w:p w14:paraId="560539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样品污染：超净间环境控制不佳或操作过程中引入杂质，导致样品表面污染，影响加工和表征结果。</w:t>
      </w:r>
    </w:p>
    <w:p w14:paraId="2FBBB11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实验流程 </w:t>
      </w:r>
    </w:p>
    <w:p w14:paraId="7A10D8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2.1 实验准备</w:t>
      </w:r>
    </w:p>
    <w:p w14:paraId="5A657D4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2.1.1 样品</w:t>
      </w:r>
    </w:p>
    <w:p w14:paraId="2C8F83A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0m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m×1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0m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m（100）晶向单晶硅片，表面无缺陷。</w:t>
      </w:r>
    </w:p>
    <w:p w14:paraId="73BD35F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2.1.2 试剂</w:t>
      </w:r>
    </w:p>
    <w:p w14:paraId="4E5255B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丙酮、异丙醇、去离子水、AR-P 6200.09 光刻胶、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BA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、IPA、HBr 气体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、氧气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</w:t>
      </w:r>
    </w:p>
    <w:p w14:paraId="44EB64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2.1.3 设备</w:t>
      </w:r>
    </w:p>
    <w:p w14:paraId="00E6B1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EBL 系统、ICP 刻蚀机、SEM、RIE 去胶设备、超声清洗仪、热板、氮气吹干仪、绿光光学显微镜。</w:t>
      </w:r>
    </w:p>
    <w:p w14:paraId="609CCD4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2.1.4 环境</w:t>
      </w:r>
    </w:p>
    <w:p w14:paraId="384365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超净间黄光区，符合洁净度、温湿度要求。</w:t>
      </w:r>
    </w:p>
    <w:p w14:paraId="37FE7D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2.2 核心操作步骤</w:t>
      </w:r>
    </w:p>
    <w:p w14:paraId="4849F68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2.2.1 基底处理</w:t>
      </w:r>
    </w:p>
    <w:p w14:paraId="786A8CE3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清洗基底： 丙酮 → 异丙醇 → 去离子水超声清洗，氮气吹干。180°C 热板烘烤 5分钟去除水汽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，冷却备用。</w:t>
      </w:r>
    </w:p>
    <w:p w14:paraId="0B176DF9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2.2.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光刻过程 (EBL) </w:t>
      </w:r>
    </w:p>
    <w:p w14:paraId="2E00073C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旋涂光刻胶：将AR-P 6200.09 光刻胶滴在硅片中心，以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000 rpm 转速旋涂 60秒。目的： 获得均匀的胶层（预计厚度约 200-300 nm）。前烘 (Soft Bake)： 1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0°C 热板烘烤 90秒，去除溶剂。EBL曝光：载入样品台，调整高度。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选择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束流（Current）：例如 100 pA。设置剂量（Dose）：进行剂量</w:t>
      </w:r>
      <w:bookmarkStart w:id="0" w:name="_GoBack"/>
      <w:bookmarkEnd w:id="0"/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测试（Dose Test），范围设为 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基础剂量的-25%，-20%，-15%，-10%，-5%，0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。执行曝光文件。显影 (Development)： 将样品浸入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BA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显影液中 60秒，随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后浸入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 xml:space="preserve">IPA 定影 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10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秒，氮气吹干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。后烘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</w:t>
      </w:r>
    </w:p>
    <w:p w14:paraId="4E4E888F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2.2.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刻蚀过程 (ICP)</w:t>
      </w:r>
    </w:p>
    <w:p w14:paraId="0391FFE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固定：用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硅脂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将经 EBL 光刻处理后的样品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吸附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在载片（Carrier wafer）上，确保样品平整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并位于载片中心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</w:t>
      </w:r>
    </w:p>
    <w:p w14:paraId="79FD35F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设参：将载片送入 ICP 刻蚀机腔室，关闭腔室后，设置刻蚀参数：通入 HBr 气体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（50sccm）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，调节 ICP 功率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（750W）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（控制等离子体密度）和 RF 功率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（50W）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（控制离子轰击能量）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保持腔室温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度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20℃以保护光刻胶。</w:t>
      </w:r>
    </w:p>
    <w:p w14:paraId="70CD3B3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刻蚀：启动 ICP 刻蚀机，按照设定参数进行刻蚀，刻蚀时间为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90秒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。</w:t>
      </w:r>
    </w:p>
    <w:p w14:paraId="3354EA0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去胶：刻蚀完成后，将样品取出，放入 RIE 去胶设备中，利用氧等离子体去除剩余的 AR-P 6200.09 光刻胶。</w:t>
      </w:r>
    </w:p>
    <w:p w14:paraId="42976B06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2.2.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4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表征和筛选 (SEM)</w:t>
      </w:r>
    </w:p>
    <w:p w14:paraId="3A1E4074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低倍率下观察到的微纳结构阵列</w:t>
      </w:r>
    </w:p>
    <w:p w14:paraId="279E92D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1920240" cy="1440180"/>
            <wp:effectExtent l="0" t="0" r="10160" b="7620"/>
            <wp:docPr id="4" name="图片 4" descr="EBL_ICP_REMOVE_CS_20251226_P6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BL_ICP_REMOVE_CS_20251226_P6_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20240" cy="1440180"/>
            <wp:effectExtent l="0" t="0" r="10160" b="7620"/>
            <wp:docPr id="3" name="图片 3" descr="EBL_ICP_REMOVE_CS_20251226_P7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BL_ICP_REMOVE_CS_20251226_P7_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33EE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高倍率下观察孔洞边缘与形貌</w:t>
      </w:r>
    </w:p>
    <w:p w14:paraId="37BDFA3B"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高倍率下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观察横截面下的刻蚀的垂直度</w:t>
      </w:r>
    </w:p>
    <w:p w14:paraId="63EA098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1919605" cy="1440180"/>
            <wp:effectExtent l="0" t="0" r="10795" b="7620"/>
            <wp:docPr id="1" name="图片 1" descr="SECTION_SMALL_20251231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ECTION_SMALL_20251231_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20240" cy="1440180"/>
            <wp:effectExtent l="0" t="0" r="10160" b="7620"/>
            <wp:docPr id="2" name="图片 2" descr="SECTION_SMALL_2025123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ECTION_SMALL_20251231_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5763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2.2.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5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 实验收尾 </w:t>
      </w:r>
    </w:p>
    <w:p w14:paraId="5C8CF7F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样品保存：标记样品盒，注明日期、工艺条件，存入电子防潮柜 。</w:t>
      </w:r>
    </w:p>
    <w:p w14:paraId="0FE9594E">
      <w:pPr>
        <w:keepNext w:val="0"/>
        <w:keepLines w:val="0"/>
        <w:widowControl/>
        <w:suppressLineNumbers w:val="0"/>
        <w:jc w:val="left"/>
        <w:outlineLvl w:val="0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3. 实验总结</w:t>
      </w:r>
    </w:p>
    <w:p w14:paraId="07E3E140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3.1 实验结果 </w:t>
      </w:r>
    </w:p>
    <w:p w14:paraId="6C4D21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4"/>
          <w:szCs w:val="24"/>
          <w:lang w:val="en-US" w:eastAsia="zh-CN" w:bidi="ar"/>
        </w:rPr>
        <w:t>通过EBL和ICP工艺，成功在硅片上制备了目标纳米结构。</w:t>
      </w:r>
    </w:p>
    <w:p w14:paraId="6B8A3533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3.2 数据分析 </w:t>
      </w:r>
    </w:p>
    <w:p w14:paraId="5253821E"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样品表面有一层薄膜，初步判断为残留的胶或是刻蚀的副产物再沉积</w:t>
      </w:r>
    </w:p>
    <w:p w14:paraId="18C93876"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刻蚀形貌评价： 使用 HBr 气体刻蚀 90 秒后，侧壁表现出良好的各向异性 。结构无明显的“扇贝纹”或严重的钻蚀现象，符合高深宽比结构的转移要求 。</w:t>
      </w:r>
    </w:p>
    <w:p w14:paraId="509CC236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</w:p>
    <w:p w14:paraId="5516A9CE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3.3 结论 </w:t>
      </w:r>
    </w:p>
    <w:p w14:paraId="368BE0AE">
      <w:pPr>
        <w:keepNext w:val="0"/>
        <w:keepLines w:val="0"/>
        <w:widowControl/>
        <w:suppressLineNumbers w:val="0"/>
        <w:jc w:val="left"/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实验证明，“AR-P 6200.09 旋涂 + EBL 直写 + HBr ICP 刻蚀”是一套成熟的高分辨率硅基加工方案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。现有的前烘参数（</w:t>
      </w: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150℃</w:t>
      </w: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，90秒）能有效保证光刻胶掩模的稳定性。</w:t>
      </w:r>
    </w:p>
    <w:p w14:paraId="22A7B9D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FCE6D5" w:themeColor="accent2" w:themeTint="33"/>
          <w:spacing w:val="0"/>
          <w:kern w:val="0"/>
          <w:sz w:val="24"/>
          <w:szCs w:val="24"/>
          <w:lang w:val="en-US" w:eastAsia="zh-CN" w:bidi="ar"/>
          <w14:textFill>
            <w14:solidFill>
              <w14:schemeClr w14:val="accent2">
                <w14:lumMod w14:val="20000"/>
                <w14:lumOff w14:val="80000"/>
              </w14:schemeClr>
            </w14:solidFill>
          </w14:textFill>
        </w:rPr>
      </w:pPr>
    </w:p>
    <w:p w14:paraId="01E503EA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 xml:space="preserve">3.4 后续改进 </w:t>
      </w:r>
    </w:p>
    <w:p w14:paraId="16F1E1B0">
      <w:pPr>
        <w:keepNext w:val="0"/>
        <w:keepLines w:val="0"/>
        <w:widowControl/>
        <w:suppressLineNumbers w:val="0"/>
        <w:jc w:val="left"/>
        <w:outlineLvl w:val="1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  <w:t>采用RIE去胶，再观察是否有薄膜</w:t>
      </w:r>
    </w:p>
    <w:p w14:paraId="613AA3C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</w:p>
    <w:p w14:paraId="752C4EE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</w:p>
    <w:p w14:paraId="129E2D5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楷体_GB2312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lang w:val="en-US" w:eastAsia="zh-CN" w:bidi="ar"/>
        </w:rPr>
      </w:pPr>
    </w:p>
    <w:p w14:paraId="0BEC564F">
      <w:pPr>
        <w:rPr>
          <w:rFonts w:hint="default" w:ascii="Times New Roman Regular" w:hAnsi="Times New Roman Regular" w:eastAsia="楷体_GB2312" w:cs="Times New Roma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8BB13"/>
    <w:multiLevelType w:val="singleLevel"/>
    <w:tmpl w:val="FFD8BB1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94FB6"/>
    <w:rsid w:val="37FF2B61"/>
    <w:rsid w:val="5DF533C9"/>
    <w:rsid w:val="6BB94FB6"/>
    <w:rsid w:val="73BB7EA4"/>
    <w:rsid w:val="7BAF2673"/>
    <w:rsid w:val="7F7DC6F6"/>
    <w:rsid w:val="7F7FCF36"/>
    <w:rsid w:val="D5D7F055"/>
    <w:rsid w:val="EBF792D5"/>
    <w:rsid w:val="EEEA5A55"/>
    <w:rsid w:val="EFBFCCFB"/>
    <w:rsid w:val="F7FCD8E0"/>
    <w:rsid w:val="FBFC6F96"/>
    <w:rsid w:val="FF7F3A5D"/>
    <w:rsid w:val="FFDE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2025-12-12T21:26:00Z</dcterms:created>
  <dc:creator>Jessie</dc:creator>
  <cp:lastModifiedBy>Jessie</cp:lastModifiedBy>
  <dcterms:modified xsi:type="dcterms:W3CDTF">2026-01-04T15:05:19Z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9BDA59A3DAE6517F8E043969F10383EC_41</vt:lpwstr>
  </property>
</Properties>
</file>