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5695A">
      <w:pPr>
        <w:pStyle w:val="3"/>
        <w:bidi w:val="0"/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传染病智能预警综合分析报告</w:t>
      </w:r>
    </w:p>
    <w:p w14:paraId="40A0F921">
      <w:pPr>
        <w:pStyle w:val="3"/>
        <w:bidi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一、基本信息</w:t>
      </w:r>
    </w:p>
    <w:tbl>
      <w:tblPr>
        <w:tblStyle w:val="33"/>
        <w:tblW w:w="872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2"/>
        <w:gridCol w:w="6795"/>
      </w:tblGrid>
      <w:tr w14:paraId="28F3F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541C9C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75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22197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内容</w:t>
            </w:r>
          </w:p>
        </w:tc>
      </w:tr>
      <w:tr w14:paraId="2B4F5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243F7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监测疾病</w:t>
            </w:r>
          </w:p>
        </w:tc>
        <w:tc>
          <w:tcPr>
            <w:tcW w:w="675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50F57D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流感</w:t>
            </w:r>
          </w:p>
        </w:tc>
      </w:tr>
      <w:tr w14:paraId="16ED6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5D27F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监测区域</w:t>
            </w:r>
          </w:p>
        </w:tc>
        <w:tc>
          <w:tcPr>
            <w:tcW w:w="675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4E548A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渭南地区</w:t>
            </w:r>
          </w:p>
        </w:tc>
      </w:tr>
      <w:tr w14:paraId="1C59D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3B1D7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数据周期</w:t>
            </w:r>
          </w:p>
        </w:tc>
        <w:tc>
          <w:tcPr>
            <w:tcW w:w="675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52250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2023年1月—2026年4月</w:t>
            </w:r>
          </w:p>
        </w:tc>
      </w:tr>
      <w:tr w14:paraId="5C53B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7552E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数据来源</w:t>
            </w:r>
          </w:p>
        </w:tc>
        <w:tc>
          <w:tcPr>
            <w:tcW w:w="675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124179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流感病例监测数据、多源监测数据</w:t>
            </w:r>
          </w:p>
        </w:tc>
      </w:tr>
      <w:tr w14:paraId="56EFF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8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2C70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分析模型</w:t>
            </w:r>
          </w:p>
        </w:tc>
        <w:tc>
          <w:tcPr>
            <w:tcW w:w="675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1ABD70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jc w:val="left"/>
              <w:textAlignment w:val="auto"/>
              <w:rPr>
                <w:b w:val="0"/>
                <w:color w:val="000000"/>
                <w:sz w:val="22"/>
                <w:szCs w:val="22"/>
              </w:rPr>
            </w:pPr>
            <w:r>
              <w:rPr>
                <w:b w:val="0"/>
                <w:color w:val="000000"/>
                <w:sz w:val="22"/>
                <w:szCs w:val="22"/>
                <w:lang w:val="en-US" w:eastAsia="zh-CN"/>
              </w:rPr>
              <w:t>CNE、TRCE、Fusion</w:t>
            </w:r>
          </w:p>
        </w:tc>
      </w:tr>
    </w:tbl>
    <w:p w14:paraId="17A198F5">
      <w:pPr>
        <w:pStyle w:val="3"/>
        <w:bidi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二、当前风险概况</w:t>
      </w:r>
    </w:p>
    <w:p w14:paraId="32761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1. 最近一次预警信息</w:t>
      </w:r>
    </w:p>
    <w:p w14:paraId="7AE56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根据最新输入的流感监测数据，平台通过 CNE、TRCE 和 Fusion 多模型综合分析，检测到最近一次风险异常信号。</w:t>
      </w:r>
    </w:p>
    <w:tbl>
      <w:tblPr>
        <w:tblStyle w:val="33"/>
        <w:tblW w:w="872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47"/>
        <w:gridCol w:w="4280"/>
      </w:tblGrid>
      <w:tr w14:paraId="4F098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10A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4235" w:type="dxa"/>
            <w:shd w:val="clear" w:color="auto" w:fill="auto"/>
            <w:vAlign w:val="center"/>
          </w:tcPr>
          <w:p w14:paraId="75DDD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分析结果</w:t>
            </w:r>
          </w:p>
        </w:tc>
      </w:tr>
      <w:tr w14:paraId="3409B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75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最近一次预警时间</w:t>
            </w:r>
          </w:p>
        </w:tc>
        <w:tc>
          <w:tcPr>
            <w:tcW w:w="4235" w:type="dxa"/>
            <w:shd w:val="clear" w:color="auto" w:fill="auto"/>
            <w:vAlign w:val="center"/>
          </w:tcPr>
          <w:p w14:paraId="482F59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2025年11月1日</w:t>
            </w:r>
          </w:p>
        </w:tc>
      </w:tr>
      <w:tr w14:paraId="694DB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3A3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对应时间节点</w:t>
            </w:r>
          </w:p>
        </w:tc>
        <w:tc>
          <w:tcPr>
            <w:tcW w:w="4235" w:type="dxa"/>
            <w:shd w:val="clear" w:color="auto" w:fill="auto"/>
            <w:vAlign w:val="center"/>
          </w:tcPr>
          <w:p w14:paraId="230F8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t=1035</w:t>
            </w:r>
          </w:p>
        </w:tc>
      </w:tr>
      <w:tr w14:paraId="28565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10C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触发模型</w:t>
            </w:r>
          </w:p>
        </w:tc>
        <w:tc>
          <w:tcPr>
            <w:tcW w:w="4235" w:type="dxa"/>
            <w:shd w:val="clear" w:color="auto" w:fill="auto"/>
            <w:vAlign w:val="center"/>
          </w:tcPr>
          <w:p w14:paraId="2BE537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TRCE、Fusion</w:t>
            </w:r>
          </w:p>
        </w:tc>
      </w:tr>
      <w:tr w14:paraId="77C9A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EC8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未触发模型</w:t>
            </w:r>
          </w:p>
        </w:tc>
        <w:tc>
          <w:tcPr>
            <w:tcW w:w="4235" w:type="dxa"/>
            <w:shd w:val="clear" w:color="auto" w:fill="auto"/>
            <w:vAlign w:val="center"/>
          </w:tcPr>
          <w:p w14:paraId="15023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CNE</w:t>
            </w:r>
          </w:p>
        </w:tc>
      </w:tr>
      <w:tr w14:paraId="3A572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75E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当前风险等级</w:t>
            </w:r>
          </w:p>
        </w:tc>
        <w:tc>
          <w:tcPr>
            <w:tcW w:w="4235" w:type="dxa"/>
            <w:shd w:val="clear" w:color="auto" w:fill="auto"/>
            <w:vAlign w:val="center"/>
          </w:tcPr>
          <w:p w14:paraId="43BE4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橙色预警</w:t>
            </w:r>
          </w:p>
        </w:tc>
      </w:tr>
      <w:tr w14:paraId="57424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928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距病例峰值</w:t>
            </w:r>
          </w:p>
        </w:tc>
        <w:tc>
          <w:tcPr>
            <w:tcW w:w="4235" w:type="dxa"/>
            <w:shd w:val="clear" w:color="auto" w:fill="auto"/>
            <w:vAlign w:val="center"/>
          </w:tcPr>
          <w:p w14:paraId="3347E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约49天</w:t>
            </w:r>
          </w:p>
        </w:tc>
      </w:tr>
      <w:tr w14:paraId="66887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402" w:type="dxa"/>
            <w:shd w:val="clear" w:color="auto" w:fill="auto"/>
            <w:vAlign w:val="center"/>
          </w:tcPr>
          <w:p w14:paraId="4DE9FB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风险状态</w:t>
            </w:r>
          </w:p>
        </w:tc>
        <w:tc>
          <w:tcPr>
            <w:tcW w:w="4235" w:type="dxa"/>
            <w:shd w:val="clear" w:color="auto" w:fill="auto"/>
            <w:vAlign w:val="center"/>
          </w:tcPr>
          <w:p w14:paraId="7C52A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firstLine="440" w:firstLineChars="20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风险持续增强</w:t>
            </w:r>
          </w:p>
        </w:tc>
      </w:tr>
    </w:tbl>
    <w:p w14:paraId="0A8C8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2. 当前风险判断</w:t>
      </w:r>
    </w:p>
    <w:p w14:paraId="32E12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根据平台最新分析结果：</w:t>
      </w:r>
    </w:p>
    <w:p w14:paraId="1D821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TRCE模型于 t=1034（2025年10月31日） 首次检测到系统异常变化，随后 Fusion 模型于 t=1035（2025年11月1日） 输出橙色风险预警。本次预警对应第四次流感风险事件，该事件病例峰值出现在 t=1084，模型提前约49～50天识别风险变化。</w:t>
      </w:r>
    </w:p>
    <w:p w14:paraId="32478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综合判断：</w:t>
      </w:r>
    </w:p>
    <w:p w14:paraId="56A2F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当前流感传播系统已出现明显风险增强信号，系统由相对稳定状态向高风险状态转变，未来一段时间内病例规模可能进一步增加，应持续关注疫情演化过程。</w:t>
      </w:r>
    </w:p>
    <w:p w14:paraId="18F54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rFonts w:hint="eastAsia" w:eastAsia="宋体"/>
          <w:sz w:val="22"/>
          <w:szCs w:val="22"/>
          <w:vertAlign w:val="baseline"/>
          <w:lang w:val="en-US" w:eastAsia="zh-CN"/>
        </w:rPr>
      </w:pPr>
      <w:r>
        <w:rPr>
          <w:rFonts w:hint="eastAsia" w:eastAsia="宋体"/>
          <w:sz w:val="22"/>
          <w:szCs w:val="22"/>
          <w:lang w:val="en-US" w:eastAsia="zh-CN"/>
        </w:rPr>
        <w:t>3.结合监测图表的模型信号解读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03"/>
        <w:gridCol w:w="7053"/>
      </w:tblGrid>
      <w:tr w14:paraId="253BE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3" w:type="dxa"/>
          </w:tcPr>
          <w:p w14:paraId="60A73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CNE监测结果</w:t>
            </w:r>
          </w:p>
        </w:tc>
        <w:tc>
          <w:tcPr>
            <w:tcW w:w="7053" w:type="dxa"/>
          </w:tcPr>
          <w:p w14:paraId="63E7D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  <w:drawing>
                <wp:inline distT="0" distB="0" distL="114300" distR="114300">
                  <wp:extent cx="3030855" cy="1908175"/>
                  <wp:effectExtent l="0" t="0" r="4445" b="9525"/>
                  <wp:docPr id="11" name="图片 8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651" b="1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855" cy="190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79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3" w:type="dxa"/>
          </w:tcPr>
          <w:p w14:paraId="4C005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lang w:val="en-US" w:eastAsia="zh-CN"/>
              </w:rPr>
              <w:t>TRCE监测结果</w:t>
            </w:r>
          </w:p>
        </w:tc>
        <w:tc>
          <w:tcPr>
            <w:tcW w:w="7053" w:type="dxa"/>
          </w:tcPr>
          <w:p w14:paraId="61EE89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  <w:drawing>
                <wp:inline distT="0" distB="0" distL="114300" distR="114300">
                  <wp:extent cx="3065145" cy="2103120"/>
                  <wp:effectExtent l="0" t="0" r="8255" b="5080"/>
                  <wp:docPr id="12" name="图片 10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145" cy="210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0A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3" w:type="dxa"/>
          </w:tcPr>
          <w:p w14:paraId="10FB43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  <w:t>Fusion监测结果</w:t>
            </w:r>
          </w:p>
        </w:tc>
        <w:tc>
          <w:tcPr>
            <w:tcW w:w="7053" w:type="dxa"/>
          </w:tcPr>
          <w:p w14:paraId="5CE38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textAlignment w:val="auto"/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2"/>
                <w:szCs w:val="22"/>
                <w:vertAlign w:val="baseline"/>
                <w:lang w:val="en-US" w:eastAsia="zh-CN"/>
              </w:rPr>
              <w:drawing>
                <wp:inline distT="0" distB="0" distL="114300" distR="114300">
                  <wp:extent cx="3023870" cy="2267585"/>
                  <wp:effectExtent l="0" t="0" r="11430" b="5715"/>
                  <wp:docPr id="13" name="图片 12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870" cy="226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A0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rFonts w:hint="default" w:eastAsia="宋体"/>
          <w:sz w:val="22"/>
          <w:szCs w:val="22"/>
          <w:lang w:val="en-US" w:eastAsia="zh-CN"/>
        </w:rPr>
      </w:pPr>
    </w:p>
    <w:p w14:paraId="2E259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rFonts w:hint="eastAsia" w:eastAsia="宋体"/>
          <w:sz w:val="22"/>
          <w:szCs w:val="22"/>
          <w:lang w:val="en-US" w:eastAsia="zh-CN"/>
        </w:rPr>
      </w:pPr>
      <w:r>
        <w:rPr>
          <w:rFonts w:hint="default" w:eastAsia="宋体"/>
          <w:sz w:val="22"/>
          <w:szCs w:val="22"/>
          <w:lang w:val="en-US" w:eastAsia="zh-CN"/>
        </w:rPr>
        <w:t>CNE 模型图：前三次流感高峰均伴随网络熵 H 大幅冲高、密集预警红点</w:t>
      </w:r>
      <w:r>
        <w:rPr>
          <w:rFonts w:hint="eastAsia" w:eastAsia="宋体"/>
          <w:sz w:val="22"/>
          <w:szCs w:val="22"/>
          <w:lang w:val="en-US" w:eastAsia="zh-CN"/>
        </w:rPr>
        <w:t>，</w:t>
      </w:r>
      <w:r>
        <w:rPr>
          <w:rFonts w:hint="default" w:eastAsia="宋体"/>
          <w:sz w:val="22"/>
          <w:szCs w:val="22"/>
          <w:lang w:val="en-US" w:eastAsia="zh-CN"/>
        </w:rPr>
        <w:t>本次曲线末端 ILI 虽抬升，但网络熵无明显峰值、预警点稀疏，CNE 未触发预警</w:t>
      </w:r>
      <w:r>
        <w:rPr>
          <w:rFonts w:hint="eastAsia" w:eastAsia="宋体"/>
          <w:sz w:val="22"/>
          <w:szCs w:val="22"/>
          <w:lang w:val="en-US" w:eastAsia="zh-CN"/>
        </w:rPr>
        <w:t>。</w:t>
      </w:r>
    </w:p>
    <w:p w14:paraId="2FB7A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default" w:eastAsia="宋体"/>
          <w:sz w:val="22"/>
          <w:szCs w:val="22"/>
          <w:lang w:val="en-US" w:eastAsia="zh-CN"/>
        </w:rPr>
        <w:t>TRCE 模型图：tRCE 指标对病例内源传播突变敏感度高，全周期四次疫情上升阶段均出现指标偏移、密集三角预警；当前曲线右侧指标持续正向偏离，提前捕捉到传播动力学恶化，是本次预警核心依据。</w:t>
      </w:r>
    </w:p>
    <w:p w14:paraId="31074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default" w:eastAsia="宋体"/>
          <w:sz w:val="22"/>
          <w:szCs w:val="22"/>
          <w:lang w:val="en-US" w:eastAsia="zh-CN"/>
        </w:rPr>
        <w:t>Fusion 融合预警图：整合双模型输出，本轮以橙色预警点位为主，下层红色预警散点持续增多、风险趋势线上行，ILI 曲线尚未抵达峰值，可视化佐证风险持续上行、距离流行高峰仍有近 50 天窗口期。</w:t>
      </w:r>
    </w:p>
    <w:p w14:paraId="1269C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rFonts w:hint="default" w:eastAsia="宋体"/>
          <w:sz w:val="22"/>
          <w:szCs w:val="22"/>
          <w:lang w:val="en-US" w:eastAsia="zh-CN"/>
        </w:rPr>
      </w:pPr>
    </w:p>
    <w:p w14:paraId="6FE4F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rFonts w:hint="eastAsia" w:eastAsia="宋体"/>
          <w:sz w:val="22"/>
          <w:szCs w:val="22"/>
          <w:lang w:val="en-US" w:eastAsia="zh-CN"/>
        </w:rPr>
        <w:t>4</w:t>
      </w:r>
      <w:r>
        <w:rPr>
          <w:sz w:val="22"/>
          <w:szCs w:val="22"/>
        </w:rPr>
        <w:t>. 预警可信度分析</w:t>
      </w:r>
    </w:p>
    <w:p w14:paraId="05D2E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本次风险判断由多个模型共同支持：</w:t>
      </w:r>
    </w:p>
    <w:tbl>
      <w:tblPr>
        <w:tblStyle w:val="33"/>
        <w:tblW w:w="4999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16"/>
        <w:gridCol w:w="4012"/>
      </w:tblGrid>
      <w:tr w14:paraId="3C3A0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675" w:type="pct"/>
            <w:shd w:val="clear" w:color="auto" w:fill="auto"/>
            <w:vAlign w:val="center"/>
          </w:tcPr>
          <w:p w14:paraId="638C1B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en-US" w:eastAsia="zh-CN"/>
              </w:rPr>
              <w:t>模型</w:t>
            </w:r>
          </w:p>
        </w:tc>
        <w:tc>
          <w:tcPr>
            <w:tcW w:w="2272" w:type="pct"/>
            <w:shd w:val="clear" w:color="auto" w:fill="auto"/>
            <w:vAlign w:val="center"/>
          </w:tcPr>
          <w:p w14:paraId="2031D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en-US" w:eastAsia="zh-CN"/>
              </w:rPr>
              <w:t>分析结果</w:t>
            </w:r>
          </w:p>
        </w:tc>
      </w:tr>
      <w:tr w14:paraId="6A1C0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75" w:type="pct"/>
            <w:shd w:val="clear" w:color="auto" w:fill="auto"/>
            <w:vAlign w:val="center"/>
          </w:tcPr>
          <w:p w14:paraId="7A27C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CNE因果网络熵模型</w:t>
            </w:r>
          </w:p>
        </w:tc>
        <w:tc>
          <w:tcPr>
            <w:tcW w:w="2272" w:type="pct"/>
            <w:shd w:val="clear" w:color="auto" w:fill="auto"/>
            <w:vAlign w:val="center"/>
          </w:tcPr>
          <w:p w14:paraId="4F819D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未触发</w:t>
            </w:r>
          </w:p>
        </w:tc>
      </w:tr>
      <w:tr w14:paraId="5E662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75" w:type="pct"/>
            <w:shd w:val="clear" w:color="auto" w:fill="auto"/>
            <w:vAlign w:val="center"/>
          </w:tcPr>
          <w:p w14:paraId="2D024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TRCE时间不可逆模型</w:t>
            </w:r>
          </w:p>
        </w:tc>
        <w:tc>
          <w:tcPr>
            <w:tcW w:w="2272" w:type="pct"/>
            <w:shd w:val="clear" w:color="auto" w:fill="auto"/>
            <w:vAlign w:val="center"/>
          </w:tcPr>
          <w:p w14:paraId="3AEA2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✓ 检测到异常变化</w:t>
            </w:r>
          </w:p>
        </w:tc>
      </w:tr>
      <w:tr w14:paraId="0034E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75" w:type="pct"/>
            <w:shd w:val="clear" w:color="auto" w:fill="auto"/>
            <w:vAlign w:val="center"/>
          </w:tcPr>
          <w:p w14:paraId="08A618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Fusion多源融合模型</w:t>
            </w:r>
          </w:p>
        </w:tc>
        <w:tc>
          <w:tcPr>
            <w:tcW w:w="2272" w:type="pct"/>
            <w:shd w:val="clear" w:color="auto" w:fill="auto"/>
            <w:vAlign w:val="center"/>
          </w:tcPr>
          <w:p w14:paraId="4AD81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zh-CN"/>
              </w:rPr>
              <w:t>✓ 输出橙色预警</w:t>
            </w:r>
          </w:p>
        </w:tc>
      </w:tr>
    </w:tbl>
    <w:p w14:paraId="159EE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综合分析：</w:t>
      </w:r>
    </w:p>
    <w:p w14:paraId="74A13D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虽然CNE模型未产生对应预警，但TRCE和Fusion模型在相近时间窗口内同时识别到风险变化，说明当前异常主要表现为传播系统动力学变化和多源融合风险增强。该事件表明：</w:t>
      </w:r>
      <w:r>
        <w:rPr>
          <w:rFonts w:hint="eastAsia"/>
          <w:sz w:val="22"/>
          <w:szCs w:val="22"/>
        </w:rPr>
        <w:t>当前风险主要由病例系统内部演化特征驱动，而搜索行为相关因果网络变化不明显。</w:t>
      </w:r>
    </w:p>
    <w:p w14:paraId="359EB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rFonts w:hint="eastAsia" w:eastAsia="宋体"/>
          <w:sz w:val="22"/>
          <w:szCs w:val="22"/>
          <w:lang w:val="en-US" w:eastAsia="zh-CN"/>
        </w:rPr>
        <w:t>5</w:t>
      </w:r>
      <w:r>
        <w:rPr>
          <w:sz w:val="22"/>
          <w:szCs w:val="22"/>
        </w:rPr>
        <w:t>. 历史预警一致性参考</w:t>
      </w:r>
    </w:p>
    <w:p w14:paraId="05B65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从历史监测结果来看，平台在此前多次流感事件中均能够提前识别风险：</w:t>
      </w:r>
    </w:p>
    <w:tbl>
      <w:tblPr>
        <w:tblStyle w:val="33"/>
        <w:tblW w:w="872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1422"/>
        <w:gridCol w:w="978"/>
        <w:gridCol w:w="525"/>
        <w:gridCol w:w="672"/>
        <w:gridCol w:w="785"/>
        <w:gridCol w:w="2003"/>
        <w:gridCol w:w="1092"/>
      </w:tblGrid>
      <w:tr w14:paraId="261D0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209" w:type="dxa"/>
            <w:shd w:val="clear" w:color="auto" w:fill="auto"/>
            <w:vAlign w:val="center"/>
          </w:tcPr>
          <w:p w14:paraId="5C1D3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b/>
                <w:sz w:val="22"/>
                <w:szCs w:val="22"/>
              </w:rPr>
            </w:pPr>
            <w:r>
              <w:rPr>
                <w:rFonts w:ascii="Times New Roman" w:eastAsia="宋体"/>
                <w:b/>
                <w:sz w:val="22"/>
                <w:szCs w:val="22"/>
                <w:lang w:val="en-US" w:eastAsia="zh-CN"/>
              </w:rPr>
              <w:t>疫情事件</w:t>
            </w:r>
          </w:p>
        </w:tc>
        <w:tc>
          <w:tcPr>
            <w:tcW w:w="1394" w:type="dxa"/>
            <w:shd w:val="clear" w:color="auto" w:fill="auto"/>
            <w:vAlign w:val="center"/>
          </w:tcPr>
          <w:p w14:paraId="56E01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b/>
                <w:sz w:val="22"/>
                <w:szCs w:val="22"/>
              </w:rPr>
            </w:pPr>
            <w:r>
              <w:rPr>
                <w:rFonts w:ascii="Times New Roman" w:eastAsia="宋体"/>
                <w:b/>
                <w:sz w:val="22"/>
                <w:szCs w:val="22"/>
                <w:lang w:val="en-US" w:eastAsia="zh-CN"/>
              </w:rPr>
              <w:t>首次预警时间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E17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b/>
                <w:sz w:val="22"/>
                <w:szCs w:val="22"/>
              </w:rPr>
            </w:pPr>
            <w:r>
              <w:rPr>
                <w:rFonts w:ascii="Times New Roman" w:eastAsia="宋体"/>
                <w:b/>
                <w:sz w:val="22"/>
                <w:szCs w:val="22"/>
                <w:lang w:val="en-US" w:eastAsia="zh-CN"/>
              </w:rPr>
              <w:t>峰值时间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C08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b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b/>
                <w:sz w:val="22"/>
                <w:szCs w:val="28"/>
                <w:lang w:val="en-US" w:eastAsia="zh-CN"/>
              </w:rPr>
              <w:t>CNE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67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b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b/>
                <w:sz w:val="22"/>
                <w:szCs w:val="28"/>
                <w:lang w:val="en-US" w:eastAsia="zh-CN"/>
              </w:rPr>
              <w:t>TRCE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A8A0F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b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b/>
                <w:sz w:val="22"/>
                <w:szCs w:val="28"/>
                <w:lang w:val="en-US" w:eastAsia="zh-CN"/>
              </w:rPr>
              <w:t>Fusion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ADBA5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b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b/>
                <w:sz w:val="22"/>
                <w:szCs w:val="28"/>
                <w:lang w:val="en-US" w:eastAsia="zh-CN"/>
              </w:rPr>
              <w:t>综合判断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39086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b/>
                <w:sz w:val="22"/>
                <w:szCs w:val="22"/>
              </w:rPr>
            </w:pPr>
            <w:r>
              <w:rPr>
                <w:rFonts w:ascii="Times New Roman" w:eastAsia="宋体"/>
                <w:b/>
                <w:sz w:val="22"/>
                <w:szCs w:val="22"/>
                <w:lang w:val="en-US" w:eastAsia="zh-CN"/>
              </w:rPr>
              <w:t>提前时间</w:t>
            </w:r>
          </w:p>
        </w:tc>
      </w:tr>
      <w:tr w14:paraId="4172D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09" w:type="dxa"/>
            <w:shd w:val="clear" w:color="auto" w:fill="auto"/>
            <w:vAlign w:val="center"/>
          </w:tcPr>
          <w:p w14:paraId="7CFF4B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第一次疫情</w:t>
            </w:r>
          </w:p>
        </w:tc>
        <w:tc>
          <w:tcPr>
            <w:tcW w:w="1394" w:type="dxa"/>
            <w:shd w:val="clear" w:color="auto" w:fill="auto"/>
            <w:vAlign w:val="center"/>
          </w:tcPr>
          <w:p w14:paraId="5D702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t=50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F2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t=71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1A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DC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14F7F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41335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高可信预警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501CE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21天</w:t>
            </w:r>
          </w:p>
        </w:tc>
      </w:tr>
      <w:tr w14:paraId="0791E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09" w:type="dxa"/>
            <w:shd w:val="clear" w:color="auto" w:fill="auto"/>
            <w:vAlign w:val="center"/>
          </w:tcPr>
          <w:p w14:paraId="01CAFD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第二次疫情</w:t>
            </w:r>
          </w:p>
        </w:tc>
        <w:tc>
          <w:tcPr>
            <w:tcW w:w="1394" w:type="dxa"/>
            <w:shd w:val="clear" w:color="auto" w:fill="auto"/>
            <w:vAlign w:val="center"/>
          </w:tcPr>
          <w:p w14:paraId="65A3BD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t=265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AE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t=343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AE1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0EB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1D7E14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C07AC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风险持续积累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7A35F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78天</w:t>
            </w:r>
          </w:p>
        </w:tc>
      </w:tr>
      <w:tr w14:paraId="1C504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09" w:type="dxa"/>
            <w:shd w:val="clear" w:color="auto" w:fill="auto"/>
            <w:vAlign w:val="center"/>
          </w:tcPr>
          <w:p w14:paraId="1E3DD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第三次疫情</w:t>
            </w:r>
          </w:p>
        </w:tc>
        <w:tc>
          <w:tcPr>
            <w:tcW w:w="1394" w:type="dxa"/>
            <w:shd w:val="clear" w:color="auto" w:fill="auto"/>
            <w:vAlign w:val="center"/>
          </w:tcPr>
          <w:p w14:paraId="0DAE53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t=666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DFD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t=720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54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768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3FFDB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AEC0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最高可信风险事件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71467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43～54天</w:t>
            </w:r>
          </w:p>
        </w:tc>
      </w:tr>
      <w:tr w14:paraId="019C4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09" w:type="dxa"/>
            <w:shd w:val="clear" w:color="auto" w:fill="auto"/>
            <w:vAlign w:val="center"/>
          </w:tcPr>
          <w:p w14:paraId="3D772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第四次疫情</w:t>
            </w:r>
          </w:p>
        </w:tc>
        <w:tc>
          <w:tcPr>
            <w:tcW w:w="1394" w:type="dxa"/>
            <w:shd w:val="clear" w:color="auto" w:fill="auto"/>
            <w:vAlign w:val="center"/>
          </w:tcPr>
          <w:p w14:paraId="24DE9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t=1034～1035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0BE13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t=1084</w:t>
            </w:r>
          </w:p>
        </w:tc>
        <w:tc>
          <w:tcPr>
            <w:tcW w:w="495" w:type="dxa"/>
            <w:shd w:val="clear" w:color="auto" w:fill="auto"/>
            <w:vAlign w:val="center"/>
          </w:tcPr>
          <w:p w14:paraId="012C1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×</w:t>
            </w:r>
          </w:p>
        </w:tc>
        <w:tc>
          <w:tcPr>
            <w:tcW w:w="627" w:type="dxa"/>
            <w:shd w:val="clear" w:color="auto" w:fill="auto"/>
            <w:vAlign w:val="center"/>
          </w:tcPr>
          <w:p w14:paraId="0455A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E3CB3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center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√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42477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 w:hAnsiTheme="minorHAnsi" w:cstheme="minorBidi"/>
                <w:sz w:val="22"/>
                <w:szCs w:val="28"/>
                <w:lang w:val="en-US" w:eastAsia="zh-CN" w:bidi="ar-SA"/>
              </w:rPr>
            </w:pPr>
            <w:r>
              <w:rPr>
                <w:rFonts w:ascii="Times New Roman" w:eastAsia="宋体"/>
                <w:sz w:val="22"/>
                <w:szCs w:val="28"/>
                <w:lang w:val="en-US" w:eastAsia="zh-CN"/>
              </w:rPr>
              <w:t>动力学异常明显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120BB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ind w:left="0" w:leftChars="0" w:right="0" w:rightChars="0" w:firstLine="0" w:firstLineChars="0"/>
              <w:jc w:val="left"/>
              <w:textAlignment w:val="auto"/>
              <w:rPr>
                <w:rFonts w:ascii="Times New Roman" w:eastAsia="宋体"/>
                <w:sz w:val="22"/>
                <w:szCs w:val="22"/>
              </w:rPr>
            </w:pPr>
            <w:r>
              <w:rPr>
                <w:rFonts w:ascii="Times New Roman" w:eastAsia="宋体"/>
                <w:sz w:val="22"/>
                <w:szCs w:val="22"/>
                <w:lang w:val="en-US" w:eastAsia="zh-CN"/>
              </w:rPr>
              <w:t>49～50天</w:t>
            </w:r>
          </w:p>
        </w:tc>
      </w:tr>
    </w:tbl>
    <w:p w14:paraId="160EF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  <w:r>
        <w:rPr>
          <w:sz w:val="22"/>
          <w:szCs w:val="22"/>
        </w:rPr>
        <w:t>历史验证结果显示，多模型协同预警能够在病例峰值出现前提前发现传播风险，为后续防控措施部署提供时间窗口。</w:t>
      </w:r>
      <w:bookmarkStart w:id="0" w:name="_GoBack"/>
      <w:bookmarkEnd w:id="0"/>
    </w:p>
    <w:p w14:paraId="3F82E7D3">
      <w:pPr>
        <w:pStyle w:val="3"/>
        <w:bidi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sz w:val="24"/>
          <w:szCs w:val="24"/>
        </w:rPr>
        <w:t>、防控建议</w:t>
      </w:r>
    </w:p>
    <w:p w14:paraId="48F3A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rFonts w:hint="eastAsia" w:eastAsia="宋体"/>
          <w:sz w:val="22"/>
          <w:szCs w:val="22"/>
          <w:lang w:eastAsia="zh-CN"/>
        </w:rPr>
      </w:pPr>
      <w:r>
        <w:rPr>
          <w:sz w:val="22"/>
          <w:szCs w:val="22"/>
        </w:rPr>
        <w:t>根据当前智能预警分析结果，当前流感传播系统已出现风险增强信号，TRCE模型和Fusion模型在相近时间窗口内共同识别到异常变化，且距离病例峰值仍存在约49～50天提前响应时间。结合当前橙色预警等级，建议加强疫情动态监测</w:t>
      </w:r>
      <w:r>
        <w:rPr>
          <w:rFonts w:hint="eastAsia" w:eastAsia="宋体"/>
          <w:sz w:val="22"/>
          <w:szCs w:val="22"/>
          <w:lang w:eastAsia="zh-CN"/>
        </w:rPr>
        <w:t>，</w:t>
      </w:r>
      <w:r>
        <w:rPr>
          <w:sz w:val="22"/>
          <w:szCs w:val="22"/>
        </w:rPr>
        <w:t>提高流感监测频率，持续跟踪病例变化趋势及风险指标变化</w:t>
      </w:r>
      <w:r>
        <w:rPr>
          <w:rFonts w:hint="eastAsia" w:eastAsia="宋体"/>
          <w:sz w:val="22"/>
          <w:szCs w:val="22"/>
          <w:lang w:eastAsia="zh-CN"/>
        </w:rPr>
        <w:t>。</w:t>
      </w:r>
    </w:p>
    <w:p w14:paraId="1AECB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88" w:lineRule="auto"/>
        <w:ind w:left="0" w:leftChars="0" w:firstLine="440" w:firstLineChars="200"/>
        <w:jc w:val="left"/>
        <w:textAlignment w:val="auto"/>
        <w:rPr>
          <w:sz w:val="22"/>
          <w:szCs w:val="22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23065"/>
    <w:rsid w:val="1DA61BC6"/>
    <w:rsid w:val="3ADA5359"/>
    <w:rsid w:val="7CC3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620</Words>
  <Characters>725</Characters>
  <Lines>0</Lines>
  <Paragraphs>0</Paragraphs>
  <TotalTime>14</TotalTime>
  <ScaleCrop>false</ScaleCrop>
  <LinksUpToDate>false</LinksUpToDate>
  <CharactersWithSpaces>742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petrichorrrr</cp:lastModifiedBy>
  <dcterms:modified xsi:type="dcterms:W3CDTF">2026-07-15T12:48:50Z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eyJoZGlkIjoiMjM4NjliYjhiNGEwYjk0N2ZkYWE3YjMwYTBiYmJkYzAiLCJ1c2VySWQiOiIxMTY0NDcyODQ0In0=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B45C9461CA604B80B1D5D51649B28CF8_12</vt:lpwstr>
  </property>
</Properties>
</file>