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5262" w14:textId="012D3D6A" w:rsidR="00F511A7" w:rsidRDefault="00C93262">
      <w:r w:rsidRPr="00C93262">
        <w:t xml:space="preserve">Comprehensively compared geostatistical and machine learning models stressing uncertainty assessment, model interpretation, spatial cross-validation and implemented two new methods for NO2 mapping.  </w:t>
      </w:r>
    </w:p>
    <w:sectPr w:rsidR="00F511A7" w:rsidSect="00D740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62"/>
    <w:rsid w:val="0036444F"/>
    <w:rsid w:val="00431B4F"/>
    <w:rsid w:val="0075777C"/>
    <w:rsid w:val="00944747"/>
    <w:rsid w:val="00C93262"/>
    <w:rsid w:val="00D7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F1A01C"/>
  <w15:chartTrackingRefBased/>
  <w15:docId w15:val="{0B56A51D-BCFA-7A45-8AC8-4E7E0BA6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lu</dc:creator>
  <cp:keywords/>
  <dc:description/>
  <cp:lastModifiedBy>meng lu</cp:lastModifiedBy>
  <cp:revision>1</cp:revision>
  <dcterms:created xsi:type="dcterms:W3CDTF">2021-08-23T19:54:00Z</dcterms:created>
  <dcterms:modified xsi:type="dcterms:W3CDTF">2021-08-23T19:54:00Z</dcterms:modified>
</cp:coreProperties>
</file>