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1"/>
        <w:spacing w:before="200" w:after="160"/>
      </w:pPr>
      <w:r>
        <w:rPr>
          <w:sz w:val="30"/>
        </w:rPr>
        <w:t>第1页  视频虚化：基线更新、ATB效率优化与案例分析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汇报日期为2026年10月16日，实验和案例依据截至10月14日。本次承接9月30日汇报，重点讲新增MagicBokeh参照、统一硬件的成本分析、已经验证的ATB实现优化，以及真实视频局部问题的定位。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研究主线是先把已有方法跑通并建立比较基础，再寻找计算成本和输出质量中的具体问题。当前效率方向已经得到一次可重复的显存收益；质量方向进入输入诊断和跨方法观察阶段，后续根据证据确定自研模块。</w:t>
      </w:r>
    </w:p>
    <w:p>
      <w:pPr>
        <w:pStyle w:val="1"/>
        <w:spacing w:before="200" w:after="160"/>
      </w:pPr>
      <w:r>
        <w:rPr>
          <w:sz w:val="30"/>
        </w:rPr>
        <w:t>第2页  主体保留与背景虚化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上方是作者项目页的山羊演示，下方是我们用官方权重在DAVIS黑天鹅片段上的复现。左侧为输入，右侧为输出。播放时重点看主体轮廓、细节和背景纹理的变化。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官方素材用于展示方法能力，本地素材用于展示实际复现。黑天鹅使用固定K=16，共25帧，20fps循环播放。两行采用不同素材，讨论各自的视觉现象。官方视频来源为vivocameraresearch.github.io/any2bokeh。</w:t>
      </w:r>
    </w:p>
    <w:p>
      <w:r>
        <w:br w:type="page"/>
      </w:r>
    </w:p>
    <w:p>
      <w:pPr>
        <w:pStyle w:val="1"/>
        <w:spacing w:before="200" w:after="160"/>
      </w:pPr>
      <w:r>
        <w:rPr>
          <w:sz w:val="30"/>
        </w:rPr>
        <w:t>第3页  运动场景下的视频虚化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上方是作者舞蹈演示，下方是本地DAVIS街舞复现。观察人物运动过程中手臂、腿部和背景交界处的变化，理解视频虚化需要同时处理空间边界和连续帧关系。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官方片段长4.5秒，本地片段25帧、20fps，单次播放1.25秒。演示中的末尾回到首帧来自循环播放。接下来通过合成数据、真实视频评价和效率测量说明整体结果。</w:t>
      </w:r>
    </w:p>
    <w:p>
      <w:pPr>
        <w:pStyle w:val="1"/>
        <w:spacing w:before="200" w:after="160"/>
      </w:pPr>
      <w:r>
        <w:rPr>
          <w:sz w:val="30"/>
        </w:rPr>
        <w:t>第4页  合成数据定量结果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使用MPIB-public/sRGB公开代理数据，200段视频，每段25帧，分辨率1024×576。表中七种方法均为本项目复现结果，新增MagicBokeh采用已经确定的B配置。Dr.Bokeh读取GT Alpha，MagicBokeh使用GT目标区域辅助选焦，表格方法标签保留这两项输入条件。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PSNR和SSIM越高，表示与参考图像越接近；LPIPS越低，表示感知差异越小。FVD衡量视频特征分布差异，FD和RM按既定协议衡量运动及帧间变化。ATB在这组公开代理条件下取得较好的质量和时序数值。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MagicBokeh的PSNR为25.12，LPIPS为0.198，FVD为97.79，为单图恢复与虚化方法提供了参照。该数据集参与过配置选择，当前结论定位于公开代理复现开发结果；未来方法比较继续披露各行输入权限。</w:t>
      </w:r>
    </w:p>
    <w:p>
      <w:r>
        <w:br w:type="page"/>
      </w:r>
    </w:p>
    <w:p>
      <w:pPr>
        <w:pStyle w:val="1"/>
        <w:spacing w:before="200" w:after="160"/>
      </w:pPr>
      <w:r>
        <w:rPr>
          <w:sz w:val="30"/>
        </w:rPr>
        <w:t>第5页  真实视频主体边缘保留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DAVIS评价包含50段真实视频，每段25帧，共六种方法。VEPI关注主体边缘保留，数值越高表示该指标下的边缘保留越好。BokehMe为0.954，ATB为0.950，二者较接近。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DAVIS没有配对虚化真值，因此我们将边缘指标与原视频、局部放大及连续帧观察结合。MagicBokeh尚未加入这张真实视频表。DeepLens采用自身估深和原生默认光圈，各方法的控制适配沿用既定配置。</w:t>
      </w:r>
    </w:p>
    <w:p>
      <w:pPr>
        <w:pStyle w:val="1"/>
        <w:spacing w:before="200" w:after="160"/>
      </w:pPr>
      <w:r>
        <w:rPr>
          <w:sz w:val="30"/>
        </w:rPr>
        <w:t>第6页  模型计算成本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这张表来自RTX 4090 D服务器的同配置测量，该实例提供约48GB显存。输入分辨率1024×576，固定四个输入，各预热一次并正式重复五次。时间按实际输出帧归一，显存为设备采样峰值。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这里计模型或渲染器本身。ATB每输出帧约0.803秒，峰值约42.14GiB；MagicBokeh约1.269秒、5.13GiB。MagicBokeh一帧包含六个图块生成与GPU拼接，估深、选焦和CPU颜色处理计入下一页完整视频流程。ATB按视频窗口运行，表中数值是吞吐归一值。</w:t>
      </w:r>
    </w:p>
    <w:p>
      <w:r>
        <w:br w:type="page"/>
      </w:r>
    </w:p>
    <w:p>
      <w:pPr>
        <w:pStyle w:val="1"/>
        <w:spacing w:before="200" w:after="160"/>
      </w:pPr>
      <w:r>
        <w:rPr>
          <w:sz w:val="30"/>
        </w:rPr>
        <w:t>第7页  给定输入下的视频处理效率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本页计时从读取给定输入开始，到25帧CPU uint8 RGB结果形成。ATB模型段为20.113秒，完整流程21.860秒，吞吐约1.144fps。MagicBokeh完整流程36.570秒，包括自身估深、GT目标辅助选点、生成器及颜色校正。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模型加载、外部标注生成、写盘、编码和评价均在这次计时范围之外。GPU方法使用同一4090 D实例，DeepLens采用Xeon 8481C、TF1.15、8线程CPU路径。表中GPU行记录显存，CPU行记录进程内存，设备列用于区分两种资源。</w:t>
      </w:r>
    </w:p>
    <w:p>
      <w:pPr>
        <w:pStyle w:val="1"/>
        <w:spacing w:before="200" w:after="160"/>
      </w:pPr>
      <w:r>
        <w:rPr>
          <w:sz w:val="30"/>
        </w:rPr>
        <w:t>第8页  ATB用时集中在编码与解码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VAE可以理解为在图像和压缩特征之间转换的模块。RGB VAE编码、CoC条件编码以及重叠拼接与时序解码合计占带同步模型段时间的80.36%。其中最后一组约7.841秒，是最耗时的一组。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本页采用带同步插桩的分阶段测量，用来定位时间分布。重叠拼接与时序解码是一组操作，其总时间由整组共同产生。allocated表示PyTorch活跃张量使用的显存，各阶段峰值包含常驻模型和缓存，不能简单相加。分析由此转向编码中间张量和缓存。</w:t>
      </w:r>
    </w:p>
    <w:p>
      <w:r>
        <w:br w:type="page"/>
      </w:r>
    </w:p>
    <w:p>
      <w:pPr>
        <w:pStyle w:val="1"/>
        <w:spacing w:before="200" w:after="160"/>
      </w:pPr>
      <w:r>
        <w:rPr>
          <w:sz w:val="30"/>
        </w:rPr>
        <w:t>第9页  优化冗余计算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本轮只修改VAE编码器残差返回表达式：原来先把残差和分支输出相加，再除以缩放值；当前实例的缩放值严格等于1，直接返回相加结果即可。保留原加法，其他缩放值继续沿用原除法，模型权重和推理窗口保持一致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原表达式会产生额外的大张量。去除这一步后，设备采样峰值由42.116降至37.616GiB，减少4.50GiB，约10.68%；25帧模型耗时由20.273降至20.049秒，减少约1.10%。主要收益是显存下降。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四个固定片段分别覆盖K=4、8、16、32，浮点输出逐位一致，最终RGB8输出一致。正确性检查与正式计时分开。现有验证范围是这四个片段，完整200段扩展和32GB硬件运行属于后续事项；当前原生ATB仍保留为正式基线。</w:t>
      </w:r>
    </w:p>
    <w:p>
      <w:pPr>
        <w:pStyle w:val="1"/>
        <w:spacing w:before="200" w:after="160"/>
      </w:pPr>
      <w:r>
        <w:rPr>
          <w:sz w:val="30"/>
        </w:rPr>
        <w:t>第10页  细绳两时刻的输入离焦变化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car-turn片段中，已记录的端点观察是第22帧细绳比第1帧更淡、更模糊。输入诊断先在RGB中定位局部候选，再读取预测视差和焦点。R1、R2、R4在两个时刻都有有效对应，其名义离焦量分别由0.708、1.022、1.398增至2.403、2.027、2.843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名义离焦量按K乘以预测视差与焦点之差的绝对值计算，是输入控制诊断量。焦点从0.32269变化到0.41688，也参与了局部离焦变化。当前三个候选窄带都呈现端点升高，支持继续检查输入控制与输出现象的关系。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细绳与草地混合是一个待验证假设。定位窄带含混合像素，局部视差相关性随位置变化；后续先核对原RGB清晰度及对应位置，再讨论局部控制干预。两时刻对照与整个序列变化分开分析。</w:t>
      </w:r>
    </w:p>
    <w:p>
      <w:pPr>
        <w:pStyle w:val="1"/>
        <w:spacing w:before="200" w:after="160"/>
      </w:pPr>
      <w:r>
        <w:rPr>
          <w:sz w:val="30"/>
        </w:rPr>
        <w:t>第11页  鸭头与身体的离焦分配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mallard-water片段中，人工观看提出鸭头疑似变软。第0帧输入控制统计显示：头部名义离焦中位数2.400，颈部0.204，身体0.580。头部获得了更大的离焦控制，这是当前明确的输入现象。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0、6、12、18、24五个关键帧都已经完成局部输入统计和同位置六方法材料准备。下一步结合图像观察头部清晰度、与身体的差别，以及背景虚化强度，判断各方法如何响应这些输入。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目前六方法的新视觉复核等待完成，真实深度亦未获得。所查头部视差与水面不同，因此这一例需要独立检查头颈的视差、目标焦点及各方法控制适配。</w:t>
      </w:r>
    </w:p>
    <w:p>
      <w:r>
        <w:br w:type="page"/>
      </w:r>
    </w:p>
    <w:p>
      <w:pPr>
        <w:pStyle w:val="1"/>
        <w:spacing w:before="200" w:after="160"/>
      </w:pPr>
      <w:r>
        <w:rPr>
          <w:sz w:val="30"/>
        </w:rPr>
        <w:t>第12页  伞绳的跨方法细节保留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B19的第0帧上方伞绳已有人工跨方法反馈：P04相对更清楚，映射核对后P04为ATB。这个结果帮助我们同时看到细节损失和ATB相对其他方法的优势。</w:t>
      </w:r>
    </w:p>
    <w:p>
      <w:pPr>
        <w:spacing w:line="324" w:lineRule="auto" w:after="140"/>
      </w:pPr>
      <w:r>
        <w:rPr>
          <w:rFonts w:ascii="Microsoft YaHei" w:hAnsi="Microsoft YaHei" w:eastAsia="微软雅黑"/>
          <w:sz w:val="22"/>
        </w:rPr>
        <w:t>后续保持同帧、同区域、同尺度展示ATB与固定参照方法。不同方法的内部深度和离焦适配各有设置，结合这些条件理解观察结果。该反馈的覆盖范围是已观看的第0帧对照，其他时刻继续通过已有视频材料核查。</w:t>
      </w:r>
    </w:p>
    <w:p>
      <w:pPr>
        <w:pStyle w:val="1"/>
        <w:spacing w:before="200" w:after="160"/>
      </w:pPr>
      <w:r>
        <w:rPr>
          <w:sz w:val="30"/>
        </w:rPr>
        <w:t>第13页  接下来做什么</w:t>
      </w:r>
    </w:p>
    <w:p>
      <w:pPr>
        <w:spacing w:line="324" w:lineRule="auto" w:after="140"/>
      </w:pPr>
      <w:r>
        <w:t>接下来先做一个小对照：模型、随机种子和其他输入都保持不变，只调整选定位置的离焦量，看看细节和背景虚化怎么变。这样可以直接检查，这个位置的输入控制到底对结果有多大影响。</w:t>
      </w:r>
    </w:p>
    <w:p>
      <w:pPr>
        <w:spacing w:line="324" w:lineRule="auto" w:after="140"/>
      </w:pPr>
      <w:r>
        <w:t>然后换一批之前留出的其他来源视频，检查同样的调整是否有效，也看看正常区域有没有受到影响。根据这些结果，再决定方法具体改哪里，并用已有的质量和效率评价检查收益。</w:t>
      </w:r>
    </w:p>
    <w:sectPr w:rsidR="00CA327C" w:rsidRPr="00CA327C" w:rsidSect="00CA327C">
      <w:pgSz w:w="11906" w:h="16838"/>
      <w:pgMar w:top="1080" w:right="1200" w:bottom="1080" w:left="12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F416CF" w14:textId="77777777" w:rsidR="00D8095D" w:rsidRDefault="00D8095D" w:rsidP="00795D5A">
      <w:pPr>
        <w:spacing w:after="0" w:line="240" w:lineRule="auto"/>
      </w:pPr>
      <w:r>
        <w:separator/>
      </w:r>
    </w:p>
  </w:endnote>
  <w:endnote w:type="continuationSeparator" w:id="0">
    <w:p w14:paraId="422FDA82" w14:textId="77777777" w:rsidR="00D8095D" w:rsidRDefault="00D8095D" w:rsidP="00795D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19BF35" w14:textId="77777777" w:rsidR="00D8095D" w:rsidRDefault="00D8095D" w:rsidP="00795D5A">
      <w:pPr>
        <w:spacing w:after="0" w:line="240" w:lineRule="auto"/>
      </w:pPr>
      <w:r>
        <w:separator/>
      </w:r>
    </w:p>
  </w:footnote>
  <w:footnote w:type="continuationSeparator" w:id="0">
    <w:p w14:paraId="15C8948D" w14:textId="77777777" w:rsidR="00D8095D" w:rsidRDefault="00D8095D" w:rsidP="00795D5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27C"/>
    <w:rsid w:val="001B6F97"/>
    <w:rsid w:val="00795D5A"/>
    <w:rsid w:val="00884D79"/>
    <w:rsid w:val="008D41DB"/>
    <w:rsid w:val="00C5741A"/>
    <w:rsid w:val="00CA327C"/>
    <w:rsid w:val="00D8095D"/>
    <w:rsid w:val="00EE714A"/>
    <w:rsid w:val="00F961FD"/>
    <w:rsid w:val="00FC2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30DA809"/>
  <w15:chartTrackingRefBased/>
  <w15:docId w15:val="{42CD880E-6B28-4847-97AE-667C36888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A327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A32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32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327C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327C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327C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327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327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327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A327C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A32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A327C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A327C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A327C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A327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A327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A327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A327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A32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32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A32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A32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A327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A327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A327C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A32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A327C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A327C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95D5A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95D5A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95D5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1845</Words>
  <Characters>1901</Characters>
  <Application>Microsoft Office Word</Application>
  <DocSecurity>0</DocSecurity>
  <Lines>70</Lines>
  <Paragraphs>59</Paragraphs>
  <ScaleCrop>false</ScaleCrop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辰洋 孟</dc:creator>
  <cp:keywords/>
  <dc:description/>
  <cp:lastModifiedBy>辰洋 孟</cp:lastModifiedBy>
  <cp:revision>2</cp:revision>
  <dcterms:created xsi:type="dcterms:W3CDTF">2026-09-20T03:06:00Z</dcterms:created>
  <dcterms:modified xsi:type="dcterms:W3CDTF">2026-09-20T03:06:00Z</dcterms:modified>
</cp:coreProperties>
</file>