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320"/>
      </w:pPr>
      <w:r>
        <w:rPr>
          <w:rFonts w:ascii="微软雅黑" w:hAnsi="微软雅黑"/>
          <w:b/>
          <w:sz w:val="40"/>
        </w:rPr>
        <w:t>下次汇报草稿｜视频虚化：基线补充与Any-to-Bokeh效率分析（汇报日期待定；数据截至2026-10-01）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次在上次汇报基础上新增两项实测：MagicBokeh完成200段合成视频、每段25帧的评价，并补齐相同配置的模型计算成本；Any-to-Bokeh完成首轮模块时间与显存分析。当前Synthetic有七种方法，DAVIS仍是六种。接下来围绕已经定位的瓶颈和可重复失败场景确定自研方向，不再把低帧率深度补全设为前置任务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Any-to-Bokeh仍是核心视频基线。4090 D上模型段约0.803312秒/输出帧、42.14 GiB设备采样峰值；旧RTX PRO6000上为0.50464秒/输出帧、38.47 GiB。两卡结果分别标注，不能将差异说成方法优化收益。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另外六种按单帧运行：DeepLens、BokehMe、MPIB、Dr.Bokeh、BokehDiff和新增MagicBokeh。它们的主表适配配置保持冻结。Dr.Bokeh额外使用GT alpha；MagicBokeh自行从RGB估深，同时使用GT可见目标区域辅助选出一个焦点像素，因此并非所有方法输入权限相同。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MagicBokeh采用用户选定的目标辅助深度选点配置：在GT可见目标安全区域里，依据自身预测深度选择接近区域中位深度的实际像素；焦点数值读取这个像素的预测深度。GT数值深度和alpha不送入生成器，但GT区域参与选点这一额外权限必须披露。逐帧没有时序平滑，虚化强度、分块及颜色后处理均沿用冻结实现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01  主体保留与背景虚化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先看Any-to-Bokeh能够产生什么样的视频虚化效果。这一页上方是作者项目页的山羊演示，下方是我们用官方权重在DAVIS黑天鹅视频上得到的本地复现。两行都是左边输入、右边输出，点击一行中的视频即可同步播放这一对输入和输出。山羊后方的山坡纹理变得模糊，动物主体仍然清楚；黑天鹅后方的植被和岸边也明显变虚，可以重点观察脖子、羽毛与背景交界的位置。官方演示和本地复现使用不同素材，用于直观展示方法效果，不能当作同一输入下的质量差异比较。本地结果不是我们的自研方法，素材也不是自采视频；它使用DAVIS、官方权重和固定K=16。这些实拍视频没有虚化真值，因此这一页只做定性观察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02  运动场景下的视频虚化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页看运动场景。上方是官方舞蹈演示，下方是本地DAVIS街舞复现，仍然是左侧输入、右侧输出。播放时观察人物做动作的过程中，主体轮廓和肢体细节如何变化，背景观众是否被虚化，以及边界附近有没有明显异常。这些视频用于展示实际现象，不据此直接宣称没有闪烁。官方片段长4.5秒；本地片段只有25帧，以20fps播放时为1.25秒，设置为循环方便观察。循环末尾跳回首帧属于播放重复，不是模型在连续帧之间产生的错误。两页开场先给出效果直觉，后面的合成数据、真实视频指标和效率表再说明完整评价结果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03  合成数据定量结果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页在原有六种方法的复现结果中加入MagicBokeh。上表是我们在公开代理合成集上的实测，下表保留原论文报告值。MagicBokeh没有对应的Any-to-Bokeh论文行，因此不填写或虚构它的论文参照，也不纳入原六种方法的平均绝对偏差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输入与参考保持原来的200段、每段25帧、1024×576，参考虚化使用MPIB-public/sRGB代理渲染。MagicBokeh全部5000帧的输出完整性、目标点、原生深度、随机种子和指标检查通过。它不是重新生成的一套更有利测试数据。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指标方面，PSNR和SSIM衡量画面和真值有多像，越大越好；LPIPS是接近人眼感受的差异，越小越好；FVD比较整段视频和真值视频的整体差距，越小越好；FD和RM看前后帧的运动和变化是否和真值一致，反映时序稳定性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Any-to-Bokeh仍在这些指标上领先。MagicBokeh的PSNR为25.1202 dB、SSIM为0.799536、LPIPS为0.197734、FVD为97.7899、FD为0.870974、RM为0.026840；补充的VFID-I为14.9854。它在当前代理集与控制协议下距离GT较远，但不能把这些差距唯一归因于模型能力：估深、目标控制、图块生成及颜色处理都和ATB不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平均绝对偏差仍只在原六种方法和它们的论文对应行之间计算：PSNR约1.79 dB、SSIM约0.040、LPIPS约0.032、FVD约20.64、FD约0.136、RM约0.0051。它描述两套测试条件下的差异，不作为实现必须通过的门槛。MagicBokeh没有对应论文行，明确排除。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Crafter行沿用原论文VBS数据集小、中、大三档的外部参考均值，与本项目数据不同，不直接排序。MagicBokeh本轮保留低K非目标区域较清晰、K32部分目标失焦和原生逐帧深度变化；结果出来后没有再调K、阈值或更换深度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04  真实视频定量结果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DAVIS仍是上次冻结的六种方法，各50段、每段25帧。这里没有虚化真值，VEPI衡量输出与输入在主体边缘附近的结构保留，不能单独代表背景虚化质量。MagicBokeh尚未运行DAVIS协议，不在这张表中填入推测值。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BokehMe约0.954，Any-to-Bokeh约0.950，前两位非常接近。DeepLens采用原生默认光圈，虚化相对较轻，这与其较高边缘保留分数同时出现，但不能仅凭均值差异唯一解释原因。原有定性失败和方法输入差异继续保留。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所以VEPI只能说明主体边缘保留得怎么样，不代表整体虚化效果的好坏，需要和效果图一起看。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05  模型计算成本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模型计算成本表比较模型段成本。当前页为2026-10-01在4090 D上的六种GPU方法复测：固定四个输入、各预热一次和正式五次。参数量复用，完整GFLOPs继续N/A；模型加载、读取与外围前后处理不计。旧RTX PRO6000结果单独保留，不能与新卡混算方法加速比。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Any-to-Bokeh按真实25帧路径测量，新卡模型段约20.083秒，再除25得到0.803312秒/输出帧。这不是独立单帧在线延迟。MagicBokeh一张1024×576输出由六个512×512图块组成，新卡模型时间约1.269188秒，包含生成器及GPU拼接。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MagicBokeh实际调用的生成器参数约1398.545M，设备采样峰值约5.13 GiB，Torch allocated峰值约3.89 GiB。这里不计DAdepth估深、GT目标辅助选点、条件构造和CPU PIL/AdaIN颜色处理。相对于ATB，当前生成器路径显存更低，但全帧单位输出时间更长；单步标签不能直接说明它更快。这不是完整RGB到虚化的端到端成本。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06  视频端到端效率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这一页单独呈现当前服务器处理完整25帧视频的耗时、FPS和峰值内存。六种GPU方法使用RTX 4090 D，DeepLens沿用CPU实现。目前这些完整流水尚未测量，所以所有数值明确标为待测，不把旧服务器结果搬过来，也不用上一页模型时间乘25代填。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计时从读入已给输入开始，包括适配、必要分层和修复、方法推理、传输及后处理，直到25张CPU RGB输出准备就绪。排除模型加载、首次CUDA context、benchmark外部geometry生成、最终写盘和视频编码。FPS等于25除以整段平均耗时。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DeepLens报告CPU进程内存，其余报告GPU设备采样显存，不能作同质内存排序。MagicBokeh的完整流水需在补测前明确自身估深、目标选点和CPU颜色校正等步骤的边界。旧服务器已有结果继续保存在项目记录中。</w:t>
      </w:r>
    </w:p>
    <w:p/>
    <w:p>
      <w:pPr>
        <w:spacing w:after="320"/>
      </w:pPr>
      <w:r>
        <w:rPr>
          <w:rFonts w:ascii="微软雅黑" w:hAnsi="微软雅黑"/>
          <w:b/>
          <w:sz w:val="40"/>
        </w:rPr>
        <w:t>07  ATB的主要成本集中在VAE（旧RTX PRO6000模块分析）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以下模块分析来自旧RTX PRO6000，新卡尚未重测模块占比。首轮profile沿用四段固定输入，每段25帧，预热一次、正式重复两次，不改权重和精度。分阶段同步是为了归因，因此这些阶段耗时不能替换模型计算成本表的正式测速结果。每段约12.626秒模型段中，RGB VAE编码约2.739秒，CoC VAE编码约2.516秒，重叠拼接与时序VAE解码约4.975秒，三项合计约81%；UNet约2.258秒。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RGB和CoC编码阶段的Torch allocated峰值都约34.29 GiB；重叠拼接与解码阶段约29.65 GiB，UNet约14.39 GiB。这些是含常驻权重和缓存的绝对峰值，不能相加，也不能与旧卡模型计算成本表约38.47 GiB的设备占用采样值混为同一口径。持续RGB特征缓存约6.47 GiB，其中最高分辨率一级占4.5 GiB。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每25个最终输出帧，RGB和CoC分别处理48个编码帧槽，解码处理32个帧槽，包含窗口重叠和padding。但是重复数量不等于可以无损删掉的计算，因为还涉及随机采样、缓存索引和时序解码上下文。目前只定位了成本来源，没有验证任何优化已经提速、降显存或保持质量。模型计算成本和完整视频流水分别评价；低帧率深度专项继续暂停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08  当前进度与下一步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第一，七方法Synthetic、六方法DAVIS和新旧GPU的模型成本结果继续保留。旧机六方法端到端效率已有实测，新4090 D尚未复测完整25帧E2E，MagicBokeh也没有端到端效率结果。缺项标待测，不能用模型时间乘25代填。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第二，后续若补新卡端到端效率，应按冻结E2E-given-inputs边界完成完整25帧流水；MagicBokeh需要在执行前明确自身估深、目标选点、颜色后处理等方法内步骤。当前只更正表格，没有启动补测。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第三，模型计算成本与视频端到端效率都保留，分别回答模型本体的计算成本和完整视频流水的处理耗时。低帧率深度专项继续暂停，不影响这两张效率表。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第四，编码分批、缓存优化、失败场景分析和Ours设计仍是后续候选。本轮不执行这些方案，等待后续明确任务。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附  指标说明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PSNR（峰值信噪比）：逐像素比较输出和真值的误差，单位是dB，越大越好。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SSIM（结构相似度）：从亮度、对比度和局部结构三方面比较输出和真值，范围0到1，越大越好。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LPIPS（感知相似度）：用深度网络提取的特征比较两张图的差异，比PSNR更接近人眼感受，越小越好。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FVD（视频距离）：用视频网络提取整段视频的特征，比较输出视频和真值视频在整体分布上的差距，同时反映画质和时序，越小越好。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FD（光流差异）：用RAFT光流分别估计输出和真值中相邻帧之间的运动，再比较两者的差异，越小说明输出的运动和真值越一致。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RM（帧间变化差异）：比较输出相邻帧之间的变化和真值相邻帧之间的变化，越小说明闪烁和跳变越少，时序越稳定。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VEPI（边缘保留指标）：用于没有真值的真实视频，比较输出和输入在主体边缘附近的边缘结构有多相似，越大说明主体边缘保留得越好。直接输出全清晰的原图也能得到很高的分数，所以它只反映边缘保留，不代表整体虚化效果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平均绝对偏差：本项目结果与对应论文报告值之差的绝对值，在原六种有对应行的方法上取平均；MagicBokeh和BokehCrafter均不参与这一统计。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效率指标：时间按实际输出帧归一，不等同于单帧在线延迟；参数量为实际调用模块的独立参数数目。设备采样峰值包含上下文与分配器缓存；Torch allocated是框架已分配张量占用，两者口径不同。阶段峰值不可相加。MagicBokeh此表不计估深等前处理，DeepLens CPU不进入GPU主表。</w:t>
      </w:r>
    </w:p>
    <w:p>
      <w:r>
        <w:br w:type="page"/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证据：magicbokeh-track-a-200-20260930.json；magicbokeh-frozen-B-table3-20260930.json；any2bokeh-native-module-profile-20260930.json。原0930已汇报版本保留，本稿汇报日期待定。</w:t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