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下次汇报草稿｜视频虚化：基线补充与Any-to-Bokeh效率分析（汇报日期待定；数据截至2026-10-01）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Any-to-Bokeh仍是核心视频基线。4090 D上模型段约0.803312秒/输出帧、42.14 GiB设备采样峰值；旧RTX PRO6000上为0.50464秒/输出帧、38.47 GiB。两卡结果分别标注，不能将差异说成方法优化收益。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目标辅助深度选点配置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模型计算成本表比较模型段成本。当前页为2026-10-01在4090 D上的六种GPU方法复测：固定四个输入、各预热一次和正式五次。参数量复用，完整GFLOPs继续N/A；模型加载、读取与外围前后处理不计。旧RTX PRO6000结果单独保留，不能与新卡混算方法加速比。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Any-to-Bokeh按真实25帧路径测量，新卡模型段约20.083秒，再除25得到0.803312秒/输出帧。这不是独立单帧在线延迟。MagicBokeh一张1024×576输出由六个512×512图块组成，新卡模型时间约1.269188秒，包含生成器及GPU拼接。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MagicBokeh实际调用的生成器参数约1398.545M，设备采样峰值约5.13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这一页呈现当前服务器的完整25帧实测。六种GPU方法使用RTX 4090 D，DeepLens使用Xeon Platinum 8481C的TF1.15 CPU路径。四个固定输入各预热一次、正式五次，七方法共140次正式测量。ATB的Core为20.113秒，E2E为21.860秒，吞吐率为1.144fps。视频时间来自实际完整25帧执行，不由模型单帧时间外推。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计时从读入已给输入开始，包括适配、必要分层和修复、方法推理、传输及后处理，直到25张CPU RGB输出准备就绪。排除模型加载、首次CUDA context、benchmark外部geometry生成、最终写盘和视频编码。FPS等于25除以整段平均耗时。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DeepLens固定intra-op8线程、inter-op1线程；Core为46.733秒，E2E为48.789秒，CPU RSS采样峰值为1.524GiB。其余方法报告GPU设备采样显存，PyTorch allocated/reserved另存，CPU与GPU内存不能作同质排序。MagicBokeh本次包含每帧重新估深、GT目标辅助选点、条件构造/传输、六图块生成与拼接，以及PIL/AdaIN颜色处理；其Core为32.571秒，E2E为36.570秒。Core包含估深网络forward和生成器GPU段，因此与上一页generator-only模型成本的边界不同。外部benchmark标注生成、模型加载、最终写盘、编码和指标计算不计。</w:t>
      </w:r>
    </w:p>
    <w:p/>
    <w:p>
      <w:pPr>
        <w:spacing w:after="320"/>
      </w:pPr>
      <w:r>
        <w:rPr>
          <w:rFonts w:ascii="微软雅黑" w:hAnsi="微软雅黑"/>
          <w:b/>
          <w:sz w:val="40"/>
        </w:rPr>
        <w:t>07  ATB用时集中在编码与解码（RTX 4090 D模块分析）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这一页说明Any-to-Bokeh的时间花在哪里，数据来自4090 D上的模块级归因。四个固定片段、每段25帧、原生8/8/9窗口调用，预热一次、正式重复两次。分阶段耗时带同步插桩，同步本身有一点额外开销，所以这些数字用来比较各阶段的相对占比，不替换模型计算成本表里的正式计时。正式未插桩Core是20.1128秒，带插桩20.1707秒，相差约0.29%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从表里看三件事。第一，VAE相关的三行——RGB编码、CoC编码、重叠拼接与时序解码——合计16.209秒，占80.36%，与旧卡测到的81.01%基本一致，说明瓶颈构成没有因为换卡而改变。第二，单段占比最大的是重叠拼接与时序解码，7.841秒占38.87%，但这一段包含拼接和四次解码调用，不能把整段耗时都归给解码器。第三，UNet只占18.55%，说明这条流水线的成本主要不在生成主干的采样上，而在VAE的编码和解码两端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显存那一列按绝对峰值理解：34.29 GiB出现在RGB和CoC编码阶段，29.65 GiB出现在重叠拼接与解码阶段，14.39 GiB是UNet。这些数字都包含常驻权重和缓存，彼此不能相加，也不能和模型计算成本表的设备采样峰值直接比较，因为那张表用的是设备采样口径。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时间占比那一列的分母是带插桩的完整Core，也就是20.171秒。写成"占插桩Core"容易让人以为是正式测量值，所以PPT上就标成"时间占比"，这里说明一下它的分母是什么。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还有两点补充。第一，这里的时间是归因口径，正式效率仍以未插桩测量20.1128秒为准。第二，旧卡的同口径占比是81.01%，各阶段在新卡上约为旧卡的1.6倍，两卡分开记录，不计算跨卡加速倍数。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这一页先看显存是怎么构成的，再看一个新的优化实验。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张表是显存和用时的前后对照。原版是当前基线实现，候选版本只改了一处：VAE编码器里残差返回时，如果缩放系数严格等于1，就跳过这一步除法。能跳过的原因是除以1本身不改变数值，但原来的写法会产生一个和特征图同样大的临时张量，全分辨率那一层就是4.5 GiB。加上这类临时张量，编码阶段的峰值需要同时容纳五笔4.5 GiB的分配，也就是22.5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改成跳过后，编码阶段只需四笔并发分配，完整运行的allocated峰值从34.294 GiB降到29.797 GiB，减少4.497 GiB，约13.11%；reserved和设备采样峰值也同步下降约4.5 GiB。时间上四片段等权平均从20.273秒降到20.049秒，降低1.10%；四个片段的差值都超过两组各自标准差的两倍，所以这个收益在本轮测量中是稳定的。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正确性方面，四个片段的输出与预热做了严格对比：浮点输出的不同元素数、不同位模式数，以及转成8位RGB后的不同字节数，全部为零；采样调用次数与顺序、随机状态、四级RGB缓存和latent cache也都逐字节一致。也就是说，这个改动在已测输入上没有改变结果。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第二张表是显存构成。最值得记住的是四级RGB特征缓存，合计6.469 GiB，它从RGB编码一直保留到解码结束，跨CoC、UNet和解码三个环节；latent cache的逻辑大小很小，但底层仍保留16个帧槽的存储；编码阶段的并发大分配就是刚才说的五笔4.5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正确性方面再补一句：四个片段的输出逐位和8位结果都没有差异，但设备采样峰值仍高于32 GiB，所以还没有在32GB显卡上实测，不能宣称可以在32GB卡上运行。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最后强调这次改动的定位。它是Any-to-Bokeh自身的实现效率优化，不是我们方法的创新点，也不直接算研究贡献。原正式效率表和原生基线都不替换，候选版本用显式开关单独保留；原计划的编码微批量方案先搁置。</w:t>
      </w:r>
    </w:p>
    <w:p>
      <w:pPr>
        <w:spacing w:after="320"/>
      </w:pPr>
      <w:r>
        <w:rPr>
          <w:rFonts w:ascii="微软雅黑" w:hAnsi="微软雅黑"/>
          <w:b/>
          <w:sz w:val="40"/>
        </w:rPr>
        <w:t>08  当前进度与下一步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第一，七方法Synthetic、六方法DAVIS和新旧GPU模型成本结果继续保留。本轮只补当前服务器的七方法视频端到端效率，完成完整25帧、四输入、各预热一次和正式五次的测量。旧PRO 6000 Blackwell及Xeon 8470Q结果按原硬件标注保留；旧机MagicBokeh没有视频E2E记录，继续留空。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当前服务器的视频端到端效率已完成；每次的Core、E2E、FPS、显存或RSS以及原始日志均已保存。均值、标准差和每K统计来自重复实测。新旧机器的GPU、CPU及环境存在差异，两张表服务于各自明确的成本边界，不将跨机差异解释为模型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第三，模型计算成本与视频端到端效率都保留，分别回答模型本体的计算成本和完整视频流水的处理耗时。低帧率深度专项继续暂停，不影响这两张效率表。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第四，编码分批、缓存优化、失败场景分析和Ours设计仍是后续候选。本轮不执行这些方案，等待后续明确任务。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证据：magicbokeh-track-a-200-20260930.json；magicbokeh-frozen-B-table3-20260930.json；any2bokeh-native-module-profile-20260930.json。原0930已汇报版本保留，本稿汇报日期待定。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