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下次汇报草稿｜视频虚化：基线补充与Any-to-Bokeh效率分析（汇报日期待定；数据截至2026-09-30）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Any-to-Bokeh仍是核心视频基线，它按视频组处理RGB、几何和对焦条件，能够利用前后帧信息。当前约0.50464秒/输出帧、38.47 GiB设备采样峰值，是后续需要解释和改善的基线成本，而不是已经实现的优化收益。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MagicBokeh采用用户选定的Target-guided Depth-Medoid B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 B。上表是我们在公开代理合成集上的实测，下表保留原论文报告值。MagicBokeh没有对应的Any-to-Bokeh论文行，因此不填写或虚构它的论文参照，也不纳入原六种方法的平均绝对偏差。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 B的PSNR为25.1202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Table 3比较当前冻结生成器或模型路径的成本。同一块RTX PRO6000 Blackwell GPU，固定四个输入，各预热一次、正式重复五次。时间按实际输出帧归一，模型加载、输入读取和外围前后处理不计；显存是设备占用采样峰值，完整GFLOPs由于算子覆盖不足未列数值。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Any-to-Bokeh按真实25帧视频路径测量，再除以输出帧数；0.50464秒不是单帧在线延迟。MagicBokeh的一张1024×576图像实际需要六个512×512图块，它的1.20890秒包含六次生成器forward与GPU重叠拼接，而不是单图块的延迟。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 B实际调用的生成器参数约1398.545M，设备采样峰值约5.30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ATB的主要成本集中在VAE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首轮profile沿用四段固定输入，每段25帧，预热一次、正式重复两次，不改权重和精度。分阶段同步是为了归因，因此这些阶段耗时不能替换Table 3的正式测速结果。每段约12.626秒模型段中，RGB VAE编码约2.739秒，CoC VAE编码约2.516秒，重叠拼接与时序VAE解码约4.975秒，三项合计约81%；UNet约2.258秒。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RGB和CoC编码阶段的Torch allocated峰值都约34.29 GiB；重叠拼接与解码阶段约29.65 GiB，UNet约14.39 GiB。这些是含常驻权重和缓存的绝对峰值，不能相加，也不能与Table 3约38.47 GiB的设备占用采样值混为同一口径。持续RGB特征缓存约6.47 GiB，其中最高分辨率一级占4.5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25个最终输出帧，RGB和CoC分别处理48个编码帧槽，解码处理32个帧槽，包含窗口重叠和padding。但是重复数量不等于可以无损删掉的计算，因为还涉及随机采样、缓存索引和时序解码上下文。目前只定位了成本来源，没有验证任何优化已经提速、降显存或保持质量。历史25帧端到端表继续保存在仓库，当前不再占正式主表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下一步：机制验证与失败分析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第一，已完成的MagicBokeh B原生验证、候选选择、200×25评价和同配置成本不重跑。Synthetic七方法、DAVIS六方法和正式模型成本继续冻结，不根据后续自研结果调整baseline。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针对ATB做最小受控效率验证。先区分FP32编码激活与持续RGB缓存的贡献，再选择一个因素改变，例如编码批量或缓存策略。比较时间、显存及输出差异，保留随机流、缓存索引和时序解码语义。CoC编码同样达到峰值，因此不能提前承诺只清理旧RGB缓存就能降低总峰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从现有Synthetic与DAVIS结果中固定可重复失败场景，重点看主体边界、遮挡、细结构、大运动、强虚化和控制变化。每个问题都需要现象、可重复证据、可能机制和最小验证；不能根据想做的模块反向挑案例。动态控制等新专项仅在现有证据指向它时再开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第四，在效率验证和失败分析形成证据后确定Ours，优先选能做清晰消融、改动可控的问题。低帧率补全、Token Merging和三头结构仍是候选，不是必须实现项；Track B和OPPO-style专项当前不作为前置。下一次汇报可以继续补受控实验结果，但不能把未运行的想法写成已验证改进。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r>
        <w:t>证据：magicbokeh-track-a-200-20260930.json；magicbokeh-frozen-B-table3-20260930.json；any2bokeh-native-module-profile-20260930.json。原0930已汇报版本保留，本稿汇报日期待定。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