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320"/>
      </w:pPr>
      <w:r>
        <w:rPr>
          <w:rFonts w:ascii="微软雅黑" w:hAnsi="微软雅黑"/>
          <w:b/>
          <w:sz w:val="40"/>
        </w:rPr>
        <w:t>下次汇报草稿｜视频虚化：基线补充与Any-to-Bokeh效率分析（汇报日期待定；数据截至2026-10-01）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次在上次汇报基础上新增两项实测：MagicBokeh完成200段合成视频、每段25帧的评价，并补齐相同配置的模型计算成本；Any-to-Bokeh完成首轮模块时间与显存分析。当前Synthetic有七种方法，DAVIS仍是六种。接下来围绕已经定位的瓶颈和可重复失败场景确定自研方向，不再把低帧率深度补全设为前置任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Any-to-Bokeh仍是核心视频基线。4090 D上模型段约0.803312秒/输出帧、42.14 GiB设备采样峰值；旧RTX PRO6000上为0.50464秒/输出帧、38.47 GiB。两卡结果分别标注，不能将差异说成方法优化收益。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另外六种按单帧运行：DeepLens、BokehMe、MPIB、Dr.Bokeh、BokehDiff和新增MagicBokeh。它们的主表适配配置保持冻结。Dr.Bokeh额外使用GT alpha；MagicBokeh自行从RGB估深，同时使用GT可见目标区域辅助选出一个焦点像素，因此并非所有方法输入权限相同。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采用用户选定的目标辅助深度选点配置：在GT可见目标安全区域里，依据自身预测深度选择接近区域中位深度的实际像素；焦点数值读取这个像素的预测深度。GT数值深度和alpha不送入生成器，但GT区域参与选点这一额外权限必须披露。逐帧没有时序平滑，虚化强度、分块及颜色后处理均沿用冻结实现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01  主体保留与背景虚化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先看Any-to-Bokeh能够产生什么样的视频虚化效果。这一页上方是作者项目页的山羊演示，下方是我们用官方权重在DAVIS黑天鹅视频上得到的本地复现。两行都是左边输入、右边输出，点击一行中的视频即可同步播放这一对输入和输出。山羊后方的山坡纹理变得模糊，动物主体仍然清楚；黑天鹅后方的植被和岸边也明显变虚，可以重点观察脖子、羽毛与背景交界的位置。官方演示和本地复现使用不同素材，用于直观展示方法效果，不能当作同一输入下的质量差异比较。本地结果不是我们的自研方法，素材也不是自采视频；它使用DAVIS、官方权重和固定K=16。这些实拍视频没有虚化真值，因此这一页只做定性观察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02  运动场景下的视频虚化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页看运动场景。上方是官方舞蹈演示，下方是本地DAVIS街舞复现，仍然是左侧输入、右侧输出。播放时观察人物做动作的过程中，主体轮廓和肢体细节如何变化，背景观众是否被虚化，以及边界附近有没有明显异常。这些视频用于展示实际现象，不据此直接宣称没有闪烁。官方片段长4.5秒；本地片段只有25帧，以20fps播放时为1.25秒，设置为循环方便观察。循环末尾跳回首帧属于播放重复，不是模型在连续帧之间产生的错误。两页开场先给出效果直觉，后面的合成数据、真实视频指标和效率表再说明完整评价结果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03  合成数据定量结果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页在原有六种方法的复现结果中加入MagicBokeh。上表是我们在公开代理合成集上的实测，下表保留原论文报告值。MagicBokeh没有对应的Any-to-Bokeh论文行，因此不填写或虚构它的论文参照，也不纳入原六种方法的平均绝对偏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输入与参考保持原来的200段、每段25帧、1024×576，参考虚化使用MPIB-public/sRGB代理渲染。MagicBokeh全部5000帧的输出完整性、目标点、原生深度、随机种子和指标检查通过。它不是重新生成的一套更有利测试数据。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指标方面，PSNR和SSIM衡量画面和真值有多像，越大越好；LPIPS是接近人眼感受的差异，越小越好；FVD比较整段视频和真值视频的整体差距，越小越好；FD和RM看前后帧的运动和变化是否和真值一致，反映时序稳定性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Any-to-Bokeh仍在这些指标上领先。MagicBokeh的PSNR为25.1202 dB、SSIM为0.799536、LPIPS为0.197734、FVD为97.7899、FD为0.870974、RM为0.026840；补充的VFID-I为14.9854。它在当前代理集与控制协议下距离GT较远，但不能把这些差距唯一归因于模型能力：估深、目标控制、图块生成及颜色处理都和ATB不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平均绝对偏差仍只在原六种方法和它们的论文对应行之间计算：PSNR约1.79 dB、SSIM约0.040、LPIPS约0.032、FVD约20.64、FD约0.136、RM约0.0051。它描述两套测试条件下的差异，不作为实现必须通过的门槛。MagicBokeh没有对应论文行，明确排除。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Crafter行沿用原论文VBS数据集小、中、大三档的外部参考均值，与本项目数据不同，不直接排序。MagicBokeh本轮保留低K非目标区域较清晰、K32部分目标失焦和原生逐帧深度变化；结果出来后没有再调K、阈值或更换深度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04  真实视频定量结果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DAVIS仍是上次冻结的六种方法，各50段、每段25帧。这里没有虚化真值，VEPI衡量输出与输入在主体边缘附近的结构保留，不能单独代表背景虚化质量。MagicBokeh尚未运行DAVIS协议，不在这张表中填入推测值。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BokehMe约0.954，Any-to-Bokeh约0.950，前两位非常接近。DeepLens采用原生默认光圈，虚化相对较轻，这与其较高边缘保留分数同时出现，但不能仅凭均值差异唯一解释原因。原有定性失败和方法输入差异继续保留。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所以VEPI只能说明主体边缘保留得怎么样，不代表整体虚化效果的好坏，需要和效果图一起看。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05  模型计算成本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模型计算成本表比较模型段成本。当前页为2026-10-01在4090 D上的六种GPU方法复测：固定四个输入、各预热一次和正式五次。参数量复用，完整GFLOPs继续N/A；模型加载、读取与外围前后处理不计。旧RTX PRO6000结果单独保留，不能与新卡混算方法加速比。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Any-to-Bokeh按真实25帧路径测量，新卡模型段约20.083秒，再除25得到0.803312秒/输出帧。这不是独立单帧在线延迟。MagicBokeh一张1024×576输出由六个512×512图块组成，新卡模型时间约1.269188秒，包含生成器及GPU拼接。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MagicBokeh实际调用的生成器参数约1398.545M，设备采样峰值约5.13 GiB，Torch allocated峰值约3.89 GiB。这里不计DAdepth估深、GT目标辅助选点、条件构造和CPU PIL/AdaIN颜色处理。相对于ATB，当前生成器路径显存更低，但全帧单位输出时间更长；单步标签不能直接说明它更快。这不是完整RGB到虚化的端到端成本。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06  视频端到端效率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这一页呈现当前服务器的完整25帧实测。六种GPU方法使用RTX 4090 D，DeepLens使用Xeon Platinum 8481C的TF1.15 CPU路径。四个固定输入各预热一次、正式五次，七方法共140次正式测量。ATB的Core为20.113秒，E2E为21.860秒，吞吐率为1.144fps。视频时间来自实际完整25帧执行，不由模型单帧时间外推。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计时从读入已给输入开始，包括适配、必要分层和修复、方法推理、传输及后处理，直到25张CPU RGB输出准备就绪。排除模型加载、首次CUDA context、benchmark外部geometry生成、最终写盘和视频编码。FPS等于25除以整段平均耗时。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DeepLens固定intra-op8线程、inter-op1线程；Core为46.733秒，E2E为48.789秒，CPU RSS采样峰值为1.524GiB。其余方法报告GPU设备采样显存，PyTorch allocated/reserved另存，CPU与GPU内存不能作同质排序。MagicBokeh本次包含每帧重新估深、GT目标辅助选点、条件构造/传输、六图块生成与拼接，以及PIL/AdaIN颜色处理；其Core为32.571秒，E2E为36.570秒。Core包含估深网络forward和生成器GPU段，因此与上一页generator-only模型成本的边界不同。外部benchmark标注生成、模型加载、最终写盘、编码和指标计算不计。</w:t>
      </w:r>
    </w:p>
    <w:p/>
    <w:p>
      <w:pPr>
        <w:spacing w:after="320"/>
      </w:pPr>
      <w:r>
        <w:rPr>
          <w:rFonts w:ascii="微软雅黑" w:hAnsi="微软雅黑"/>
          <w:b/>
          <w:sz w:val="40"/>
        </w:rPr>
        <w:t>07  ATB用时集中在编码与解码（RTX 4090 D模块分析）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这一页说明Any-to-Bokeh的时间花在哪里，数据来自4090 D上的模块级归因。四个固定片段、每段25帧、原生8/8/9窗口调用，预热一次、正式重复两次。分阶段耗时带同步插桩，同步本身有一点额外开销，所以这些数字用来比较各阶段的相对占比，不替换模型计算成本表里的正式计时。正式未插桩Core是20.1128秒，带插桩20.1707秒，相差约0.29%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从表里看三件事。第一，VAE相关的三行——RGB编码、CoC编码、重叠拼接与时序解码——合计16.209秒，占80.36%，与旧卡测到的81.01%基本一致，说明瓶颈构成没有因为换卡而改变。第二，单段占比最大的是重叠拼接与时序解码，7.841秒占38.87%，但这一段包含拼接和四次解码调用，不能把整段耗时都归给解码器。第三，UNet只占18.55%，说明这条流水线的成本主要不在生成主干的采样上，而在VAE的编码和解码两端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显存那一列按绝对峰值理解：34.29 GiB出现在RGB和CoC编码阶段，29.65 GiB出现在重叠拼接与解码阶段，14.39 GiB是UNet。这些数字都包含常驻权重和缓存，彼此不能相加，也不能和模型计算成本表的设备采样峰值直接比较，因为那张表用的是设备采样口径。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页脚两行补充两点：这里的时间是归因口径，正式值仍以未插桩测量为准；旧卡同口径占比81.01%，各阶段在新卡上约为旧卡的1.6倍，两卡分开记录，不计算跨卡加速倍数。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这一页先看显存是怎么构成的，再看一个新的优化实验。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张表是显存和用时的前后对照。原版是当前基线实现，候选版本只改了一处：VAE编码器里残差返回时，如果缩放系数严格等于1，就跳过这一步除法。能跳过的原因是除以1本身不改变数值，但原来的写法会产生一个和特征图同样大的临时张量，全分辨率那一层就是4.5 GiB。加上这类临时张量，编码阶段的峰值需要同时容纳五笔4.5 GiB的分配，也就是22.5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改成跳过后，编码阶段只需四笔并发分配，完整运行的allocated峰值从34.294 GiB降到29.797 GiB，减少4.497 GiB，约13.11%；reserved和设备采样峰值也同步下降约4.5 GiB。时间上四片段等权平均从20.273秒降到20.049秒，降低1.10%；四个片段的差值都超过两组各自标准差的两倍，所以这个收益在本轮测量中是稳定的。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正确性方面，四个片段的输出与预热做了严格对比：浮点输出的不同元素数、不同位模式数，以及转成8位RGB后的不同字节数，全部为零；采样调用次数与顺序、随机状态、四级RGB缓存和latent cache也都逐字节一致。也就是说，这个改动在已测输入上没有改变结果。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第二张表是显存构成。最值得记住的是四级RGB特征缓存，合计6.469 GiB，它从RGB编码一直保留到解码结束，跨CoC、UNet和解码三个环节；latent cache的逻辑大小很小，但底层仍保留16个帧槽的存储；编码阶段的并发大分配就是刚才说的五笔4.5 GiB。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表下还有一句正确性说明：四个片段的输出逐位和8位结果都没有差异，但设备采样峰值仍高于32 GiB，所以还没有在32GB显卡上实测，不能宣称可以在32GB卡上运行。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最后强调这次改动的定位。它是Any-to-Bokeh自身的实现效率优化，不是我们方法的创新点，也不直接算研究贡献。原正式效率表和原生基线都不替换，候选版本用显式开关单独保留；原计划的编码微批量方案先搁置。</w:t>
      </w:r>
    </w:p>
    <w:p>
      <w:pPr>
        <w:spacing w:after="320"/>
      </w:pPr>
      <w:r>
        <w:rPr>
          <w:rFonts w:ascii="微软雅黑" w:hAnsi="微软雅黑"/>
          <w:b/>
          <w:sz w:val="40"/>
        </w:rPr>
        <w:t>08  当前进度与下一步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第一，七方法Synthetic、六方法DAVIS和新旧GPU模型成本结果继续保留。本轮只补当前服务器的七方法视频端到端效率，完成完整25帧、四输入、各预热一次和正式五次的测量。旧PRO 6000 Blackwell及Xeon 8470Q结果按原硬件标注保留；旧机MagicBokeh没有视频E2E记录，继续留空。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二，当前服务器的视频端到端效率已完成；每次的Core、E2E、FPS、显存或RSS以及原始日志均已保存。均值、标准差和每K统计来自重复实测。新旧机器的GPU、CPU及环境存在差异，两张表服务于各自明确的成本边界，不将跨机差异解释为模型优化收益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第三，模型计算成本与视频端到端效率都保留，分别回答模型本体的计算成本和完整视频流水的处理耗时。低帧率深度专项继续暂停，不影响这两张效率表。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第四，编码分批、缓存优化、失败场景分析和Ours设计仍是后续候选。本轮不执行这些方案，等待后续明确任务。</w:t>
      </w:r>
    </w:p>
    <w:p>
      <w:r>
        <w:br w:type="page"/>
      </w:r>
    </w:p>
    <w:p>
      <w:pPr>
        <w:spacing w:after="320"/>
      </w:pPr>
      <w:r>
        <w:rPr>
          <w:rFonts w:ascii="微软雅黑" w:hAnsi="微软雅黑"/>
          <w:b/>
          <w:sz w:val="40"/>
        </w:rPr>
        <w:t>附  指标说明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PSNR（峰值信噪比）：逐像素比较输出和真值的误差，单位是dB，越大越好。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SSIM（结构相似度）：从亮度、对比度和局部结构三方面比较输出和真值，范围0到1，越大越好。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LPIPS（感知相似度）：用深度网络提取的特征比较两张图的差异，比PSNR更接近人眼感受，越小越好。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FVD（视频距离）：用视频网络提取整段视频的特征，比较输出视频和真值视频在整体分布上的差距，同时反映画质和时序，越小越好。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FD（光流差异）：用RAFT光流分别估计输出和真值中相邻帧之间的运动，再比较两者的差异，越小说明输出的运动和真值越一致。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RM（帧间变化差异）：比较输出相邻帧之间的变化和真值相邻帧之间的变化，越小说明闪烁和跳变越少，时序越稳定。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VEPI（边缘保留指标）：用于没有真值的真实视频，比较输出和输入在主体边缘附近的边缘结构有多相似，越大说明主体边缘保留得越好。直接输出全清晰的原图也能得到很高的分数，所以它只反映边缘保留，不代表整体虚化效果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平均绝对偏差：本项目结果与对应论文报告值之差的绝对值，在原六种有对应行的方法上取平均；MagicBokeh和BokehCrafter均不参与这一统计。</w:t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效率指标：时间按实际输出帧归一，不等同于单帧在线延迟；参数量为实际调用模块的独立参数数目。设备采样峰值包含上下文与分配器缓存；Torch allocated是框架已分配张量占用，两者口径不同。阶段峰值不可相加。MagicBokeh此表不计估深等前处理，DeepLens CPU不进入GPU主表。</w:t>
      </w:r>
    </w:p>
    <w:p>
      <w:r>
        <w:br w:type="page"/>
      </w:r>
    </w:p>
    <w:p>
      <w:pPr>
        <w:spacing w:line="324" w:lineRule="auto" w:after="200"/>
      </w:pPr>
      <w:r>
        <w:rPr>
          <w:rFonts w:ascii="微软雅黑" w:hAnsi="微软雅黑"/>
          <w:sz w:val="24"/>
        </w:rPr>
        <w:t>证据：magicbokeh-track-a-200-20260930.json；magicbokeh-frozen-B-table3-20260930.json；any2bokeh-native-module-profile-20260930.json。原0930已汇报版本保留，本稿汇报日期待定。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