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20"/>
      </w:pPr>
      <w:r>
        <w:rPr>
          <w:rFonts w:ascii="微软雅黑" w:hAnsi="微软雅黑"/>
          <w:b/>
          <w:sz w:val="40"/>
        </w:rPr>
        <w:t>下次汇报草稿｜视频虚化：基线补充与Any-to-Bokeh效率分析（汇报日期待定；数据截至2026-10-01）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次在上次汇报基础上新增两项实测：MagicBokeh完成200段合成视频、每段25帧的评价，并补齐相同配置的模型计算成本；Any-to-Bokeh完成首轮模块时间与显存分析。当前Synthetic有七种方法，DAVIS仍是六种。接下来围绕已经定位的瓶颈和可重复失败场景确定自研方向，不再把低帧率深度补全设为前置任务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Any-to-Bokeh仍是核心视频基线。4090 D上模型段约0.803312秒/输出帧、42.14 GiB设备采样峰值；旧RTX PRO6000上为0.50464秒/输出帧、38.47 GiB。两卡结果分别标注，不能将差异说成方法优化收益。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另外六种按单帧运行：DeepLens、BokehMe、MPIB、Dr.Bokeh、BokehDiff和新增MagicBokeh。它们的主表适配配置保持冻结。Dr.Bokeh额外使用GT alpha；MagicBokeh自行从RGB估深，同时使用GT可见目标区域辅助选出一个焦点像素，因此并非所有方法输入权限相同。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MagicBokeh采用用户选定的目标辅助深度选点配置：在GT可见目标安全区域里，依据自身预测深度选择接近区域中位深度的实际像素；焦点数值读取这个像素的预测深度。GT数值深度和alpha不送入生成器，但GT区域参与选点这一额外权限必须披露。逐帧没有时序平滑，虚化强度、分块及颜色后处理均沿用冻结实现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01  主体保留与背景虚化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先看Any-to-Bokeh能够产生什么样的视频虚化效果。这一页上方是作者项目页的山羊演示，下方是我们用官方权重在DAVIS黑天鹅视频上得到的本地复现。两行都是左边输入、右边输出，点击一行中的视频即可同步播放这一对输入和输出。山羊后方的山坡纹理变得模糊，动物主体仍然清楚；黑天鹅后方的植被和岸边也明显变虚，可以重点观察脖子、羽毛与背景交界的位置。官方演示和本地复现使用不同素材，用于直观展示方法效果，不能当作同一输入下的质量差异比较。本地结果不是我们的自研方法，素材也不是自采视频；它使用DAVIS、官方权重和固定K=16。这些实拍视频没有虚化真值，因此这一页只做定性观察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02  运动场景下的视频虚化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第二页看运动场景。上方是官方舞蹈演示，下方是本地DAVIS街舞复现，仍然是左侧输入、右侧输出。播放时观察人物做动作的过程中，主体轮廓和肢体细节如何变化，背景观众是否被虚化，以及边界附近有没有明显异常。这些视频用于展示实际现象，不据此直接宣称没有闪烁。官方片段长4.5秒；本地片段只有25帧，以20fps播放时为1.25秒，设置为循环方便观察。循环末尾跳回首帧属于播放重复，不是模型在连续帧之间产生的错误。两页开场先给出效果直觉，后面的合成数据、真实视频指标和效率表再说明完整评价结果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03  合成数据定量结果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这页在原有六种方法的复现结果中加入MagicBokeh。上表是我们在公开代理合成集上的实测，下表保留原论文报告值。MagicBokeh没有对应的Any-to-Bokeh论文行，因此不填写或虚构它的论文参照，也不纳入原六种方法的平均绝对偏差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输入与参考保持原来的200段、每段25帧、1024×576，参考虚化使用MPIB-public/sRGB代理渲染。MagicBokeh全部5000帧的输出完整性、目标点、原生深度、随机种子和指标检查通过。它不是重新生成的一套更有利测试数据。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指标方面，PSNR和SSIM衡量画面和真值有多像，越大越好；LPIPS是接近人眼感受的差异，越小越好；FVD比较整段视频和真值视频的整体差距，越小越好；FD和RM看前后帧的运动和变化是否和真值一致，反映时序稳定性，越小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Any-to-Bokeh仍在这些指标上领先。MagicBokeh的PSNR为25.1202 dB、SSIM为0.799536、LPIPS为0.197734、FVD为97.7899、FD为0.870974、RM为0.026840；补充的VFID-I为14.9854。它在当前代理集与控制协议下距离GT较远，但不能把这些差距唯一归因于模型能力：估深、目标控制、图块生成及颜色处理都和ATB不同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平均绝对偏差仍只在原六种方法和它们的论文对应行之间计算：PSNR约1.79 dB、SSIM约0.040、LPIPS约0.032、FVD约20.64、FD约0.136、RM约0.0051。它描述两套测试条件下的差异，不作为实现必须通过的门槛。MagicBokeh没有对应论文行，明确排除。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BokehCrafter行沿用原论文VBS数据集小、中、大三档的外部参考均值，与本项目数据不同，不直接排序。MagicBokeh本轮保留低K非目标区域较清晰、K32部分目标失焦和原生逐帧深度变化；结果出来后没有再调K、阈值或更换深度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04  真实视频定量结果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DAVIS仍是上次冻结的六种方法，各50段、每段25帧。这里没有虚化真值，VEPI衡量输出与输入在主体边缘附近的结构保留，不能单独代表背景虚化质量。MagicBokeh尚未运行DAVIS协议，不在这张表中填入推测值。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BokehMe约0.954，Any-to-Bokeh约0.950，前两位非常接近。DeepLens采用原生默认光圈，虚化相对较轻，这与其较高边缘保留分数同时出现，但不能仅凭均值差异唯一解释原因。原有定性失败和方法输入差异继续保留。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所以VEPI只能说明主体边缘保留得怎么样，不代表整体虚化效果的好坏，需要和效果图一起看。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05  模型计算成本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模型计算成本表比较模型段成本。当前页为2026-10-01在4090 D上的六种GPU方法复测：固定四个输入、各预热一次和正式五次。参数量复用，完整GFLOPs继续N/A；模型加载、读取与外围前后处理不计。旧RTX PRO6000结果单独保留，不能与新卡混算方法加速比。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Any-to-Bokeh按真实25帧路径测量，新卡模型段约20.083秒，再除25得到0.803312秒/输出帧。这不是独立单帧在线延迟。MagicBokeh一张1024×576输出由六个512×512图块组成，新卡模型时间约1.269188秒，包含生成器及GPU拼接。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MagicBokeh实际调用的生成器参数约1398.545M，设备采样峰值约5.13 GiB，Torch allocated峰值约3.89 GiB。这里不计DAdepth估深、GT目标辅助选点、条件构造和CPU PIL/AdaIN颜色处理。相对于ATB，当前生成器路径显存更低，但全帧单位输出时间更长；单步标签不能直接说明它更快。这不是完整RGB到虚化的端到端成本。</w:t>
      </w:r>
    </w:p>
    <w:p>
      <w:r>
        <w:br w:type="page"/>
      </w:r>
    </w:p>
    <w:p>
      <w:r>
        <w:rPr>
          <w:b/>
        </w:rPr>
        <w:t>06  视频端到端效率</w:t>
      </w:r>
    </w:p>
    <w:p>
      <w:r>
        <w:t>这一页单独呈现当前服务器处理完整25帧视频的耗时、FPS和峰值内存。六种GPU方法使用RTX 4090 D，DeepLens沿用CPU实现。目前这些完整流水尚未测量，所以所有数值明确标为待测，不把旧服务器结果搬过来，也不用上一页模型时间乘25代填。</w:t>
      </w:r>
    </w:p>
    <w:p>
      <w:r>
        <w:t>计时从读入已给输入开始，包括适配、必要分层和修复、方法推理、传输及后处理，直到25张CPU RGB输出准备就绪。排除模型加载、首次CUDA context、benchmark外部geometry生成、最终写盘和视频编码。FPS等于25除以整段平均耗时。</w:t>
      </w:r>
    </w:p>
    <w:p>
      <w:r>
        <w:t>DeepLens报告CPU进程内存，其余报告GPU设备采样显存，不能作同质内存排序。MagicBokeh的完整流水需在补测前明确自身估深、目标选点和CPU颜色校正等步骤的边界。旧服务器已有结果继续保存在项目记录中。</w:t>
      </w:r>
    </w:p>
    <w:p/>
    <w:p>
      <w:pPr>
        <w:spacing w:after="320"/>
      </w:pPr>
      <w:r>
        <w:rPr>
          <w:rFonts w:ascii="微软雅黑" w:hAnsi="微软雅黑"/>
          <w:b/>
          <w:sz w:val="40"/>
        </w:rPr>
        <w:t>07  ATB的主要成本集中在VAE（旧RTX PRO6000模块分析）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以下模块分析来自旧RTX PRO6000，新卡尚未重测模块占比。首轮profile沿用四段固定输入，每段25帧，预热一次、正式重复两次，不改权重和精度。分阶段同步是为了归因，因此这些阶段耗时不能替换模型计算成本表的正式测速结果。每段约12.626秒模型段中，RGB VAE编码约2.739秒，CoC VAE编码约2.516秒，重叠拼接与时序VAE解码约4.975秒，三项合计约81%；UNet约2.258秒。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RGB和CoC编码阶段的Torch allocated峰值都约34.29 GiB；重叠拼接与解码阶段约29.65 GiB，UNet约14.39 GiB。这些是含常驻权重和缓存的绝对峰值，不能相加，也不能与旧卡模型计算成本表约38.47 GiB的设备占用采样值混为同一口径。持续RGB特征缓存约6.47 GiB，其中最高分辨率一级占4.5 GiB。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每25个最终输出帧，RGB和CoC分别处理48个编码帧槽，解码处理32个帧槽，包含窗口重叠和padding。但是重复数量不等于可以无损删掉的计算，因为还涉及随机采样、缓存索引和时序解码上下文。目前只定位了成本来源，没有验证任何优化已经提速、降显存或保持质量。模型计算成本和完整视频流水分别评价；低帧率深度专项继续暂停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08  当前进度与下一步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第一，七方法Synthetic、六方法DAVIS和新旧GPU的模型成本结果继续保留。旧机六方法端到端效率已有实测，新4090 D尚未复测完整25帧E2E，MagicBokeh也没有端到端效率结果。缺项标待测，不能用模型时间乘25代填。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第二，后续若补新卡端到端效率，应按冻结E2E-given-inputs边界完成完整25帧流水；MagicBokeh需要在执行前明确自身估深、目标选点、颜色后处理等方法内步骤。当前只更正表格，没有启动补测。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第三，模型计算成本与视频端到端效率都保留，分别回答模型本体的计算成本和完整视频流水的处理耗时。低帧率深度专项继续暂停，不影响这两张效率表。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第四，编码分批、缓存优化、失败场景分析和Ours设计仍是后续候选。本轮不执行这些方案，等待后续明确任务。</w:t>
      </w:r>
    </w:p>
    <w:p>
      <w:r>
        <w:br w:type="page"/>
      </w:r>
    </w:p>
    <w:p>
      <w:pPr>
        <w:spacing w:after="320"/>
      </w:pPr>
      <w:r>
        <w:rPr>
          <w:rFonts w:ascii="微软雅黑" w:hAnsi="微软雅黑"/>
          <w:b/>
          <w:sz w:val="40"/>
        </w:rPr>
        <w:t>附  指标说明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PSNR（峰值信噪比）：逐像素比较输出和真值的误差，单位是dB，越大越好。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SSIM（结构相似度）：从亮度、对比度和局部结构三方面比较输出和真值，范围0到1，越大越好。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LPIPS（感知相似度）：用深度网络提取的特征比较两张图的差异，比PSNR更接近人眼感受，越小越好。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FVD（视频距离）：用视频网络提取整段视频的特征，比较输出视频和真值视频在整体分布上的差距，同时反映画质和时序，越小越好。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FD（光流差异）：用RAFT光流分别估计输出和真值中相邻帧之间的运动，再比较两者的差异，越小说明输出的运动和真值越一致。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RM（帧间变化差异）：比较输出相邻帧之间的变化和真值相邻帧之间的变化，越小说明闪烁和跳变越少，时序越稳定。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VEPI（边缘保留指标）：用于没有真值的真实视频，比较输出和输入在主体边缘附近的边缘结构有多相似，越大说明主体边缘保留得越好。直接输出全清晰的原图也能得到很高的分数，所以它只反映边缘保留，不代表整体虚化效果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平均绝对偏差：本项目结果与对应论文报告值之差的绝对值，在原六种有对应行的方法上取平均；MagicBokeh和BokehCrafter均不参与这一统计。</w:t>
      </w:r>
    </w:p>
    <w:p>
      <w:pPr>
        <w:spacing w:line="324" w:lineRule="auto" w:after="200"/>
      </w:pPr>
      <w:r>
        <w:rPr>
          <w:rFonts w:ascii="微软雅黑" w:hAnsi="微软雅黑"/>
          <w:sz w:val="24"/>
        </w:rPr>
        <w:t>效率指标：时间按实际输出帧归一，不等同于单帧在线延迟；参数量为实际调用模块的独立参数数目。设备采样峰值包含上下文与分配器缓存；Torch allocated是框架已分配张量占用，两者口径不同。阶段峰值不可相加。MagicBokeh此表不计估深等前处理，DeepLens CPU不进入GPU主表。</w:t>
      </w:r>
    </w:p>
    <w:p>
      <w:r>
        <w:br w:type="page"/>
      </w:r>
    </w:p>
    <w:p>
      <w:r>
        <w:t>证据：magicbokeh-track-a-200-20260930.json；magicbokeh-frozen-B-table3-20260930.json；any2bokeh-native-module-profile-20260930.json。原0930已汇报版本保留，本稿汇报日期待定。</w:t>
      </w:r>
    </w:p>
    <w:sectPr w:rsidR="00CA327C" w:rsidRPr="00CA327C" w:rsidSect="00CA327C">
      <w:pgSz w:w="11906" w:h="16838"/>
      <w:pgMar w:top="1080" w:right="1200" w:bottom="1080" w:left="12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16CF" w14:textId="77777777" w:rsidR="00D8095D" w:rsidRDefault="00D8095D" w:rsidP="00795D5A">
      <w:pPr>
        <w:spacing w:after="0" w:line="240" w:lineRule="auto"/>
      </w:pPr>
      <w:r>
        <w:separator/>
      </w:r>
    </w:p>
  </w:endnote>
  <w:endnote w:type="continuationSeparator" w:id="0">
    <w:p w14:paraId="422FDA82" w14:textId="77777777" w:rsidR="00D8095D" w:rsidRDefault="00D8095D" w:rsidP="0079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BF35" w14:textId="77777777" w:rsidR="00D8095D" w:rsidRDefault="00D8095D" w:rsidP="00795D5A">
      <w:pPr>
        <w:spacing w:after="0" w:line="240" w:lineRule="auto"/>
      </w:pPr>
      <w:r>
        <w:separator/>
      </w:r>
    </w:p>
  </w:footnote>
  <w:footnote w:type="continuationSeparator" w:id="0">
    <w:p w14:paraId="15C8948D" w14:textId="77777777" w:rsidR="00D8095D" w:rsidRDefault="00D8095D" w:rsidP="00795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7C"/>
    <w:rsid w:val="001B6F97"/>
    <w:rsid w:val="00795D5A"/>
    <w:rsid w:val="00884D79"/>
    <w:rsid w:val="008D41DB"/>
    <w:rsid w:val="00C5741A"/>
    <w:rsid w:val="00CA327C"/>
    <w:rsid w:val="00D8095D"/>
    <w:rsid w:val="00EE714A"/>
    <w:rsid w:val="00F961FD"/>
    <w:rsid w:val="00FC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DA809"/>
  <w15:chartTrackingRefBased/>
  <w15:docId w15:val="{42CD880E-6B28-4847-97AE-667C3688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2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2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2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2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2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2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27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D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1845</Words>
  <Characters>1901</Characters>
  <Application>Microsoft Office Word</Application>
  <DocSecurity>0</DocSecurity>
  <Lines>70</Lines>
  <Paragraphs>59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辰洋 孟</dc:creator>
  <cp:keywords/>
  <dc:description/>
  <cp:lastModifiedBy>辰洋 孟</cp:lastModifiedBy>
  <cp:revision>2</cp:revision>
  <dcterms:created xsi:type="dcterms:W3CDTF">2026-09-20T03:06:00Z</dcterms:created>
  <dcterms:modified xsi:type="dcterms:W3CDTF">2026-09-20T03:06:00Z</dcterms:modified>
</cp:coreProperties>
</file>