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  <w:spacing w:before="200" w:after="160"/>
      </w:pPr>
      <w:r>
        <w:rPr>
          <w:sz w:val="30"/>
        </w:rPr>
        <w:t>第1页  视频虚化：基线更新、ATB效率优化与案例分析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汇报日期为2026年10月16日，ATB实验和案例依据截至10月14日；MagicBokeh DAVIS补测单列2026年10月15日运行记录。本次承接9月30日汇报，重点讲新增MagicBokeh参照、统一硬件的成本分析、已经验证的ATB实现优化，以及真实视频局部问题的定位。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研究主线是先把已有方法跑通并建立比较基础，再寻找计算成本和输出质量中的具体问题。当前效率方向已经得到一次可重复的显存收益；质量方向进入输入诊断和跨方法观察阶段，后续根据证据确定自研模块。</w:t>
      </w:r>
    </w:p>
    <w:p>
      <w:pPr>
        <w:pStyle w:val="1"/>
        <w:spacing w:before="200" w:after="160"/>
      </w:pPr>
      <w:r>
        <w:t>第2页  合成数据定量结果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使用MPIB-public/sRGB公开代理数据，200段视频，每段25帧，分辨率1024×576。表中七种方法均为本项目复现结果，新增MagicBokeh采用已经确定的B配置。Dr.Bokeh读取GT Alpha，MagicBokeh使用GT目标区域辅助选焦，表格方法标签保留这两项输入条件。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PSNR和SSIM越高，表示与参考图像越接近；LPIPS越低，表示感知差异越小。FVD衡量视频特征分布差异，FD和RM按既定协议衡量运动及帧间变化。ATB在这组公开代理条件下取得较好的质量和时序数值。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MagicBokeh的PSNR为25.12，LPIPS为0.198，FVD为97.79，为单图恢复与虚化方法提供了参照。该数据集参与过配置选择，当前结论定位于公开代理复现开发结果；未来方法比较继续披露各行输入权限。</w:t>
      </w:r>
    </w:p>
    <w:p>
      <w:pPr/>
      <w:r>
        <w:br w:type="page"/>
      </w:r>
    </w:p>
    <w:p>
      <w:pPr>
        <w:pStyle w:val="1"/>
        <w:spacing w:before="200" w:after="160"/>
      </w:pPr>
      <w:r>
        <w:t>第3页  真实视频主体边缘保留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DAVIS评价包含50段真实视频，每段25帧，现补齐七种方法。MagicBokeh的MP4主VEPI为0.66962，PNG诊断为0.66919，编码差值为+0.00043；预检8段200帧复用后只补42段。原六方法不重跑：BokehMe为0.954，ATB为0.950。VEPI关注主体边缘保留，不能单独排名整体虚化或时序质量。</w:t>
      </w:r>
    </w:p>
    <w:p>
      <w:pPr>
        <w:spacing w:line="324" w:lineRule="auto" w:after="140"/>
      </w:pPr>
      <w:r>
        <w:t>DAVIS没有配对虚化真值，因此我们将边缘指标与原视频、局部放大及连续帧观察结合。MagicBokeh补测：50段×25帧，1024×576，VEPI-public-mp4=0.66962104；PNG诊断=0.66918814；MP4−PNG=+0.00043290。DAVIS原类别ID!=0合并目标（沿用旧口径含ID255），最近邻缩放后采用B最大8连通域、预测PNG8深度中位数最近像素选点。焦点取自身DAdepth选点深度，不取VDA数值；标注只在生成器外辅助一个点，不输入GT mask/alpha。多实例可能选中不同组件，不保证所有实例同焦。K16，原控制公式abs(d-focus)*K/32、0.1阈值、FP16六图块及PIL/AdaIN均不变。预检8段后复用200帧，只补42段；seed=42+25*固定scene索引+帧号。VEPI沿旧Sobel/ROI、H.264 quality8/20fps/yuv420p与先帧均值后视频等权均值；不代表整体虚化质量。只完成量化/程序核验，未新增人工视觉结论或复核组失败发现。 DeepLens仍采用自身估深和原生默认光圈，原六方法输入适配及旧数值均保留。</w:t>
      </w:r>
    </w:p>
    <w:p>
      <w:pPr>
        <w:pStyle w:val="1"/>
        <w:spacing w:before="200" w:after="160"/>
      </w:pPr>
      <w:r>
        <w:t>第4页  模型计算成本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这张表来自RTX 4090 D服务器的同配置测量，该实例提供约48GB显存。输入分辨率1024×576，固定四个输入，各预热一次并正式重复五次。时间按实际输出帧归一，显存为设备采样峰值。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这里计模型或渲染器本身。ATB每输出帧约0.803秒，峰值约42.14GiB；MagicBokeh约1.269秒、5.13GiB。MagicBokeh一帧包含六个图块生成与GPU拼接，估深、选焦和CPU颜色处理计入下一页完整视频流程。ATB按视频窗口运行，表中数值是吞吐归一值。</w:t>
      </w:r>
    </w:p>
    <w:p>
      <w:pPr/>
      <w:r>
        <w:br w:type="page"/>
      </w:r>
    </w:p>
    <w:p>
      <w:pPr>
        <w:pStyle w:val="1"/>
        <w:spacing w:before="200" w:after="160"/>
      </w:pPr>
      <w:r>
        <w:t>第5页  给定输入下的视频处理效率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本页计时从读取给定输入开始，到25帧CPU uint8 RGB结果形成。ATB模型段为20.113秒，完整流程21.860秒，吞吐约1.144fps。MagicBokeh完整流程36.570秒，包括自身估深、GT目标辅助选点、生成器及颜色校正。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模型加载、外部标注生成、写盘、编码和评价均在这次计时范围之外。GPU方法使用同一4090 D实例，DeepLens采用Xeon 8481C、TF1.15、8线程CPU路径。表中GPU行记录显存，CPU行记录进程内存，设备列用于区分两种资源。</w:t>
      </w:r>
    </w:p>
    <w:p>
      <w:pPr>
        <w:pStyle w:val="1"/>
        <w:spacing w:before="200" w:after="160"/>
      </w:pPr>
      <w:r>
        <w:t>第6页  ATB用时集中在编码与解码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VAE可以理解为在图像和压缩特征之间转换的模块。RGB VAE编码、CoC条件编码以及重叠拼接与时序解码合计占带同步模型段时间的80.36%。其中最后一组约7.841秒，是最耗时的一组。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本页采用带同步插桩的分阶段测量，用来定位时间分布。重叠拼接与时序解码是一组操作，其总时间由整组共同产生。allocated表示PyTorch活跃张量使用的显存，各阶段峰值包含常驻模型和缓存，不能简单相加。分析由此转向编码中间张量和缓存。</w:t>
      </w:r>
    </w:p>
    <w:p>
      <w:pPr/>
      <w:r>
        <w:br w:type="page"/>
      </w:r>
    </w:p>
    <w:p>
      <w:pPr>
        <w:pStyle w:val="1"/>
        <w:spacing w:before="200" w:after="160"/>
      </w:pPr>
      <w:r>
        <w:t>第7页  优化冗余计算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本轮只修改VAE编码器残差返回表达式：原来先把残差和分支输出相加，再除以缩放值；当前实例的缩放值严格等于1，直接返回相加结果即可。保留原加法，其他缩放值继续沿用原除法，模型权重和推理窗口保持一致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原表达式会产生额外的大张量。去除这一步后，设备采样峰值由42.116降至37.616GiB，减少4.50GiB，约10.68%；25帧模型耗时由20.273降至20.049秒，减少约1.10%。主要收益是显存下降。</w:t>
      </w:r>
    </w:p>
    <w:p>
      <w:pPr>
        <w:spacing w:line="324" w:lineRule="auto" w:after="140"/>
      </w:pPr>
      <w:r>
        <w:rPr>
          <w:rFonts w:ascii="Microsoft YaHei" w:hAnsi="Microsoft YaHei" w:eastAsia="微软雅黑"/>
          <w:sz w:val="22"/>
        </w:rPr>
        <w:t>四个固定片段分别覆盖K=4、8、16、32，浮点输出逐位一致，最终RGB8输出一致。正确性检查与正式计时分开。现有验证范围是这四个片段，完整200段扩展和32GB硬件运行属于后续事项；当前原生ATB仍保留为正式基线。</w:t>
      </w:r>
    </w:p>
    <w:p>
      <w:pPr>
        <w:pStyle w:val="1"/>
        <w:spacing w:before="200" w:after="160"/>
      </w:pPr>
      <w:r>
        <w:t>第8页  同一段细绳，后面变得更模糊</w:t>
      </w:r>
    </w:p>
    <w:p>
      <w:pPr>
        <w:spacing w:line="324" w:lineRule="auto" w:after="140"/>
      </w:pPr>
      <w:r>
        <w:t>这里看蓝圈里的同一段栏杆。第1帧还能比较清楚地看到细绳，到第22帧，细绳变淡、边缘也更软。表里列出三个位置：后面的输入虚化强度都更大。现在先把这个变化记下来，再核对每个采样点是否一直落在绳子上。</w:t>
      </w:r>
    </w:p>
    <w:p>
      <w:pPr>
        <w:spacing w:line="324" w:lineRule="auto" w:after="140"/>
      </w:pPr>
      <w:r>
        <w:t>讲解补充：表中的“输入虚化强度”对应记录里的名义离焦量，计算方式是 K×|预测视差−焦点|。数值越大，输入要求的虚化越强。实际输出的模糊半径没有在这里测量。位置1、2、4对应R1、R2、R4，使用各窄带的中位数；R3第22帧定位失败，未列入。</w:t>
      </w:r>
    </w:p>
    <w:p>
      <w:pPr>
        <w:spacing w:line="324" w:lineRule="auto" w:after="140"/>
      </w:pPr>
      <w:r>
        <w:t>待补：同一局部绳段的定位确认、原视频清晰度对照，以及细绳和草地的视差关系。两帧焦点分别为0.32269、0.41688；共享焦点变化会影响细绳和草地的离焦曲线。窄带可能含草地，当前仍保留“深度混入背景”这一待验证解释。</w:t>
      </w:r>
    </w:p>
    <w:p>
      <w:pPr>
        <w:spacing w:before="200" w:after="160"/>
      </w:pPr>
      <w:r>
        <w:t>图源：用户标注的/root/autodl-tmp/00001.png和00022.png。两图统一裁剪(x=484,y=212,w=540,h=270)，未锐化或调整颜色。数值见records/any2bokeh-B33-B36-diagnostics-20261014-B33-input-statistics.json。</w:t>
      </w:r>
    </w:p>
    <w:p>
      <w:pPr>
        <w:pStyle w:val="1"/>
        <w:spacing w:line="324" w:lineRule="auto" w:after="140"/>
      </w:pPr>
      <w:r>
        <w:t>第9页  鸭头比身体更模糊</w:t>
      </w:r>
    </w:p>
    <w:p>
      <w:pPr>
        <w:spacing w:line="324" w:lineRule="auto" w:after="140"/>
      </w:pPr>
      <w:r>
        <w:t>这页把原视频和ATB结果放在一起，再放大同一处鸭头。我们之前看到鸭头变软，而身体保留得相对清楚。第0帧的输入虚化强度，头部是2.400，颈部0.204，身体0.580，输入给头部的虚化强度明显更大。</w:t>
      </w:r>
    </w:p>
    <w:p>
      <w:pPr>
        <w:spacing w:line="324" w:lineRule="auto" w:after="140"/>
      </w:pPr>
      <w:r>
        <w:t>讲解补充：表格与上一页使用同一个输入公式，取各区域的中位数。鸭头的预测视差比焦点更大，所查水面的视差则更小；这一例先检查头颈深度和选焦关系。头部、颈部的真实深度尚无真值。</w:t>
      </w:r>
    </w:p>
    <w:p>
      <w:pPr/>
      <w:r>
        <w:t>待补：六种方法的同位置结果已经准备，用户观看完成后，再补哪些方法保留鸭头更好、背景虚化有什么差别。第12、18帧喙框分别含约29%和42%的标注背景，解释这些框的统计时需单独注意。</w:t>
      </w:r>
    </w:p>
    <w:p>
      <w:pPr>
        <w:spacing w:before="200" w:after="160"/>
      </w:pPr>
      <w:r>
        <w:t>图源：B36 mallard-water第0帧Input_RGB和Frozen_ATB原PNG，头部局部统一裁剪(610,130,180,120)，保留相同比例。统计见records/any2bokeh-B33-B36-diagnostics-20261014-B36-input-statistics.json。</w:t>
      </w:r>
    </w:p>
    <w:p>
      <w:pPr>
        <w:pStyle w:val="1"/>
        <w:spacing w:line="324" w:lineRule="auto" w:after="140"/>
      </w:pPr>
      <w:r>
        <w:t>第10页  不同方法的伞绳效果</w:t>
      </w:r>
    </w:p>
    <w:p>
      <w:pPr>
        <w:spacing w:line="324" w:lineRule="auto" w:after="140"/>
      </w:pPr>
      <w:r>
        <w:t>这里是第0帧同一处伞绳，放在一起看六种方法。之前用户按编号观看时，认为P04的绳子最清楚，之后核对P04就是ATB。这个案例既保留了细绳仍有损失的观察，也保留了ATB比其他方法做得更好的结果。</w:t>
      </w:r>
    </w:p>
    <w:p>
      <w:pPr/>
      <w:r>
        <w:t>讲解补充：此次反馈针对第0帧这块区域。DeepLens使用自身估深，其余方法的内部控制也各有设置。后续讨论共同问题时，需要把输入差异一起考虑。</w:t>
      </w:r>
    </w:p>
    <w:p>
      <w:pPr/>
      <w:r>
        <w:t>图源：B19 paragliding-launch第0帧原输入与六方法冻结预测，统一裁剪(348,19,248,144)。人工反馈保存在records/any2bokeh-failure-analysis-20261009-human-review.json。待补事项保留在讲稿中，幻灯片不预填后续结论。</w:t>
      </w:r>
    </w:p>
    <w:p>
      <w:pPr>
        <w:pStyle w:val="1"/>
      </w:pPr>
      <w:r>
        <w:t>第11页  MagicBokeh：用清晰图指导深度学习</w:t>
      </w:r>
    </w:p>
    <w:p>
      <w:pPr/>
      <w:r>
        <w:t>MagicBokeh先让深度模型适应低质量照片。训练时，同一场景的清晰图交给教师，加入模糊、噪声等退化后的图交给学生。学生既学习教师的内部特征，也学习最终深度图。使用时运行训练好的学生。</w:t>
      </w:r>
    </w:p>
    <w:p>
      <w:pPr/>
      <w:r>
        <w:t>教师与学生均采用Depth Anything v2 Large，相同初始化；这里主要学习抗退化能力，而非把模型压小。论文附录使用SA-1B中20万张样本和Real-ESRGAN退化流程。图s1标出特征损失Lf与输出LMSE，具体特征损失形式和权重需再核对实现。教师预测是伪标签，可靠教师的选择是我们局部修正方向的前置问题。</w:t>
      </w:r>
    </w:p>
    <w:p>
      <w:pPr/>
      <w:r>
        <w:t>图源：01_文献/MagicBokeh-CVPR2026.pdf，arXiv v2第9页图s1，§3.4与附录A。裁剪原图并等比放大。我们的启发是先获取可靠几何参考，再训练小型局部修正模块；候选方案见02_方案设计/蒸馏辅助的视频局部深度修正-候选思路.md。</w:t>
      </w:r>
    </w:p>
    <w:p>
      <w:pPr>
        <w:pStyle w:val="1"/>
      </w:pPr>
      <w:r>
        <w:t>第12页  MagicBokeh：清晰和模糊区域分开处理</w:t>
      </w:r>
    </w:p>
    <w:p>
      <w:pPr/>
      <w:r>
        <w:t>模型处理一个位置时，会参考其他位置的特征。MagicBokeh先根据对焦状态把图像分成两类，再让清晰区主要参考清晰区，模糊区主要参考模糊区，减少两类处理互相干扰。原图右侧矩阵里的叉号就是被抑制的跨区域联系。</w:t>
      </w:r>
    </w:p>
    <w:p>
      <w:pPr/>
      <w:r>
        <w:t>这里的模块叫Focus-aware Mask Attention。论文按两个位置是否属于同类构造注意力偏置：同类为0，异类为负无穷；本地官方代码使用-100近似强抑制。它约束自注意力，其他卷积等信息交互仍存在。类别取决于对焦状态，不是语义前景/背景；如果输入已经把细绳判入模糊区，需先检查这一步划分。视频还要检查区域类别是否跨帧跳变，以及缩小到特征网格后细结构是否保留。</w:t>
      </w:r>
    </w:p>
    <w:p>
      <w:pPr/>
      <w:r>
        <w:t>图源：同一PDF第4页图3右上C区域，§3.3与公式2/3；本地MagicBokeh/magicbokeh.py中的mask构造。底部对项目的启发仍是候选研究方向。</w:t>
      </w:r>
    </w:p>
    <w:p>
      <w:pPr>
        <w:pStyle w:val="1"/>
      </w:pPr>
      <w:r>
        <w:t>第13页  MagicBokeh：恢复与虚化交替训练</w:t>
      </w:r>
    </w:p>
    <w:p>
      <w:pPr/>
      <w:r>
        <w:t>细节恢复希望把纹理变清楚，虚化任务又要让部分区域变模糊。作者先训练恢复能力，再交替训练两项任务：学习虚化时保留恢复参数，学习恢复时主要更新恢复相关参数。这样把两项能力的更新分开。</w:t>
      </w:r>
    </w:p>
    <w:p>
      <w:pPr/>
      <w:r>
        <w:t>初始恢复预训练包括VAE编码器与UNet中的LoRA。后续虚化阶段更新ControlNet和Bokeh LoRA；恢复阶段只更新UNet的SR LoRA，并把离焦图和注意力屏蔽偏置设为0。固定参数仍参与前向计算，只是不更新。论文没有在该段给出精确切换频率，不在讲解中补造训练日程。LoRA是少量附加调整参数，ControlNet提供条件控制。</w:t>
      </w:r>
    </w:p>
    <w:p>
      <w:pPr/>
      <w:r>
        <w:t>图源：同一PDF第4页图3整体及§3.2。对我们的启发是先固定VDA和ATB、单独验证局部修正模块；蒸馏决定参考什么，交替训练决定何时更新哪些参数，两者是不同设计。</w:t>
      </w:r>
    </w:p>
    <w:p>
      <w:pPr>
        <w:pStyle w:val="1"/>
        <w:spacing w:before="200" w:after="160"/>
      </w:pPr>
      <w:r>
        <w:t>第14页  接下来做什么</w:t>
      </w:r>
    </w:p>
    <w:p>
      <w:pPr>
        <w:spacing w:line="324" w:lineRule="auto" w:after="140"/>
      </w:pPr>
      <w:r>
        <w:t>接下来先做一个小对照：模型、随机种子和其他输入都保持不变，只调整选定位置的离焦量，看看细节和背景虚化怎么变。这样可以直接检查，这个位置的输入控制到底对结果有多大影响。</w:t>
      </w:r>
    </w:p>
    <w:p>
      <w:pPr>
        <w:spacing w:line="324" w:lineRule="auto" w:after="140"/>
      </w:pPr>
      <w:r>
        <w:t>然后换一批之前留出的其他来源视频，检查同样的调整是否有效，也看看正常区域有没有受到影响。根据这些结果，再决定方法具体改哪里，并用已有的质量和效率评价检查收益。</w:t>
      </w:r>
    </w:p>
    <w:sectPr w:rsidR="00CA327C" w:rsidRPr="00CA327C" w:rsidSect="00CA327C">
      <w:pgSz w:w="11906" w:h="16838"/>
      <w:pgMar w:top="1080" w:right="1200" w:bottom="1080" w:left="12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16CF" w14:textId="77777777" w:rsidR="00D8095D" w:rsidRDefault="00D8095D" w:rsidP="00795D5A">
      <w:pPr>
        <w:spacing w:after="0" w:line="240" w:lineRule="auto"/>
      </w:pPr>
      <w:r>
        <w:separator/>
      </w:r>
    </w:p>
  </w:endnote>
  <w:endnote w:type="continuationSeparator" w:id="0">
    <w:p w14:paraId="422FDA82" w14:textId="77777777" w:rsidR="00D8095D" w:rsidRDefault="00D8095D" w:rsidP="0079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BF35" w14:textId="77777777" w:rsidR="00D8095D" w:rsidRDefault="00D8095D" w:rsidP="00795D5A">
      <w:pPr>
        <w:spacing w:after="0" w:line="240" w:lineRule="auto"/>
      </w:pPr>
      <w:r>
        <w:separator/>
      </w:r>
    </w:p>
  </w:footnote>
  <w:footnote w:type="continuationSeparator" w:id="0">
    <w:p w14:paraId="15C8948D" w14:textId="77777777" w:rsidR="00D8095D" w:rsidRDefault="00D8095D" w:rsidP="00795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7C"/>
    <w:rsid w:val="001B6F97"/>
    <w:rsid w:val="00795D5A"/>
    <w:rsid w:val="00884D79"/>
    <w:rsid w:val="008D41DB"/>
    <w:rsid w:val="00C5741A"/>
    <w:rsid w:val="00CA327C"/>
    <w:rsid w:val="00D8095D"/>
    <w:rsid w:val="00EE714A"/>
    <w:rsid w:val="00F961FD"/>
    <w:rsid w:val="00FC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DA809"/>
  <w15:chartTrackingRefBased/>
  <w15:docId w15:val="{42CD880E-6B28-4847-97AE-667C3688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3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2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2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2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32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32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32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327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D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1845</Words>
  <Characters>1901</Characters>
  <Application>Microsoft Office Word</Application>
  <DocSecurity>0</DocSecurity>
  <Lines>70</Lines>
  <Paragraphs>59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辰洋 孟</dc:creator>
  <cp:keywords/>
  <dc:description/>
  <cp:lastModifiedBy>辰洋 孟</cp:lastModifiedBy>
  <cp:revision>2</cp:revision>
  <dcterms:created xsi:type="dcterms:W3CDTF">2026-09-20T03:06:00Z</dcterms:created>
  <dcterms:modified xsi:type="dcterms:W3CDTF">2026-09-20T03:06:00Z</dcterms:modified>
</cp:coreProperties>
</file>