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  <w:spacing w:before="200" w:after="160"/>
      </w:pPr>
      <w:r>
        <w:rPr>
          <w:sz w:val="30"/>
        </w:rPr>
        <w:t>第1页  视频虚化：基线更新、ATB效率优化与案例分析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汇报日期为2026年10月16日，实验和案例依据截至10月14日。本次承接9月30日汇报，重点讲新增MagicBokeh参照、统一硬件的成本分析、已经验证的ATB实现优化，以及真实视频局部问题的定位。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研究主线是先把已有方法跑通并建立比较基础，再寻找计算成本和输出质量中的具体问题。当前效率方向已经得到一次可重复的显存收益；质量方向进入输入诊断和跨方法观察阶段，后续根据证据确定自研模块。</w:t>
      </w:r>
    </w:p>
    <w:p>
      <w:pPr>
        <w:pStyle w:val="1"/>
        <w:spacing w:before="200" w:after="160"/>
      </w:pPr>
      <w:r>
        <w:rPr>
          <w:sz w:val="30"/>
        </w:rPr>
        <w:t>第2页  主体保留与背景虚化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上方是作者项目页的山羊演示，下方是我们用官方权重在DAVIS黑天鹅片段上的复现。左侧为输入，右侧为输出。播放时重点看主体轮廓、细节和背景纹理的变化。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官方素材用于展示方法能力，本地素材用于展示实际复现。黑天鹅使用固定K=16，共25帧，20fps循环播放。两行采用不同素材，讨论各自的视觉现象。官方视频来源为vivocameraresearch.github.io/any2bokeh。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第3页  运动场景下的视频虚化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上方是作者舞蹈演示，下方是本地DAVIS街舞复现。观察人物运动过程中手臂、腿部和背景交界处的变化，理解视频虚化需要同时处理空间边界和连续帧关系。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官方片段长4.5秒，本地片段25帧、20fps，单次播放1.25秒。演示中的末尾回到首帧来自循环播放。接下来通过合成数据、真实视频评价和效率测量说明整体结果。</w:t>
      </w:r>
    </w:p>
    <w:p>
      <w:pPr>
        <w:pStyle w:val="1"/>
        <w:spacing w:before="200" w:after="160"/>
      </w:pPr>
      <w:r>
        <w:rPr>
          <w:sz w:val="30"/>
        </w:rPr>
        <w:t>第4页  合成数据定量结果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使用MPIB-public/sRGB公开代理数据，200段视频，每段25帧，分辨率1024×576。表中七种方法均为本项目复现结果，新增MagicBokeh采用已经确定的B配置。Dr.Bokeh读取GT Alpha，MagicBokeh使用GT目标区域辅助选焦，表格方法标签保留这两项输入条件。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PSNR和SSIM越高，表示与参考图像越接近；LPIPS越低，表示感知差异越小。FVD衡量视频特征分布差异，FD和RM按既定协议衡量运动及帧间变化。ATB在这组公开代理条件下取得较好的质量和时序数值。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MagicBokeh的PSNR为25.12，LPIPS为0.198，FVD为97.79，为单图恢复与虚化方法提供了参照。该数据集参与过配置选择，当前结论定位于公开代理复现开发结果；未来方法比较继续披露各行输入权限。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第5页  真实视频主体边缘保留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DAVIS评价包含50段真实视频，每段25帧，共六种方法。VEPI关注主体边缘保留，数值越高表示该指标下的边缘保留越好。BokehMe为0.954，ATB为0.950，二者较接近。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DAVIS没有配对虚化真值，因此我们将边缘指标与原视频、局部放大及连续帧观察结合。MagicBokeh尚未加入这张真实视频表。DeepLens采用自身估深和原生默认光圈，各方法的控制适配沿用既定配置。</w:t>
      </w:r>
    </w:p>
    <w:p>
      <w:pPr>
        <w:pStyle w:val="1"/>
        <w:spacing w:before="200" w:after="160"/>
      </w:pPr>
      <w:r>
        <w:rPr>
          <w:sz w:val="30"/>
        </w:rPr>
        <w:t>第6页  模型计算成本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这张表来自RTX 4090 D服务器的同配置测量，该实例提供约48GB显存。输入分辨率1024×576，固定四个输入，各预热一次并正式重复五次。时间按实际输出帧归一，显存为设备采样峰值。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里计模型或渲染器本身。ATB每输出帧约0.803秒，峰值约42.14GiB；MagicBokeh约1.269秒、5.13GiB。MagicBokeh一帧包含六个图块生成与GPU拼接，估深、选焦和CPU颜色处理计入下一页完整视频流程。ATB按视频窗口运行，表中数值是吞吐归一值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第7页  给定输入下的视频处理效率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本页计时从读取给定输入开始，到25帧CPU uint8 RGB结果形成。ATB模型段为20.113秒，完整流程21.860秒，吞吐约1.144fps。MagicBokeh完整流程36.570秒，包括自身估深、GT目标辅助选点、生成器及颜色校正。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模型加载、外部标注生成、写盘、编码和评价均在这次计时范围之外。GPU方法使用同一4090 D实例，DeepLens采用Xeon 8481C、TF1.15、8线程CPU路径。表中GPU行记录显存，CPU行记录进程内存，设备列用于区分两种资源。</w:t>
      </w:r>
    </w:p>
    <w:p>
      <w:pPr>
        <w:pStyle w:val="1"/>
        <w:spacing w:before="200" w:after="160"/>
      </w:pPr>
      <w:r>
        <w:rPr>
          <w:sz w:val="30"/>
        </w:rPr>
        <w:t>第8页  ATB用时集中在编码与解码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VAE可以理解为在图像和压缩特征之间转换的模块。RGB VAE编码、CoC条件编码以及重叠拼接与时序解码合计占带同步模型段时间的80.36%。其中最后一组约7.841秒，是最耗时的一组。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采用带同步插桩的分阶段测量，用来定位时间分布。重叠拼接与时序解码是一组操作，其总时间由整组共同产生。allocated表示PyTorch活跃张量使用的显存，各阶段峰值包含常驻模型和缓存，不能简单相加。分析由此转向编码中间张量和缓存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第9页  去除冗余计算，降低显存峰值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轮只修改VAE编码器残差返回表达式：原来先把残差和分支输出相加，再除以缩放值；当前实例的缩放值严格等于1，直接返回相加结果即可。保留原加法，其他缩放值继续沿用原除法，模型权重和推理窗口保持一致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原表达式会产生额外的大张量。去除这一步后，设备采样峰值由42.116降至37.616GiB，减少4.50GiB，约10.68%；25帧模型耗时由20.273降至20.049秒，减少约1.10%。主要收益是显存下降。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四个固定片段分别覆盖K=4、8、16、32，浮点输出逐位一致，最终RGB8输出一致。正确性检查与正式计时分开。现有验证范围是这四个片段，完整200段扩展和32GB硬件运行属于后续事项；当前原生ATB仍保留为正式基线。</w:t>
      </w:r>
    </w:p>
    <w:p>
      <w:pPr>
        <w:pStyle w:val="1"/>
        <w:spacing w:before="200" w:after="160"/>
      </w:pPr>
      <w:r>
        <w:rPr>
          <w:sz w:val="30"/>
        </w:rPr>
        <w:t>第10页  局部案例与输入诊断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整体数值评价之后，我们进一步观察真实视频中的细结构和主体内部清晰度。当前选取汽车旁细绳、鸭头与身体、伞绳方法对照三个案例，分别讨论输入变化、主体内部离焦分配和跨方法细节保留。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两批人工观看包含候选现象、正常反馈和反向证据。13段15条具体记录包含疑问式反馈，适合建立问题清单；样本选择包含定向探索，后续通过保留的来源隔离视频检查重复性。当前画面判断以已保存的人工观察为依据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第11页  细绳两时刻的输入离焦变化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car-turn片段中，已记录的端点观察是第22帧细绳比第1帧更淡、更模糊。输入诊断先在RGB中定位局部候选，再读取预测视差和焦点。R1、R2、R4在两个时刻都有有效对应，其名义离焦量分别由0.708、1.022、1.398增至2.403、2.027、2.843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名义离焦量按K乘以预测视差与焦点之差的绝对值计算，是输入控制诊断量。焦点从0.32269变化到0.41688，也参与了局部离焦变化。当前三个候选窄带都呈现端点升高，支持继续检查输入控制与输出现象的关系。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细绳与草地混合是一个待验证假设。定位窄带含混合像素，局部视差相关性随位置变化；后续先核对原RGB清晰度及对应位置，再讨论局部控制干预。两时刻对照与整个序列变化分开分析。</w:t>
      </w:r>
    </w:p>
    <w:p>
      <w:pPr>
        <w:pStyle w:val="1"/>
        <w:spacing w:before="200" w:after="160"/>
      </w:pPr>
      <w:r>
        <w:rPr>
          <w:sz w:val="30"/>
        </w:rPr>
        <w:t>第12页  鸭头与身体的离焦分配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mallard-water片段中，人工观看提出鸭头疑似变软。第0帧输入控制统计显示：头部名义离焦中位数2.400，颈部0.204，身体0.580。头部获得了更大的离焦控制，这是当前明确的输入现象。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0、6、12、18、24五个关键帧都已经完成局部输入统计和同位置六方法材料准备。下一步结合图像观察头部清晰度、与身体的差别，以及背景虚化强度，判断各方法如何响应这些输入。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目前六方法的新视觉复核等待完成，真实深度亦未获得。所查头部视差与水面不同，因此这一例需要独立检查头颈的视差、目标焦点及各方法控制适配。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第13页  伞绳的跨方法细节保留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B19的第0帧上方伞绳已有人工跨方法反馈：P04相对更清楚，映射核对后P04为ATB。这个结果帮助我们同时看到细节损失和ATB相对其他方法的优势。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后续保持同帧、同区域、同尺度展示ATB与固定参照方法。不同方法的内部深度和离焦适配各有设置，结合这些条件理解观察结果。该反馈的覆盖范围是已观看的第0帧对照，其他时刻继续通过已有视频材料核查。</w:t>
      </w:r>
    </w:p>
    <w:p>
      <w:pPr>
        <w:pStyle w:val="1"/>
        <w:spacing w:before="200" w:after="160"/>
      </w:pPr>
      <w:r>
        <w:rPr>
          <w:sz w:val="30"/>
        </w:rPr>
        <w:t>第14页  下一步：验证几何与渲染的作用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首先完成案例确认，核对细绳对应位置与原RGB清晰度，完成鸭头的同位置跨方法观察。明确现象之后，再固定模型和其他输入，设计局部控制变化实验，检查输出是否按预期响应。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随后使用保留的来源隔离视频检查重复现象与正常对照，形成能够解释具体案例的改进问题。效率方向已有一次实现优化结果；质量方向将依照重复观察和干预结果确定模块，继续以实际证据推动方法设计。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