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下次汇报草稿｜视频虚化：基线补充与Any-to-Bokeh效率分析（汇报日期待定；数据截至2026-10-01）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在上次汇报基础上新增两项实测：MagicBokeh完成200段合成视频、每段25帧的评价，并补齐相同配置的模型计算成本；Any-to-Bokeh完成首轮模块时间与显存分析。当前Synthetic有七种方法，DAVIS仍是六种。接下来围绕已经定位的瓶颈和可重复失败场景确定自研方向，不再把低帧率深度补全设为前置任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Any-to-Bokeh仍是核心视频基线。4090 D上模型段约0.803312秒/输出帧、42.14 GiB设备采样峰值；旧RTX PRO6000上为0.50464秒/输出帧、38.47 GiB。两卡结果分别标注，不能将差异说成方法优化收益。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另外六种按单帧运行：DeepLens、BokehMe、MPIB、Dr.Bokeh、BokehDiff和新增MagicBokeh。它们的主表适配配置保持冻结。Dr.Bokeh额外使用GT alpha；MagicBokeh自行从RGB估深，同时使用GT可见目标区域辅助选出一个焦点像素，因此并非所有方法输入权限相同。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MagicBokeh采用用户选定的Target-guided Depth-Medoid B：在GT可见目标安全区域里，依据自身预测深度选择接近区域中位深度的实际像素；焦点数值读取这个像素的预测深度。GT数值深度和alpha不送入生成器，但GT区域参与选点这一额外权限必须披露。逐帧没有时序平滑，虚化强度、分块及颜色后处理均沿用冻结实现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主体保留与背景虚化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先看Any-to-Bokeh能够产生什么样的视频虚化效果。这一页上方是作者项目页的山羊演示，下方是我们用官方权重在DAVIS黑天鹅视频上得到的本地复现。两行都是左边输入、右边输出，点击一行中的视频即可同步播放这一对输入和输出。山羊后方的山坡纹理变得模糊，动物主体仍然清楚；黑天鹅后方的植被和岸边也明显变虚，可以重点观察脖子、羽毛与背景交界的位置。官方演示和本地复现使用不同素材，用于直观展示方法效果，不能当作同一输入下的质量差异比较。本地结果不是我们的自研方法，素材也不是自采视频；它使用DAVIS、官方权重和固定K=16。这些实拍视频没有虚化真值，因此这一页只做定性观察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运动场景下的视频虚化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页看运动场景。上方是官方舞蹈演示，下方是本地DAVIS街舞复现，仍然是左侧输入、右侧输出。播放时观察人物做动作的过程中，主体轮廓和肢体细节如何变化，背景观众是否被虚化，以及边界附近有没有明显异常。这些视频用于展示实际现象，不据此直接宣称没有闪烁。官方片段长4.5秒；本地片段只有25帧，以20fps播放时为1.25秒，设置为循环方便观察。循环末尾跳回首帧属于播放重复，不是模型在连续帧之间产生的错误。两页开场先给出效果直觉，后面的合成数据、真实视频指标和效率表再说明完整评价结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这页在原有六种方法的复现结果中加入MagicBokeh B。上表是我们在公开代理合成集上的实测，下表保留原论文报告值。MagicBokeh没有对应的Any-to-Bokeh论文行，因此不填写或虚构它的论文参照，也不纳入原六种方法的平均绝对偏差。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输入与参考保持原来的200段、每段25帧、1024×576，参考虚化使用MPIB-public/sRGB代理渲染。MagicBokeh全部5000帧的输出完整性、目标点、原生深度、随机种子和指标检查通过。它不是重新生成的一套更有利测试数据。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Any-to-Bokeh仍在这些指标上领先。MagicBokeh B的PSNR为25.1202 dB、SSIM为0.799536、LPIPS为0.197734、FVD为97.7899、FD为0.870974、RM为0.026840；补充的VFID-I为14.9854。它在当前代理集与控制协议下距离GT较远，但不能把这些差距唯一归因于模型能力：估深、目标控制、图块生成及颜色处理都和ATB不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平均绝对偏差仍只在原六种方法和它们的论文对应行之间计算：PSNR约1.79 dB、SSIM约0.040、LPIPS约0.032、FVD约20.64、FD约0.136、RM约0.0051。它描述两套测试条件下的差异，不作为实现必须通过的门槛。MagicBokeh没有对应论文行，明确排除。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Crafter行沿用原论文VBS数据集小、中、大三档的外部参考均值，与本项目数据不同，不直接排序。MagicBokeh本轮保留低K非目标区域较清晰、K32部分目标失焦和原生逐帧深度变化；结果出来后没有再调K、阈值或更换深度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DAVIS仍是上次冻结的六种方法，各50段、每段25帧。这里没有虚化真值，VEPI衡量输出与输入在主体边缘附近的结构保留，不能单独代表背景虚化质量。MagicBokeh尚未运行DAVIS协议，不在这张表中填入推测值。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BokehMe约0.954，Any-to-Bokeh约0.950，前两位非常接近。DeepLens采用原生默认光圈，虚化相对较轻，这与其较高边缘保留分数同时出现，但不能仅凭均值差异唯一解释原因。原有定性失败和方法输入差异继续保留。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模型与端到端效率：Table 3A / 3B合并展示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Table 3A比较模型段成本。当前页为2026-10-01在4090 D上的六种GPU方法复测：固定四个输入、各预热一次和正式五次。参数量复用，完整GFLOPs继续N/A；模型加载、读取与外围前后处理不计。旧RTX PRO6000结果单独保留，不能与新卡混算方法加速比。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Any-to-Bokeh按真实25帧路径测量，新卡模型段约20.083秒，再除25得到0.803312秒/输出帧。这不是独立单帧在线延迟。MagicBokeh一张1024×576输出由六个512×512图块组成，新卡模型时间约1.269188秒，包含生成器及GPU拼接。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 B实际调用的生成器参数约1398.545M，设备采样峰值约5.13 GiB，Torch allocated峰值约3.89 GiB。这里不计DAdepth估深、GT目标辅助选点、条件构造和CPU PIL/AdaIN颜色处理。相对于ATB，当前生成器路径显存更低，但全帧单位输出时间更长；单步标签不能直接说明它更快。这不是完整RGB到虚化的端到端成本。</w:t>
      </w:r>
    </w:p>
    <w:p>
      <w:r>
        <w:br w:type="page"/>
      </w:r>
    </w:p>
    <w:p>
      <w:r>
        <w:t>同一页合并展示3A和3B，并统一使用4090 D。3A三列已填新卡实测：模型时间、参数量和采样显存；3B的25帧E2E、FPS及对应内存目前全部待测。完整E2E从读取给定输入到25张CPU输出，包含适配和必要方法处理，排除加载、外部geometry生成和写盘编码。不能把旧卡数字换成新卡标签，也不能用模型时间乘25当作E2E。旧卡3B仍作为正式历史硬件版本保存在协议和记录中，本页不混填。</w:t>
      </w:r>
    </w:p>
    <w:p>
      <w:pPr>
        <w:spacing w:after="320"/>
      </w:pPr>
      <w:r>
        <w:rPr>
          <w:rFonts w:ascii="微软雅黑" w:hAnsi="微软雅黑"/>
          <w:b/>
          <w:sz w:val="40"/>
        </w:rPr>
        <w:t>06  ATB的主要成本集中在VAE（旧RTX PRO6000模块分析）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以下模块分析来自旧RTX PRO6000，新卡尚未重测模块占比。首轮profile沿用四段固定输入，每段25帧，预热一次、正式重复两次，不改权重和精度。分阶段同步是为了归因，因此这些阶段耗时不能替换Table 3A的正式测速结果。每段约12.626秒模型段中，RGB VAE编码约2.739秒，CoC VAE编码约2.516秒，重叠拼接与时序VAE解码约4.975秒，三项合计约81%；UNet约2.258秒。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RGB和CoC编码阶段的Torch allocated峰值都约34.29 GiB；重叠拼接与解码阶段约29.65 GiB，UNet约14.39 GiB。这些是含常驻权重和缓存的绝对峰值，不能相加，也不能与旧卡Table 3A约38.47 GiB的设备占用采样值混为同一口径。持续RGB特征缓存约6.47 GiB，其中最高分辨率一级占4.5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25个最终输出帧，RGB和CoC分别处理48个编码帧槽，解码处理32个帧槽，包含窗口重叠和padding。但是重复数量不等于可以无损删掉的计算，因为还涉及随机采样、缓存索引和时序解码上下文。目前只定位了成本来源，没有验证任何优化已经提速、降显存或保持质量。Table 3B正式保留25帧E2E；与Table 3A模型成本分开，不属于低帧率Track B。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07  性能评价状态与待测项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第一，七方法Synthetic、六方法DAVIS和新旧GPU的3A结果继续保留。旧机六方法3B已有实测，新4090 D尚未复测完整25帧E2E，MagicBokeh B也没有3B结果。缺项标待测，不能用模型时间乘25代填。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第二，后续若补新卡3B，应按冻结E2E-given-inputs边界完成完整25帧流水；MagicBokeh需要在执行前明确自身估深、目标选点、颜色后处理等方法内步骤。当前只更正表格，没有启动补测。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第三，Track B是低帧率几何评价，Table 3B是视频端到端效率，两者没有从属关系。低帧率路线和原Table4继续暂停，3A和3B都保留。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第四，编码分批、缓存优化、失败场景分析和Ours设计仍是后续候选。本轮不执行这些方案，等待后续明确任务。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平均绝对偏差：本项目结果与对应论文报告值之差的绝对值，在原六种有对应行的方法上取平均；MagicBokeh和BokehCrafter均不参与这一统计。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效率指标：时间按实际输出帧归一，不等同于单帧在线延迟；参数量为实际调用模块的独立参数数目。设备采样峰值包含上下文与分配器缓存；Torch allocated是框架已分配张量占用，两者口径不同。阶段峰值不可相加。MagicBokeh此表不计估深等前处理，DeepLens CPU不进入GPU主表。</w:t>
      </w:r>
    </w:p>
    <w:p>
      <w:r>
        <w:br w:type="page"/>
      </w:r>
    </w:p>
    <w:p>
      <w:r>
        <w:t>证据：magicbokeh-track-a-200-20260930.json；magicbokeh-frozen-B-table3-20260930.json；any2bokeh-native-module-profile-20260930.json。原0930已汇报版本保留，本稿汇报日期待定。</w:t>
      </w:r>
    </w:p>
    <w:p>
      <w:r>
        <w:t>本次更正证据：table3-4090d-20261001.json（新卡3A）；efficiency-3b-final-review-20260930.json（旧机3B）。原始记录与0930已汇报原稿不变。</w:t>
      </w:r>
    </w:p>
    <w:p>
      <w:r>
        <w:t>合并效率表保留DeepLens CPU行：GPU模型成本3A不适用；新机CPU上的25帧E2E和RSS也待测。其余六方法3A为4090 D实测，3B同样待测。CPU RSS与GPU显存分别解释，不作同质内存排序。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