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">
  <w:body>
    <w:p>
      <w:pPr>
        <w:spacing w:before="560" w:after="80"/>
      </w:pPr>
      <w:r>
        <w:rPr>
          <w:rFonts w:ascii="Calibri" w:hAnsi="Calibri" w:eastAsia="Microsoft YaHei"/>
          <w:b/>
          <w:i w:val="0"/>
          <w:color w:val="22B8CF"/>
          <w:sz w:val="22"/>
        </w:rPr>
        <w:t>实验执行手册</w:t>
      </w:r>
    </w:p>
    <w:p>
      <w:pPr>
        <w:spacing w:after="120"/>
      </w:pPr>
      <w:r>
        <w:rPr>
          <w:rFonts w:ascii="Calibri" w:hAnsi="Calibri" w:eastAsia="Microsoft YaHei"/>
          <w:b/>
          <w:i w:val="0"/>
          <w:color w:val="1F5E9C"/>
          <w:sz w:val="54"/>
        </w:rPr>
        <w:t>SHARP实验TodoList与执行方案</w:t>
      </w:r>
    </w:p>
    <w:p>
      <w:pPr>
        <w:spacing w:after="400"/>
      </w:pPr>
      <w:r>
        <w:rPr>
          <w:rFonts w:ascii="Calibri" w:hAnsi="Calibri" w:eastAsia="Microsoft YaHei"/>
          <w:b w:val="0"/>
          <w:i w:val="0"/>
          <w:color w:val="59697A"/>
          <w:sz w:val="28"/>
        </w:rPr>
        <w:t>从真实图片复现结果到移动端浅3D参数决策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  <w:cantSplit/>
        </w:trPr>
        <w:tc>
          <w:tcPr>
            <w:tcW w:type="dxa" w:w="17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76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项目</w:t>
            </w:r>
          </w:p>
        </w:tc>
        <w:tc>
          <w:tcPr>
            <w:tcW w:type="dxa" w:w="7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单张2D图像转浅3D表达 / 单图新视角合成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当前基线</w:t>
            </w:r>
          </w:p>
        </w:tc>
        <w:tc>
          <w:tcPr>
            <w:tcW w:type="dxa" w:w="7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Apple SHARP官方模型、权重与推理代码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实验阶段</w:t>
            </w:r>
          </w:p>
        </w:tc>
        <w:tc>
          <w:tcPr>
            <w:tcW w:type="dxa" w:w="7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5张先导实验 → 参数冻结 → 10～20张独立验证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核心决策</w:t>
            </w:r>
          </w:p>
        </w:tc>
        <w:tc>
          <w:tcPr>
            <w:tcW w:type="dxa" w:w="7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运动范围、安全裁剪、高斯保留率与移动端表示路线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版本日期</w:t>
            </w:r>
          </w:p>
        </w:tc>
        <w:tc>
          <w:tcPr>
            <w:tcW w:type="dxa" w:w="7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2026年7月17日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5E8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C05621"/>
                <w:sz w:val="21"/>
              </w:rPr>
              <w:t xml:space="preserve">使用原则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先完成先导实验并冻结参数，再进入独立验证集。验证集不得反复调参，否则无法说明方案具有可推广性。</w:t>
            </w:r>
          </w:p>
        </w:tc>
      </w:tr>
    </w:tbl>
    <w:p>
      <w:pPr>
        <w:spacing w:after="2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本文档既是TodoList，也是实验SOP。每完成一项，在状态栏中勾选，并将对应文件放入规定目录。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最终必须回答的四个问题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在保证所有质量项目均不低于2分时，最大可接受屏幕视差是多少？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为了隐藏新视角边缘伪影，四边单边最小安全裁剪比例是多少？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高斯保留率降低到多少时，文件大小和速度收益仍大于画质损失？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SHARP适合哪些场景，不适合哪些场景；应选择压缩3DGS还是Mesh/LDI路线？</w:t>
      </w: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00  总TodoList</w:t>
      </w:r>
    </w:p>
    <w:p>
      <w:pPr>
        <w:keepNext/>
        <w:pageBreakBefore/>
        <w:spacing w:before="40" w:after="40"/>
        <w:ind w:left="0" w:right="0" w:firstLine="0"/>
      </w:pPr>
      <w:r>
        <w:t xml:space="preserve">状态说明：□=未开始，◐=进行中，☑=已完成。当前仅完成校园建筑工具冒烟验证，不能视为5张先导实验完成。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先看全局，再逐阶段执行；不要同时展开所有变量。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20"/>
        <w:gridCol w:w="650"/>
        <w:gridCol w:w="1280"/>
        <w:gridCol w:w="2860"/>
        <w:gridCol w:w="1950"/>
        <w:gridCol w:w="2100"/>
      </w:tblGrid>
      <w:tr>
        <w:trPr>
          <w:tblHeader w:val="true"/>
          <w:cantSplit/>
        </w:trPr>
        <w:tc>
          <w:tcPr>
            <w:tcW w:type="dxa" w:w="52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状态</w:t>
            </w:r>
          </w:p>
        </w:tc>
        <w:tc>
          <w:tcPr>
            <w:tcW w:type="dxa" w:w="6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128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任务</w:t>
            </w:r>
          </w:p>
        </w:tc>
        <w:tc>
          <w:tcPr>
            <w:tcW w:type="dxa" w:w="28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具体操作</w:t>
            </w:r>
          </w:p>
        </w:tc>
        <w:tc>
          <w:tcPr>
            <w:tcW w:type="dxa" w:w="19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必须产出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完成标准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◐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T00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建立实验目录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按本文第2节建立先导、运动、裁剪、剪枝、测速和验证目录。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目录树与README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目录存在且命名统一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T01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选择5张先导图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覆盖建筑、近景人物/花簇、细结构、贴墙人物、反射/水面。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pilot_manifest.csv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五类问题均被覆盖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T02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冻结基础环境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记录提交版本、权重哈希、Conda环境、GPU、CUDA、gsplat与分辨率。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environment_baseline.txt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任何实验可定位到同一环境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◐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T03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新增实验渲染入口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复制调用逻辑，暴露trajectory、max_disparity、num_steps；不得覆盖官方render.py。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sharp_experiment_render.py（V1三视图已完成，60帧接口待完成）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0/左/右及四档运动可独立运行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◐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T04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完成静止基线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渲染原相机位，输出输入图、重渲染图、差异图与基础指标。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baseline_0目录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可区分模型基础损失与运动损失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T05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完成运动矩阵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每张图运行0/0.02/0.04/0.08，保存左右端点和完整视频。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motion_results.csv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5张图所有档位无缺失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◐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T06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完成裁剪实验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对已有视频做单边0/3/5/10%后裁剪并恢复显示尺寸。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crop_results.csv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无需重新推理或重新生成PLY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T07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完成静态与视频评分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边缘、遮挡、细结构、稳定性、舒适性分别打0～3分。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quality_scores.csv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评分锚点固定，所有配置有分数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◐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T08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制作失败案例诊断包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固定输出RGB、左右新视角、放大框、渲染深度、双层深度和Alpha。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failure_packages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每个主要问题至少1个证据包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T09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完成剪枝实验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在推荐运动幅度下测试100/75/50/25%保留率。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pruning_results.csv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同时记录全图和问题区域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T10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完成规范测速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预热1次，正式至少3次，分阶段计时并取中位数。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timing_results.csv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异常长尾与正式值分开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T11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冻结推荐参数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依据最低质量分确定运动、裁剪和保留率。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pilot_decision.md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参数冻结并写明选择依据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T12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运行独立验证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在额外10～20张图上只使用冻结配置，不再调整参数。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validation_results.csv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给出成功率和问题发生率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T13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形成路线结论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比较压缩3DGS与Mesh/LDI的质量、大小、速度和开发成本。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final_decision.md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能明确推荐后续路线</w:t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01  实验设计总览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用分阶段实验控制变量，避免组合爆炸。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1.1 三阶段路线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2100"/>
        <w:gridCol w:w="1600"/>
        <w:gridCol w:w="1750"/>
        <w:gridCol w:w="2660"/>
      </w:tblGrid>
      <w:tr>
        <w:trPr>
          <w:tblHeader w:val="true"/>
          <w:cantSplit/>
        </w:trPr>
        <w:tc>
          <w:tcPr>
            <w:tcW w:type="dxa" w:w="12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目的</w:t>
            </w:r>
          </w:p>
        </w:tc>
        <w:tc>
          <w:tcPr>
            <w:tcW w:type="dxa" w:w="16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数据</w:t>
            </w:r>
          </w:p>
        </w:tc>
        <w:tc>
          <w:tcPr>
            <w:tcW w:type="dxa" w:w="17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允许调整</w:t>
            </w:r>
          </w:p>
        </w:tc>
        <w:tc>
          <w:tcPr>
            <w:tcW w:type="dxa" w:w="26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核心输出</w:t>
            </w:r>
          </w:p>
        </w:tc>
      </w:tr>
      <w:tr>
        <w:trPr>
          <w:cantSplit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A. 先导实验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选参数、找问题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5张代表图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允许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运动/裁剪/保留率候选值</w:t>
            </w:r>
          </w:p>
        </w:tc>
      </w:tr>
      <w:tr>
        <w:trPr>
          <w:cantSplit/>
        </w:trPr>
        <w:tc>
          <w:tcPr>
            <w:tcW w:type="dxa" w:w="1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B. 参数冻结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形成唯一推荐配置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先导实验结果</w:t>
            </w:r>
          </w:p>
        </w:tc>
        <w:tc>
          <w:tcPr>
            <w:tcW w:type="dxa" w:w="1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只允许一次决策</w:t>
            </w:r>
          </w:p>
        </w:tc>
        <w:tc>
          <w:tcPr>
            <w:tcW w:type="dxa" w:w="2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冻结配置与选择理由</w:t>
            </w:r>
          </w:p>
        </w:tc>
      </w:tr>
      <w:tr>
        <w:trPr>
          <w:cantSplit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C. 独立验证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验证可推广性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额外10～20张图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禁止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成功率、失败类型与适用边界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1.2 变量顺序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先固定完整高斯和不裁剪，仅改变运动幅度与方向。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选择候选运动范围后，从已有渲染结果派生不同裁剪比例。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固定运动与裁剪后，再改变高斯保留率。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最后进行性能测试和独立验证。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DECE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B83232"/>
                <w:sz w:val="21"/>
              </w:rPr>
              <w:t xml:space="preserve">禁止做法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不要一开始同时组合4档运动×2方向×4档裁剪×4档剪枝。裁剪是后处理，剪枝应在运动参数基本确定后再测试。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1.3 第一轮推荐参数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350"/>
        <w:gridCol w:w="4910"/>
      </w:tblGrid>
      <w:tr>
        <w:trPr>
          <w:tblHeader w:val="true"/>
          <w:cantSplit/>
        </w:trPr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变量</w:t>
            </w:r>
          </w:p>
        </w:tc>
        <w:tc>
          <w:tcPr>
            <w:tcW w:type="dxa" w:w="23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先导设置</w:t>
            </w:r>
          </w:p>
        </w:tc>
        <w:tc>
          <w:tcPr>
            <w:tcW w:type="dxa" w:w="491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运动参数 max_disparity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 / 0.02 / 0.04 / 0.08</w:t>
            </w:r>
          </w:p>
        </w:tc>
        <w:tc>
          <w:tcPr>
            <w:tcW w:type="dxa" w:w="4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0.08是当前源码默认值；最终报告换算为实测屏幕位移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方向</w:t>
            </w:r>
          </w:p>
        </w:tc>
        <w:tc>
          <w:tcPr>
            <w:tcW w:type="dxa" w:w="2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左端点 / 右端点</w:t>
            </w:r>
          </w:p>
        </w:tc>
        <w:tc>
          <w:tcPr>
            <w:tcW w:type="dxa" w:w="49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使用相同绝对幅度，分别观察两侧新显露区域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轨迹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swipe，60帧</w:t>
            </w:r>
          </w:p>
        </w:tc>
        <w:tc>
          <w:tcPr>
            <w:tcW w:type="dxa" w:w="4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质量实验优先纯左右平移；体验实验再补rotate_forward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单边裁剪</w:t>
            </w:r>
          </w:p>
        </w:tc>
        <w:tc>
          <w:tcPr>
            <w:tcW w:type="dxa" w:w="2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0% / 3% / 5% / 10%</w:t>
            </w:r>
          </w:p>
        </w:tc>
        <w:tc>
          <w:tcPr>
            <w:tcW w:type="dxa" w:w="49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先渲染后裁剪，并放大回原显示尺寸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高斯保留率</w:t>
            </w:r>
          </w:p>
        </w:tc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100% / 75% / 50% / 25%</w:t>
            </w:r>
          </w:p>
        </w:tc>
        <w:tc>
          <w:tcPr>
            <w:tcW w:type="dxa" w:w="4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先做opacity top-k基线，再考虑可见贡献度</w:t>
            </w:r>
          </w:p>
        </w:tc>
      </w:tr>
      <w:tr>
        <w:trPr>
          <w:cantSplit/>
        </w:trPr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重复次数</w:t>
            </w:r>
          </w:p>
        </w:tc>
        <w:tc>
          <w:tcPr>
            <w:tcW w:type="dxa" w:w="2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预热1次 + 正式3次</w:t>
            </w:r>
          </w:p>
        </w:tc>
        <w:tc>
          <w:tcPr>
            <w:tcW w:type="dxa" w:w="49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报告中位数，同时保留最小值和最大值</w:t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02  目录与命名规范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先把结果放对地方，后续统计才不会返工。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2.1 建议目录</w:t>
      </w:r>
    </w:p>
    <w:p>
      <w:pPr>
        <w:pStyle w:val="Heading1"/>
        <w:keepNext/>
      </w:pPr>
      <w:r>
        <w:t xml:space="preserve">正式结果统一放入03_实验记录/SHARP浅3D实验/；过程脚本统一放入99_过程文件_可删除或归档/生成脚本/SHARP实验工具/。</w:t>
      </w:r>
    </w:p>
    <w:p>
      <w:pPr>
        <w:spacing w:before="60" w:after="140" w:line="252" w:lineRule="auto"/>
        <w:ind w:left="259" w:right="259"/>
        <w:shd w:fill="F6F8FA"/>
      </w:pPr>
      <w:r>
        <w:rPr>
          <w:rFonts w:ascii="Calibri" w:hAnsi="Calibri" w:eastAsia="Consolas"/>
          <w:b w:val="0"/>
          <w:i w:val="0"/>
          <w:color w:val="243447"/>
          <w:sz w:val="18"/>
        </w:rPr>
        <w:t>03_实验记录/SHARP浅3D实验/</w:t>
        <w:br/>
        <w:t>├─ 00_方案与表格/</w:t>
        <w:br/>
        <w:t>├─ 01_先导样本/</w:t>
        <w:br/>
        <w:t>├─ 02_静止基线/</w:t>
        <w:br/>
        <w:t>├─ 03_运动实验/</w:t>
        <w:br/>
        <w:t>├─ 04_裁剪实验/</w:t>
        <w:br/>
        <w:t>├─ 05_失败案例诊断/</w:t>
        <w:br/>
        <w:t>├─ 06_剪枝实验/</w:t>
        <w:br/>
        <w:t>├─ 07_性能测试/</w:t>
        <w:br/>
        <w:t>├─ 08_冻结参数/</w:t>
        <w:br/>
        <w:t>├─ 09_独立验证/</w:t>
        <w:br/>
        <w:t>└─ 10_最终结论/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2.2 样本与配置命名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样本ID使用P01～P05表示先导样本，V01～V20表示验证样本。配置名称应包含运动、方向、裁剪、保留率和重复编号。</w:t>
      </w:r>
    </w:p>
    <w:p>
      <w:pPr>
        <w:spacing w:before="60" w:after="140" w:line="252" w:lineRule="auto"/>
        <w:ind w:left="259" w:right="259"/>
        <w:shd w:fill="F6F8FA"/>
      </w:pPr>
      <w:r>
        <w:rPr>
          <w:rFonts w:ascii="Calibri" w:hAnsi="Calibri" w:eastAsia="Consolas"/>
          <w:b w:val="0"/>
          <w:i w:val="0"/>
          <w:color w:val="243447"/>
          <w:sz w:val="18"/>
        </w:rPr>
        <w:t>P01_building_md004_left_crop03_keep050_r02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  <w:cantSplit/>
        </w:trPr>
        <w:tc>
          <w:tcPr>
            <w:tcW w:type="dxa" w:w="15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0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含义</w:t>
            </w:r>
          </w:p>
        </w:tc>
        <w:tc>
          <w:tcPr>
            <w:tcW w:type="dxa" w:w="381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md004</w:t>
            </w:r>
          </w:p>
        </w:tc>
        <w:tc>
          <w:tcPr>
            <w:tcW w:type="dxa" w:w="4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max_disparity=0.04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md000 / md002 / md004 / md008</w:t>
            </w:r>
          </w:p>
        </w:tc>
      </w:tr>
      <w:tr>
        <w:trPr>
          <w:cantSplit/>
        </w:trPr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left/right</w:t>
            </w:r>
          </w:p>
        </w:tc>
        <w:tc>
          <w:tcPr>
            <w:tcW w:type="dxa" w:w="4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左右端点或方向</w:t>
            </w:r>
          </w:p>
        </w:tc>
        <w:tc>
          <w:tcPr>
            <w:tcW w:type="dxa" w:w="38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left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crop03</w:t>
            </w:r>
          </w:p>
        </w:tc>
        <w:tc>
          <w:tcPr>
            <w:tcW w:type="dxa" w:w="4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四边单边裁剪3%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crop00 / crop03 / crop05 / crop10</w:t>
            </w:r>
          </w:p>
        </w:tc>
      </w:tr>
      <w:tr>
        <w:trPr>
          <w:cantSplit/>
        </w:trPr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keep050</w:t>
            </w:r>
          </w:p>
        </w:tc>
        <w:tc>
          <w:tcPr>
            <w:tcW w:type="dxa" w:w="4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保留50%高斯</w:t>
            </w:r>
          </w:p>
        </w:tc>
        <w:tc>
          <w:tcPr>
            <w:tcW w:type="dxa" w:w="38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keep100 / keep075 / keep050 / keep025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r02</w:t>
            </w:r>
          </w:p>
        </w:tc>
        <w:tc>
          <w:tcPr>
            <w:tcW w:type="dxa" w:w="4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第2次正式重复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r01 / r02 / r03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2.3 每个配置必须保存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config.json：模型、轨迹、运动幅度、方向、裁剪、保留率和随机种子。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color.mp4、depth.mp4与Alpha诊断输出：分别保存彩色、3DGS渲染深度和像素累计覆盖。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frame_center.png、frame_left.png、frame_right.png：静止及左右端点。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crop或failure局部图：问题区域放大、边界位置和标注。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timing.json：各阶段耗时、显存峰值和运行状态。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score.csv：质量评分和问题首次出现帧。</w:t>
      </w: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03  阶段0：准备与基线冻结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先固定环境、样本和实验入口。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3.1 选择5张先导图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100"/>
        <w:gridCol w:w="2100"/>
        <w:gridCol w:w="4360"/>
      </w:tblGrid>
      <w:tr>
        <w:trPr>
          <w:tblHeader w:val="true"/>
          <w:cantSplit/>
        </w:trPr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建议类型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当前可选案例</w:t>
            </w:r>
          </w:p>
        </w:tc>
        <w:tc>
          <w:tcPr>
            <w:tcW w:type="dxa" w:w="43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重点检查</w:t>
            </w:r>
          </w:p>
        </w:tc>
      </w:tr>
      <w:tr>
        <w:trPr>
          <w:cantSplit/>
        </w:trP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P01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普通建筑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校园建筑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边缘软化、平面深度、整体稳定性</w:t>
            </w:r>
          </w:p>
        </w:tc>
      </w:tr>
      <w:tr>
        <w:trPr>
          <w:cantSplit/>
        </w:trPr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P02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近景人物+复杂遮挡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花簇人物</w:t>
            </w:r>
          </w:p>
        </w:tc>
        <w:tc>
          <w:tcPr>
            <w:tcW w:type="dxa" w:w="4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花茎错接、遮挡后方内容、人物边缘</w:t>
            </w:r>
          </w:p>
        </w:tc>
      </w:tr>
      <w:tr>
        <w:trPr>
          <w:cantSplit/>
        </w:trP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P03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细结构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摩天轮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辐条、灯杆、拖影、深度粗化</w:t>
            </w:r>
          </w:p>
        </w:tc>
      </w:tr>
      <w:tr>
        <w:trPr>
          <w:cantSplit/>
        </w:trPr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P04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人物贴近背景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人物贴墙与投影</w:t>
            </w:r>
          </w:p>
        </w:tc>
        <w:tc>
          <w:tcPr>
            <w:tcW w:type="dxa" w:w="4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人物/墙面分层、头发、阴影</w:t>
            </w:r>
          </w:p>
        </w:tc>
      </w:tr>
      <w:tr>
        <w:trPr>
          <w:cantSplit/>
        </w:trP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P05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反射或水面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夜景水面/湖面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反射被解释为几何、平面弯曲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3.2 环境基线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20"/>
        <w:gridCol w:w="650"/>
        <w:gridCol w:w="1280"/>
        <w:gridCol w:w="2860"/>
        <w:gridCol w:w="1950"/>
        <w:gridCol w:w="2100"/>
      </w:tblGrid>
      <w:tr>
        <w:trPr>
          <w:tblHeader w:val="true"/>
          <w:cantSplit/>
        </w:trPr>
        <w:tc>
          <w:tcPr>
            <w:tcW w:type="dxa" w:w="52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状态</w:t>
            </w:r>
          </w:p>
        </w:tc>
        <w:tc>
          <w:tcPr>
            <w:tcW w:type="dxa" w:w="6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128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任务</w:t>
            </w:r>
          </w:p>
        </w:tc>
        <w:tc>
          <w:tcPr>
            <w:tcW w:type="dxa" w:w="28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具体操作</w:t>
            </w:r>
          </w:p>
        </w:tc>
        <w:tc>
          <w:tcPr>
            <w:tcW w:type="dxa" w:w="19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必须产出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完成标准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E01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记录代码版本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记录Git提交号；若工作区有改动，保存git status。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code_version.txt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能回溯到具体代码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E02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记录模型权重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计算sharp_2572gikvuh.pt的SHA256和文件大小。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checkpoint_hash.txt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不同机器使用同一权重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E03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记录GPU环境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保存nvidia-smi、CUDA、PyTorch、gsplat和Conda包信息。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environment_baseline.txt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GPU与软件版本完整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E04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固定输出规格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固定输入处理、输出分辨率、60帧、视频编码和色彩空间。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experiment_defaults.json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所有配置只改变指定变量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3.3 运行前检查</w:t>
      </w:r>
    </w:p>
    <w:p>
      <w:pPr>
        <w:spacing w:before="60" w:after="140" w:line="252" w:lineRule="auto"/>
        <w:ind w:left="259" w:right="259"/>
        <w:shd w:fill="F6F8FA"/>
      </w:pPr>
      <w:r>
        <w:t xml:space="preserve">conda activate sharp</w:t>
      </w:r>
      <w:r>
        <w:br/>
      </w:r>
      <w:r>
        <w:t xml:space="preserve">export CUDA_VISIBLE_DEVICES=1</w:t>
      </w:r>
      <w:r>
        <w:br/>
      </w:r>
      <w:r>
        <w:t xml:space="preserve">nvidia-smi</w:t>
      </w:r>
      <w:r>
        <w:br/>
      </w:r>
      <w:r>
        <w:t xml:space="preserve">python -c "import torch; print(torch.__version__, torch.cuda.is_available())"</w:t>
      </w:r>
      <w:r>
        <w:br/>
      </w:r>
      <w:r>
        <w:t xml:space="preserve">sharp --help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F1F8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1F5E9C"/>
                <w:sz w:val="21"/>
              </w:rPr>
              <w:t xml:space="preserve">设备编号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服务器设置CUDA_VISIBLE_DEVICES=1后，进程内显示cuda:0是正常的设备重编号，不代表使用了物理GPU 0。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3.4 新增独立实验渲染入口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当前sharp render固定创建TrajectoryParams()，CLI没有暴露运动参数。应新增独立脚本，例如99_过程文件_可删除或归档/生成脚本/SHARP实验工具/sharp_experiment_render.py，调用官方load_ply、create_camera_model、create_eye_trajectory和GSplatRenderer，不覆盖官方源码文件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参数：--trajectory swipe/rotate_forward。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参数：--max-disparity 0/0.02/0.04/0.08。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参数：--num-steps 60。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参数：--endpoint center/left/right/all。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参数：--output-color与--output-depth。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每次运行将完整参数写入config.json。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5E8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C05621"/>
                <w:sz w:val="21"/>
              </w:rPr>
              <w:t xml:space="preserve">实现提示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静止基线不要依赖swipe的中间帧近似，应显式使用eye_position=[0,0,0]渲染原相机位。</w:t>
            </w:r>
          </w:p>
        </w:tc>
      </w:tr>
    </w:tbl>
    <w:p>
      <w:pPr>
        <w:spacing w:after="2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04  阶段1：静止基线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区分模型重建损失与新视角运动损失。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4.1 每张图怎么做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使用已有SHARP运行脚本生成完整PLY；同一张图在后续运动和裁剪实验中复用该PLY。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使用实验渲染入口，在eye_position=[0,0,0]处渲染一张RGB和一张3DGS深度图。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将重渲染RGB与原图对齐到相同宽高和色彩空间。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输出绝对差异图；计算PSNR、SSIM和LPIPS。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检查中心区域、四边、前景边缘和细结构，记录原视角是否已经模糊或错位。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4.2 需要保存的文件</w:t>
      </w:r>
    </w:p>
    <w:p>
      <w:pPr>
        <w:spacing w:before="60" w:after="140" w:line="252" w:lineRule="auto"/>
        <w:ind w:left="259" w:right="259"/>
        <w:shd w:fill="F6F8FA"/>
      </w:pPr>
      <w:r>
        <w:rPr>
          <w:rFonts w:ascii="Calibri" w:hAnsi="Calibri" w:eastAsia="Consolas"/>
          <w:b w:val="0"/>
          <w:i w:val="0"/>
          <w:color w:val="243447"/>
          <w:sz w:val="18"/>
        </w:rPr>
        <w:t>02_静止基线/P01/</w:t>
        <w:br/>
        <w:t>├─ input.png</w:t>
        <w:br/>
        <w:t>├─ render_zero.png</w:t>
        <w:br/>
        <w:t>├─ render_zero_depth.png</w:t>
        <w:br/>
        <w:t>├─ difference_abs.png</w:t>
        <w:br/>
        <w:t>├─ metrics.json</w:t>
        <w:br/>
        <w:t>└─ notes.txt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3000"/>
        <w:gridCol w:w="4960"/>
      </w:tblGrid>
      <w:tr>
        <w:trPr>
          <w:tblHeader w:val="true"/>
          <w:cantSplit/>
        </w:trPr>
        <w:tc>
          <w:tcPr>
            <w:tcW w:type="dxa" w:w="14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30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49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注意事项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PSNR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衡量逐像素重建误差</w:t>
            </w:r>
          </w:p>
        </w:tc>
        <w:tc>
          <w:tcPr>
            <w:tcW w:type="dxa" w:w="4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对轻微对齐偏差敏感</w:t>
            </w:r>
          </w:p>
        </w:tc>
      </w:tr>
      <w:tr>
        <w:trPr>
          <w:cantSplit/>
        </w:trPr>
        <w:tc>
          <w:tcPr>
            <w:tcW w:type="dxa" w:w="1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SSIM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衡量结构和局部对比度</w:t>
            </w:r>
          </w:p>
        </w:tc>
        <w:tc>
          <w:tcPr>
            <w:tcW w:type="dxa" w:w="4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仍偏向低层视觉差异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LPIPS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衡量感知差异</w:t>
            </w:r>
          </w:p>
        </w:tc>
        <w:tc>
          <w:tcPr>
            <w:tcW w:type="dxa" w:w="4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仅在零运动有原图真值时使用</w:t>
            </w:r>
          </w:p>
        </w:tc>
      </w:tr>
      <w:tr>
        <w:trPr>
          <w:cantSplit/>
        </w:trPr>
        <w:tc>
          <w:tcPr>
            <w:tcW w:type="dxa" w:w="1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人工基础分</w:t>
            </w:r>
          </w:p>
        </w:tc>
        <w:tc>
          <w:tcPr>
            <w:tcW w:type="dxa" w:w="3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判断是否可直接作为展示起点</w:t>
            </w:r>
          </w:p>
        </w:tc>
        <w:tc>
          <w:tcPr>
            <w:tcW w:type="dxa" w:w="4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按统一评分锚点打0～3分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4.3 通过标准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零运动时不得出现明显结构断裂或大面积颜色偏移。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若零运动已经模糊，后续运动伪影不能全部归因于去遮挡。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零运动基础质量分低于2的样本仍保留为失败案例，但不用于确定最大运动范围。</w:t>
      </w: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05  阶段2：运动幅度与方向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使用同一PLY，只改变相机轨迹。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5.1 先导运动矩阵</w:t>
      </w:r>
    </w:p>
    <w:p>
      <w:pPr>
        <w:pStyle w:val="Heading1"/>
        <w:keepNext/>
      </w:pPr>
      <w:r>
        <w:t xml:space="preserve">当前max_disparity=0.04结果属于中运动档，仅用于工具冒烟校准；正式矩阵仍按0/0.02/0.04/0.08执行。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900"/>
        <w:gridCol w:w="1700"/>
        <w:gridCol w:w="4760"/>
      </w:tblGrid>
      <w:tr>
        <w:trPr>
          <w:tblHeader w:val="true"/>
          <w:cantSplit/>
        </w:trPr>
        <w:tc>
          <w:tcPr>
            <w:tcW w:type="dxa" w:w="10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档位</w:t>
            </w:r>
          </w:p>
        </w:tc>
        <w:tc>
          <w:tcPr>
            <w:tcW w:type="dxa" w:w="19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max_disparity</w:t>
            </w:r>
          </w:p>
        </w:tc>
        <w:tc>
          <w:tcPr>
            <w:tcW w:type="dxa" w:w="17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端点</w:t>
            </w:r>
          </w:p>
        </w:tc>
        <w:tc>
          <w:tcPr>
            <w:tcW w:type="dxa" w:w="47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主要目的</w:t>
            </w:r>
          </w:p>
        </w:tc>
      </w:tr>
      <w:tr>
        <w:trPr>
          <w:cantSplit/>
        </w:trP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中心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静止基线</w:t>
            </w:r>
          </w:p>
        </w:tc>
      </w:tr>
      <w:tr>
        <w:trPr>
          <w:cantSplit/>
        </w:trPr>
        <w:tc>
          <w:tcPr>
            <w:tcW w:type="dxa" w:w="1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小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0.02</w:t>
            </w:r>
          </w:p>
        </w:tc>
        <w:tc>
          <w:tcPr>
            <w:tcW w:type="dxa" w:w="1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左、右</w:t>
            </w:r>
          </w:p>
        </w:tc>
        <w:tc>
          <w:tcPr>
            <w:tcW w:type="dxa" w:w="4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寻找基本不可察觉范围</w:t>
            </w:r>
          </w:p>
        </w:tc>
      </w:tr>
      <w:tr>
        <w:trPr>
          <w:cantSplit/>
        </w:trP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中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0.04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左、右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观察遮挡和边缘问题开始出现的位置</w:t>
            </w:r>
          </w:p>
        </w:tc>
      </w:tr>
      <w:tr>
        <w:trPr>
          <w:cantSplit/>
        </w:trPr>
        <w:tc>
          <w:tcPr>
            <w:tcW w:type="dxa" w:w="1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大</w:t>
            </w:r>
          </w:p>
        </w:tc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0.08</w:t>
            </w:r>
          </w:p>
        </w:tc>
        <w:tc>
          <w:tcPr>
            <w:tcW w:type="dxa" w:w="1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左、右</w:t>
            </w:r>
          </w:p>
        </w:tc>
        <w:tc>
          <w:tcPr>
            <w:tcW w:type="dxa" w:w="47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与官方默认轨迹上限对照，暴露明显失败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5.2 具体执行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轨迹类型先固定为swipe，使运动只包含左右平移，便于解释问题来源。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每档生成60帧完整视频，并单独保存中心、最左、最右三个关键帧。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左、右端点使用相同绝对运动幅度，避免方向和幅度同时变化。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计算每档实际屏幕位移：P95作为主要决策指标，P99和最大值用于近景及异常诊断；当前高斯中心投影位移仅作为代理指标，不能直接等同于图像特征光流。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逐帧检查花茎、人物轮廓、辐条、灯杆、树枝和画面两侧，记录问题首次达到1分或0分的帧号。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完成纯平移质量实验后，再对少量样本补充rotate_forward，评价手机倾斜体验。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F1F8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1F5E9C"/>
                <w:sz w:val="21"/>
              </w:rPr>
              <w:t xml:space="preserve">参数解释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源码中的max_disparity用于结合最近深度、焦距和分辨率计算相机偏移，不应直接写成固定角度或简单百分比。最终结论以实测屏幕位移为主。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5.3 运动记录表</w:t>
      </w:r>
    </w:p>
    <w:tbl>
      <w:tblPr>
        <w:tblStyle w:val="TableGrid"/>
        <w:tblW w:type="dxa" w:w="75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700"/>
        <w:gridCol w:w="650"/>
        <w:gridCol w:w="1200"/>
        <w:gridCol w:w="1050"/>
        <w:gridCol w:w="800"/>
        <w:gridCol w:w="1500"/>
        <w:gridCol w:w="900"/>
      </w:tblGrid>
      <w:tr>
        <w:trPr>
          <w:tblHeader w:val="true"/>
          <w:cantSplit/>
        </w:trPr>
        <w:tc>
          <w:tcPr>
            <w:tcW w:type="dxa" w:w="7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样本</w:t>
            </w:r>
          </w:p>
        </w:tc>
        <w:tc>
          <w:tcPr>
            <w:tcW w:type="dxa" w:w="7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档位</w:t>
            </w:r>
          </w:p>
        </w:tc>
        <w:tc>
          <w:tcPr>
            <w:tcW w:type="dxa" w:w="6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方向</w:t>
            </w:r>
          </w:p>
        </w:tc>
        <w:tc>
          <w:tcPr>
            <w:tcW w:type="dxa" w:w="12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p95 / p99位移(px)</w:t>
            </w:r>
          </w:p>
        </w:tc>
        <w:tc>
          <w:tcPr>
            <w:tcW w:type="dxa" w:w="10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p95 / p99占宽度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最低分</w:t>
            </w:r>
          </w:p>
        </w:tc>
        <w:tc>
          <w:tcPr>
            <w:tcW w:type="dxa" w:w="15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首次明显帧</w:t>
            </w:r>
          </w:p>
        </w:tc>
        <w:tc>
          <w:tcPr>
            <w:tcW w:type="dxa" w:w="9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可接受</w:t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小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中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左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大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右</w:t>
            </w:r>
          </w:p>
        </w:tc>
        <w:tc>
          <w:tcPr>
            <w:tcW w:type="dxa" w:w="12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06  阶段3：安全裁剪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先正常渲染，再做产品展示层面的边缘隐藏。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6.1 裁剪定义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“单边裁剪3%”表示上、下分别裁掉原高度的3%，左、右分别裁掉原宽度的3%；剩余区域再放大回原显示尺寸。总宽度保留94%，总高度保留94%。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800"/>
        <w:gridCol w:w="1800"/>
        <w:gridCol w:w="4160"/>
      </w:tblGrid>
      <w:tr>
        <w:trPr>
          <w:tblHeader w:val="true"/>
          <w:cantSplit/>
        </w:trPr>
        <w:tc>
          <w:tcPr>
            <w:tcW w:type="dxa" w:w="16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单边比例</w:t>
            </w:r>
          </w:p>
        </w:tc>
        <w:tc>
          <w:tcPr>
            <w:tcW w:type="dxa" w:w="1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剩余宽度</w:t>
            </w:r>
          </w:p>
        </w:tc>
        <w:tc>
          <w:tcPr>
            <w:tcW w:type="dxa" w:w="1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剩余高度</w:t>
            </w:r>
          </w:p>
        </w:tc>
        <w:tc>
          <w:tcPr>
            <w:tcW w:type="dxa" w:w="41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0%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100%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100%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无裁剪基线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3%</w:t>
            </w:r>
          </w:p>
        </w:tc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94%</w:t>
            </w:r>
          </w:p>
        </w:tc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94%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低成本隐藏轻微边缘软化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5%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90%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90%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中等安全区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10%</w:t>
            </w:r>
          </w:p>
        </w:tc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80%</w:t>
            </w:r>
          </w:p>
        </w:tc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80%</w:t>
            </w:r>
          </w:p>
        </w:tc>
        <w:tc>
          <w:tcPr>
            <w:tcW w:type="dxa" w:w="41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验证较强裁剪是否值得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6.2 FFmpeg示例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以下示例将四边单边裁剪3%，再放大回原视频尺寸。裁剪是后处理，不需要重新运行SHARP或重新生成PLY。</w:t>
      </w:r>
    </w:p>
    <w:p>
      <w:pPr>
        <w:spacing w:before="60" w:after="140" w:line="252" w:lineRule="auto"/>
        <w:ind w:left="259" w:right="259"/>
        <w:shd w:fill="F6F8FA"/>
      </w:pPr>
      <w:r>
        <w:rPr>
          <w:rFonts w:ascii="Calibri" w:hAnsi="Calibri" w:eastAsia="Consolas"/>
          <w:b w:val="0"/>
          <w:i w:val="0"/>
          <w:color w:val="243447"/>
          <w:sz w:val="18"/>
        </w:rPr>
        <w:t>ffmpeg -i input.mp4 -vf "crop=iw*0.94:ih*0.94:iw*0.03:ih*0.03,scale=trunc(iw/0.94/2)*2:trunc(ih/0.94/2)*2" -c:v libx264 -crf 18 -pix_fmt yuv420p output_crop03.mp4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6.3 选择规则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优先选择满足所有质量项≥2的最小裁剪比例。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必须同时检查边缘改善和放大造成的全局清晰度下降。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若5%裁剪仍无法隐藏遮挡拖影，应降低运动幅度，而不是继续扩大裁剪。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报告中明确使用“单边比例”，避免与总裁剪量混淆。</w:t>
      </w: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07  阶段4：质量评分与视频稳定性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把“看起来还行”变成可重复的判断。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7.1 四级评分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5350"/>
        <w:gridCol w:w="3110"/>
      </w:tblGrid>
      <w:tr>
        <w:trPr>
          <w:tblHeader w:val="true"/>
          <w:cantSplit/>
        </w:trPr>
        <w:tc>
          <w:tcPr>
            <w:tcW w:type="dxa" w:w="9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分数</w:t>
            </w:r>
          </w:p>
        </w:tc>
        <w:tc>
          <w:tcPr>
            <w:tcW w:type="dxa" w:w="53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统一定义</w:t>
            </w:r>
          </w:p>
        </w:tc>
        <w:tc>
          <w:tcPr>
            <w:tcW w:type="dxa" w:w="311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处理建议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3</w:t>
            </w:r>
          </w:p>
        </w:tc>
        <w:tc>
          <w:tcPr>
            <w:tcW w:type="dxa" w:w="5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基本不可察觉，可直接展示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保持该配置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2</w:t>
            </w:r>
          </w:p>
        </w:tc>
        <w:tc>
          <w:tcPr>
            <w:tcW w:type="dxa" w:w="5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可以察觉，但不影响整体展示</w:t>
            </w:r>
          </w:p>
        </w:tc>
        <w:tc>
          <w:tcPr>
            <w:tcW w:type="dxa" w:w="3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可接受；记录问题位置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1</w:t>
            </w:r>
          </w:p>
        </w:tc>
        <w:tc>
          <w:tcPr>
            <w:tcW w:type="dxa" w:w="5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明显伪影，只适合更小运动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降低运动、增加裁剪或提高保留率</w:t>
            </w:r>
          </w:p>
        </w:tc>
      </w:tr>
      <w:tr>
        <w:trPr>
          <w:cantSplit/>
        </w:trPr>
        <w:tc>
          <w:tcPr>
            <w:tcW w:type="dxa" w:w="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</w:t>
            </w:r>
          </w:p>
        </w:tc>
        <w:tc>
          <w:tcPr>
            <w:tcW w:type="dxa" w:w="53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结构错误或严重模糊，不可用</w:t>
            </w:r>
          </w:p>
        </w:tc>
        <w:tc>
          <w:tcPr>
            <w:tcW w:type="dxa" w:w="3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判定该配置失败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7.2 分项评分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50"/>
        <w:gridCol w:w="3910"/>
      </w:tblGrid>
      <w:tr>
        <w:trPr>
          <w:tblHeader w:val="true"/>
          <w:cantSplit/>
        </w:trPr>
        <w:tc>
          <w:tcPr>
            <w:tcW w:type="dxa" w:w="16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38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主要观察内容</w:t>
            </w:r>
          </w:p>
        </w:tc>
        <w:tc>
          <w:tcPr>
            <w:tcW w:type="dxa" w:w="391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典型问题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零运动基础质量</w:t>
            </w:r>
          </w:p>
        </w:tc>
        <w:tc>
          <w:tcPr>
            <w:tcW w:type="dxa" w:w="3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原图与中心重渲染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基础模糊、颜色变化、几何错位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画面边缘</w:t>
            </w:r>
          </w:p>
        </w:tc>
        <w:tc>
          <w:tcPr>
            <w:tcW w:type="dxa" w:w="3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左右新视角四边</w:t>
            </w:r>
          </w:p>
        </w:tc>
        <w:tc>
          <w:tcPr>
            <w:tcW w:type="dxa" w:w="39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软化、露空、黑边、覆盖不足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遮挡交界</w:t>
            </w:r>
          </w:p>
        </w:tc>
        <w:tc>
          <w:tcPr>
            <w:tcW w:type="dxa" w:w="3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前景与背景交界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拖影、拉伸、背景复制、错接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细结构</w:t>
            </w:r>
          </w:p>
        </w:tc>
        <w:tc>
          <w:tcPr>
            <w:tcW w:type="dxa" w:w="3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花茎、树枝、辐条、灯杆、头发</w:t>
            </w:r>
          </w:p>
        </w:tc>
        <w:tc>
          <w:tcPr>
            <w:tcW w:type="dxa" w:w="39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断裂、粘连、双边、深度粗化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视频稳定性</w:t>
            </w:r>
          </w:p>
        </w:tc>
        <w:tc>
          <w:tcPr>
            <w:tcW w:type="dxa" w:w="3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连续60帧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闪烁、跳变、突然拖影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运动舒适性</w:t>
            </w:r>
          </w:p>
        </w:tc>
        <w:tc>
          <w:tcPr>
            <w:tcW w:type="dxa" w:w="3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整体视差和透视变化</w:t>
            </w:r>
          </w:p>
        </w:tc>
        <w:tc>
          <w:tcPr>
            <w:tcW w:type="dxa" w:w="39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视差过强、纸片感、眩晕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7.3 判定规则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7EF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2F855A"/>
                <w:sz w:val="21"/>
              </w:rPr>
              <w:t xml:space="preserve">可接受配置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所有分项均≥2。平均分只能辅助排序，不能用高分项目抵消一个严重的0分或1分。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每个分数准备至少一张评分锚点示例图。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同一轮评分尽量由同一人、同一显示器和相同播放速度完成。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若条件允许，由第二位评分者复核边界样本；分歧≥1分时共同复看。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记录视频问题首次出现的帧号和消失帧号，而不是只写“有拖影”。</w:t>
      </w: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08  阶段5：失败案例诊断包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用同一套证据判断问题发生在哪一层。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8.1 每个失败案例固定输出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800"/>
        <w:gridCol w:w="3660"/>
      </w:tblGrid>
      <w:tr>
        <w:trPr>
          <w:tblHeader w:val="true"/>
          <w:cantSplit/>
        </w:trPr>
        <w:tc>
          <w:tcPr>
            <w:tcW w:type="dxa" w:w="19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输出</w:t>
            </w:r>
          </w:p>
        </w:tc>
        <w:tc>
          <w:tcPr>
            <w:tcW w:type="dxa" w:w="3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作用</w:t>
            </w:r>
          </w:p>
        </w:tc>
        <w:tc>
          <w:tcPr>
            <w:tcW w:type="dxa" w:w="36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不能误解为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输入图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显示原始外观和可见边界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新视角真值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左/右新视角</w:t>
            </w:r>
          </w:p>
        </w:tc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定位方向相关的遮挡与边缘问题</w:t>
            </w:r>
          </w:p>
        </w:tc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完整三维重建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问题区域放大图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展示花茎、辐条、轮廓等局部变化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全图平均质量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3DGS渲染深度</w:t>
            </w:r>
          </w:p>
        </w:tc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观察最终表示渲染出的深度关系</w:t>
            </w:r>
          </w:p>
        </w:tc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Depth Pro双层深度输出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第一/第二层预测深度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判断深度源头和两层分工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真实隐藏表面真值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3DGS渲染累计Alpha / 高斯自身opacity</w:t>
            </w:r>
          </w:p>
        </w:tc>
        <w:tc>
          <w:tcPr>
            <w:tcW w:type="dxa" w:w="3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累计Alpha判断像素覆盖；高斯opacity用于剪枝分析，两者不能混用</w:t>
            </w:r>
          </w:p>
        </w:tc>
        <w:tc>
          <w:tcPr>
            <w:tcW w:type="dxa" w:w="36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可见贡献度的完整度量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8.2 归因决策树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零运动已经错误：优先检查颜色、焦距、输入缩放、Gaussian Decoder和后处理。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零运动正常但新视角错误：优先检查深度、第二层高斯、遮挡和相机运动幅度。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双层深度已经错误：问题更可能来自Depth Pro特征、Depth Decoder或单目歧义。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双层深度合理但渲染深度错误：检查Gaussian Decoder、Composer、scale和opacity。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仅画面边缘错误：检查视野外内容缺失、高斯覆盖和安全裁剪策略。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细结构彩色仍连续但深度成块：说明外观近似可用，但几何精度不足。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8.3 失败标签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4100"/>
        <w:gridCol w:w="3860"/>
      </w:tblGrid>
      <w:tr>
        <w:trPr>
          <w:tblHeader w:val="true"/>
          <w:cantSplit/>
        </w:trPr>
        <w:tc>
          <w:tcPr>
            <w:tcW w:type="dxa" w:w="14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标签</w:t>
            </w:r>
          </w:p>
        </w:tc>
        <w:tc>
          <w:tcPr>
            <w:tcW w:type="dxa" w:w="4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含义</w:t>
            </w:r>
          </w:p>
        </w:tc>
        <w:tc>
          <w:tcPr>
            <w:tcW w:type="dxa" w:w="38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DEPTH</w:t>
            </w:r>
          </w:p>
        </w:tc>
        <w:tc>
          <w:tcPr>
            <w:tcW w:type="dxa" w:w="4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前后关系或表面形状错误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墙面弯曲、人物贴墙</w:t>
            </w:r>
          </w:p>
        </w:tc>
      </w:tr>
      <w:tr>
        <w:trPr>
          <w:cantSplit/>
        </w:trPr>
        <w:tc>
          <w:tcPr>
            <w:tcW w:type="dxa" w:w="1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DISOC</w:t>
            </w:r>
          </w:p>
        </w:tc>
        <w:tc>
          <w:tcPr>
            <w:tcW w:type="dxa" w:w="4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新显露区域缺少可靠内容</w:t>
            </w:r>
          </w:p>
        </w:tc>
        <w:tc>
          <w:tcPr>
            <w:tcW w:type="dxa" w:w="3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遮挡后方复制或拖抹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COVER</w:t>
            </w:r>
          </w:p>
        </w:tc>
        <w:tc>
          <w:tcPr>
            <w:tcW w:type="dxa" w:w="4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高斯覆盖不足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画面边缘软化或露空</w:t>
            </w:r>
          </w:p>
        </w:tc>
      </w:tr>
      <w:tr>
        <w:trPr>
          <w:cantSplit/>
        </w:trPr>
        <w:tc>
          <w:tcPr>
            <w:tcW w:type="dxa" w:w="1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THIN</w:t>
            </w:r>
          </w:p>
        </w:tc>
        <w:tc>
          <w:tcPr>
            <w:tcW w:type="dxa" w:w="4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细结构表达不足</w:t>
            </w:r>
          </w:p>
        </w:tc>
        <w:tc>
          <w:tcPr>
            <w:tcW w:type="dxa" w:w="3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花茎、辐条、树枝粘连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REFLECT</w:t>
            </w:r>
          </w:p>
        </w:tc>
        <w:tc>
          <w:tcPr>
            <w:tcW w:type="dxa" w:w="4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反射/透明被解释为几何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水面、玻璃、夜景反射</w:t>
            </w:r>
          </w:p>
        </w:tc>
      </w:tr>
      <w:tr>
        <w:trPr>
          <w:cantSplit/>
        </w:trPr>
        <w:tc>
          <w:tcPr>
            <w:tcW w:type="dxa" w:w="1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TEMP</w:t>
            </w:r>
          </w:p>
        </w:tc>
        <w:tc>
          <w:tcPr>
            <w:tcW w:type="dxa" w:w="4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时间不稳定</w:t>
            </w:r>
          </w:p>
        </w:tc>
        <w:tc>
          <w:tcPr>
            <w:tcW w:type="dxa" w:w="3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闪烁、跳变、伪影突然出现</w:t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09  阶段6：高斯剪枝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固定运动和裁剪后，再研究场景大小与质量权衡。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9.1 第一轮剪枝基线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第一轮使用官方load_ply()读取Gaussians3D，按不透明度或简单重要性排序后保留top-k，再用官方save_ply()保存。不要直接按PLY文本字段猜测opacity是否为logit。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400"/>
        <w:gridCol w:w="5360"/>
      </w:tblGrid>
      <w:tr>
        <w:trPr>
          <w:tblHeader w:val="true"/>
          <w:cantSplit/>
        </w:trPr>
        <w:tc>
          <w:tcPr>
            <w:tcW w:type="dxa" w:w="16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保留率</w:t>
            </w:r>
          </w:p>
        </w:tc>
        <w:tc>
          <w:tcPr>
            <w:tcW w:type="dxa" w:w="24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预计高斯数</w:t>
            </w:r>
          </w:p>
        </w:tc>
        <w:tc>
          <w:tcPr>
            <w:tcW w:type="dxa" w:w="53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实验目的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100%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约1,179,648</w:t>
            </w:r>
          </w:p>
        </w:tc>
        <w:tc>
          <w:tcPr>
            <w:tcW w:type="dxa" w:w="5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完整基线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75%</w:t>
            </w:r>
          </w:p>
        </w:tc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约884,736</w:t>
            </w:r>
          </w:p>
        </w:tc>
        <w:tc>
          <w:tcPr>
            <w:tcW w:type="dxa" w:w="5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观察轻量剪枝是否几乎无损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50%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约589,824</w:t>
            </w:r>
          </w:p>
        </w:tc>
        <w:tc>
          <w:tcPr>
            <w:tcW w:type="dxa" w:w="5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主要候选压缩点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25%</w:t>
            </w:r>
          </w:p>
        </w:tc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约294,912</w:t>
            </w:r>
          </w:p>
        </w:tc>
        <w:tc>
          <w:tcPr>
            <w:tcW w:type="dxa" w:w="5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验证激进剪枝的失效位置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9.2 每个保留率怎么测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使用先导阶段选出的推荐运动幅度，不再同时改变运动。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先在无裁剪结果上观察真实损失，再应用推荐安全裁剪评价产品显示效果。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保存高斯数量、PLY字节数、加载时间、显存峰值和纯渲染速度。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检查全图，同时固定放大画面边缘、前后景交界、低透明度背景和细结构。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记录每类区域的最低质量分；优先选择所有分项≥2的最低保留率。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F1F8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1F5E9C"/>
                <w:sz w:val="21"/>
              </w:rPr>
              <w:t xml:space="preserve">下一层改进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若opacity top-k明显破坏新显露区域，再研究opacity×屏幕投影面积×可见次数等贡献度剪枝。第一轮先建立简单、可复现的基线。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9.3 剪枝结果表</w:t>
      </w:r>
    </w:p>
    <w:tbl>
      <w:tblPr>
        <w:tblStyle w:val="TableGrid"/>
        <w:tblW w:type="dxa" w:w="8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800"/>
        <w:gridCol w:w="1050"/>
        <w:gridCol w:w="850"/>
        <w:gridCol w:w="850"/>
        <w:gridCol w:w="700"/>
        <w:gridCol w:w="800"/>
        <w:gridCol w:w="800"/>
        <w:gridCol w:w="850"/>
        <w:gridCol w:w="800"/>
      </w:tblGrid>
      <w:tr>
        <w:trPr>
          <w:tblHeader w:val="true"/>
          <w:cantSplit/>
        </w:trPr>
        <w:tc>
          <w:tcPr>
            <w:tcW w:type="dxa" w:w="7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样本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保留率</w:t>
            </w:r>
          </w:p>
        </w:tc>
        <w:tc>
          <w:tcPr>
            <w:tcW w:type="dxa" w:w="10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高斯数</w:t>
            </w:r>
          </w:p>
        </w:tc>
        <w:tc>
          <w:tcPr>
            <w:tcW w:type="dxa" w:w="8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PLY MB</w:t>
            </w:r>
          </w:p>
        </w:tc>
        <w:tc>
          <w:tcPr>
            <w:tcW w:type="dxa" w:w="8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显存MB</w:t>
            </w:r>
          </w:p>
        </w:tc>
        <w:tc>
          <w:tcPr>
            <w:tcW w:type="dxa" w:w="7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FPS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边缘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遮挡</w:t>
            </w:r>
          </w:p>
        </w:tc>
        <w:tc>
          <w:tcPr>
            <w:tcW w:type="dxa" w:w="8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细结构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最低分</w:t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100%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75%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50%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P01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25%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100%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75%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50%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P02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25%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100%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75%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50%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P03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25%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100%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75%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50%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P04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25%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100%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75%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50%</w:t>
            </w:r>
          </w:p>
        </w:tc>
        <w:tc>
          <w:tcPr>
            <w:tcW w:type="dxa" w:w="1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P05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25%</w:t>
            </w:r>
          </w:p>
        </w:tc>
        <w:tc>
          <w:tcPr>
            <w:tcW w:type="dxa" w:w="10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10  阶段7：性能测试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将冷启动、网络、CPU后处理和纯渲染分开。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10.1 统一测速规则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第一次运行只作为预热，不计入正式结果。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每种配置至少正式运行3次；优先运行5次以获得更稳定的中位数。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每次运行前记录GPU占用和是否存在其他进程。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GPU阶段计时前后调用torch.cuda.synchronize()；精细GPU计时可使用CUDA Event。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报告中位数，同时记录最小值、最大值或四分位距。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73秒、150秒等长尾单独保留并分析，不纳入正常推理速度代表值。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10.2 必须拆分的时间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00"/>
        <w:gridCol w:w="3860"/>
      </w:tblGrid>
      <w:tr>
        <w:trPr>
          <w:tblHeader w:val="true"/>
          <w:cantSplit/>
        </w:trPr>
        <w:tc>
          <w:tcPr>
            <w:tcW w:type="dxa" w:w="1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37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计时起止</w:t>
            </w:r>
          </w:p>
        </w:tc>
        <w:tc>
          <w:tcPr>
            <w:tcW w:type="dxa" w:w="38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当前意义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环境/权重加载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程序启动至模型驻留设备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冷启动成本</w:t>
            </w:r>
          </w:p>
        </w:tc>
      </w:tr>
      <w:tr>
        <w:trPr>
          <w:cantSplit/>
        </w:trPr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预处理</w:t>
            </w:r>
          </w:p>
        </w:tc>
        <w:tc>
          <w:tcPr>
            <w:tcW w:type="dxa" w:w="3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图像读取至1536×1536张量准备完成</w:t>
            </w:r>
          </w:p>
        </w:tc>
        <w:tc>
          <w:tcPr>
            <w:tcW w:type="dxa" w:w="3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输入与焦距处理成本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网络前向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predictor调用前后同步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模型生成速度</w:t>
            </w:r>
          </w:p>
        </w:tc>
      </w:tr>
      <w:tr>
        <w:trPr>
          <w:cantSplit/>
        </w:trPr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CPU后处理</w:t>
            </w:r>
          </w:p>
        </w:tc>
        <w:tc>
          <w:tcPr>
            <w:tcW w:type="dxa" w:w="3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NDC反投影及约118万协方差SVD</w:t>
            </w:r>
          </w:p>
        </w:tc>
        <w:tc>
          <w:tcPr>
            <w:tcW w:type="dxa" w:w="3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当前主要工程瓶颈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PLY写入/读取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序列化与加载前后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离线场景交换成本</w:t>
            </w:r>
          </w:p>
        </w:tc>
      </w:tr>
      <w:tr>
        <w:trPr>
          <w:cantSplit/>
        </w:trPr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GPU上传</w:t>
            </w:r>
          </w:p>
        </w:tc>
        <w:tc>
          <w:tcPr>
            <w:tcW w:type="dxa" w:w="3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高斯数据搬运到CUDA</w:t>
            </w:r>
          </w:p>
        </w:tc>
        <w:tc>
          <w:tcPr>
            <w:tcW w:type="dxa" w:w="3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CLI每帧搬运应单独关注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纯渲染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高斯常驻GPU后逐帧渲染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与论文约100 FPS更接近的口径</w:t>
            </w:r>
          </w:p>
        </w:tc>
      </w:tr>
      <w:tr>
        <w:trPr>
          <w:cantSplit/>
        </w:trPr>
        <w:tc>
          <w:tcPr>
            <w:tcW w:type="dxa" w:w="1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视频编码</w:t>
            </w:r>
          </w:p>
        </w:tc>
        <w:tc>
          <w:tcPr>
            <w:tcW w:type="dxa" w:w="3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渲染帧写入MP4</w:t>
            </w:r>
          </w:p>
        </w:tc>
        <w:tc>
          <w:tcPr>
            <w:tcW w:type="dxa" w:w="3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产品输出但不是渲染器本身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10.3 性能记录表</w:t>
      </w:r>
    </w:p>
    <w:p>
      <w:pPr>
        <w:pStyle w:val="Heading1"/>
        <w:keepNext/>
      </w:pPr>
      <w:r>
        <w:t xml:space="preserve">剪枝发生在PLY生成之后。不同保留率主要重复测量PLY读取、GPU上传、显存与纯渲染；网络前向和NDC反投影不因保留率变化，无需为每个剪枝率重复运行。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650"/>
        <w:gridCol w:w="800"/>
        <w:gridCol w:w="800"/>
        <w:gridCol w:w="1150"/>
        <w:gridCol w:w="850"/>
        <w:gridCol w:w="950"/>
        <w:gridCol w:w="1250"/>
        <w:gridCol w:w="800"/>
        <w:gridCol w:w="1110"/>
      </w:tblGrid>
      <w:tr>
        <w:trPr>
          <w:tblHeader w:val="true"/>
          <w:cantSplit/>
        </w:trPr>
        <w:tc>
          <w:tcPr>
            <w:tcW w:type="dxa" w:w="10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配置</w:t>
            </w:r>
          </w:p>
        </w:tc>
        <w:tc>
          <w:tcPr>
            <w:tcW w:type="dxa" w:w="6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重复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加载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前向</w:t>
            </w:r>
          </w:p>
        </w:tc>
        <w:tc>
          <w:tcPr>
            <w:tcW w:type="dxa" w:w="11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CPU后处理</w:t>
            </w:r>
          </w:p>
        </w:tc>
        <w:tc>
          <w:tcPr>
            <w:tcW w:type="dxa" w:w="8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PLY I/O</w:t>
            </w:r>
          </w:p>
        </w:tc>
        <w:tc>
          <w:tcPr>
            <w:tcW w:type="dxa" w:w="9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GPU上传</w:t>
            </w:r>
          </w:p>
        </w:tc>
        <w:tc>
          <w:tcPr>
            <w:tcW w:type="dxa" w:w="12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纯渲染FPS</w:t>
            </w:r>
          </w:p>
        </w:tc>
        <w:tc>
          <w:tcPr>
            <w:tcW w:type="dxa" w:w="8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编码</w:t>
            </w:r>
          </w:p>
        </w:tc>
        <w:tc>
          <w:tcPr>
            <w:tcW w:type="dxa" w:w="111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峰值显存</w:t>
            </w:r>
          </w:p>
        </w:tc>
      </w:tr>
      <w:tr>
        <w:trPr>
          <w:cantSplit/>
        </w:trP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keep100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r1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1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keep100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r2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keep100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r3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1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keep050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r1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keep050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r2</w:t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10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keep050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r3</w:t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2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11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11  阶段8：冻结参数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先导实验结束后，只允许形成一个推荐配置。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11.1 决策顺序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从运动实验中选择所有样本最低分≥2的最大运动档位。若不存在统一档位，选择覆盖至少4/5样本的档位，并标记不适用场景。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在该运动档位下选择满足最低分≥2的最小单边裁剪比例。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在推荐运动与裁剪下选择满足最低分≥2的最低高斯保留率。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将源码参数换算为实测p95屏幕位移像素及其占画面宽度比例。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生成pilot_decision.md和frozen_config.json；之后验证集只读取该配置。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11.2 冻结参数表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100"/>
        <w:gridCol w:w="1500"/>
        <w:gridCol w:w="2600"/>
        <w:gridCol w:w="1460"/>
      </w:tblGrid>
      <w:tr>
        <w:trPr>
          <w:tblHeader w:val="true"/>
          <w:cantSplit/>
        </w:trPr>
        <w:tc>
          <w:tcPr>
            <w:tcW w:type="dxa" w:w="17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决策项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候选</w:t>
            </w:r>
          </w:p>
        </w:tc>
        <w:tc>
          <w:tcPr>
            <w:tcW w:type="dxa" w:w="15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最终选择</w:t>
            </w:r>
          </w:p>
        </w:tc>
        <w:tc>
          <w:tcPr>
            <w:tcW w:type="dxa" w:w="26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选择依据</w:t>
            </w:r>
          </w:p>
        </w:tc>
        <w:tc>
          <w:tcPr>
            <w:tcW w:type="dxa" w:w="14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运动幅度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0.02 / 0.04 / 0.08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最低质量分与实际p95视差</w:t>
            </w:r>
          </w:p>
        </w:tc>
        <w:tc>
          <w:tcPr>
            <w:tcW w:type="dxa" w:w="1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场景深度不同导致体验差异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单边裁剪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0 / 3 / 5 / 10%</w:t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  <w:tc>
          <w:tcPr>
            <w:tcW w:type="dxa" w:w="2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隐藏边缘问题的最小比例</w:t>
            </w:r>
          </w:p>
        </w:tc>
        <w:tc>
          <w:tcPr>
            <w:tcW w:type="dxa" w:w="1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放大回原尺寸会损失清晰度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高斯保留率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100 / 75 / 50 / 25%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质量≥2时的最低保留率</w:t>
            </w:r>
          </w:p>
        </w:tc>
        <w:tc>
          <w:tcPr>
            <w:tcW w:type="dxa" w:w="1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新显露区域可能先受损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移动端路线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压缩3DGS / Mesh / LDI</w:t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  <w:tc>
          <w:tcPr>
            <w:tcW w:type="dxa" w:w="2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质量、大小、速度、开发成本</w:t>
            </w:r>
          </w:p>
        </w:tc>
        <w:tc>
          <w:tcPr>
            <w:tcW w:type="dxa" w:w="1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当前尚未实机验证</w:t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12  独立验证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验证集只验证冻结配置，不再参与调参。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12.1 验证集组成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建议额外选择10～20张图片，尽量覆盖普通场景和已知困难场景。不要只选择效果好的图片。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500"/>
        <w:gridCol w:w="5360"/>
      </w:tblGrid>
      <w:tr>
        <w:trPr>
          <w:tblHeader w:val="true"/>
          <w:cantSplit/>
        </w:trPr>
        <w:tc>
          <w:tcPr>
            <w:tcW w:type="dxa" w:w="25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15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建议数量</w:t>
            </w:r>
          </w:p>
        </w:tc>
        <w:tc>
          <w:tcPr>
            <w:tcW w:type="dxa" w:w="53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主要风险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普通建筑/室内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3～4</w:t>
            </w:r>
          </w:p>
        </w:tc>
        <w:tc>
          <w:tcPr>
            <w:tcW w:type="dxa" w:w="5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平面深度、边缘、基础可用性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人物</w:t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3～4</w:t>
            </w:r>
          </w:p>
        </w:tc>
        <w:tc>
          <w:tcPr>
            <w:tcW w:type="dxa" w:w="5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头发、衣物、人物/背景分层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树木/细结构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2～4</w:t>
            </w:r>
          </w:p>
        </w:tc>
        <w:tc>
          <w:tcPr>
            <w:tcW w:type="dxa" w:w="5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枝条、栏杆、辐条、花茎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反射/透明/水面</w:t>
            </w:r>
          </w:p>
        </w:tc>
        <w:tc>
          <w:tcPr>
            <w:tcW w:type="dxa" w:w="15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2～4</w:t>
            </w:r>
          </w:p>
        </w:tc>
        <w:tc>
          <w:tcPr>
            <w:tcW w:type="dxa" w:w="53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非朗伯表面被解释为几何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远景/夜景/弱纹理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2～4</w:t>
            </w:r>
          </w:p>
        </w:tc>
        <w:tc>
          <w:tcPr>
            <w:tcW w:type="dxa" w:w="5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天空、远山、暗部和弱纹理深度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12.2 验证规则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直接使用frozen_config.json，不根据单张验证图片修改运动、裁剪或剪枝率。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按与先导实验完全相同的评分锚点和播放条件评分。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统计全部分项≥2的样本比例，作为配置成功率。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统计DEPTH、DISOC、COVER、THIN、REFLECT、TEMP标签的发生率。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失败样本仍制作诊断包，用于界定适用范围，而不是删除。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12.3 验证汇总表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600"/>
        <w:gridCol w:w="850"/>
        <w:gridCol w:w="750"/>
        <w:gridCol w:w="1450"/>
        <w:gridCol w:w="2100"/>
        <w:gridCol w:w="1860"/>
      </w:tblGrid>
      <w:tr>
        <w:trPr>
          <w:tblHeader w:val="true"/>
          <w:cantSplit/>
        </w:trPr>
        <w:tc>
          <w:tcPr>
            <w:tcW w:type="dxa" w:w="7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样本</w:t>
            </w:r>
          </w:p>
        </w:tc>
        <w:tc>
          <w:tcPr>
            <w:tcW w:type="dxa" w:w="16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场景</w:t>
            </w:r>
          </w:p>
        </w:tc>
        <w:tc>
          <w:tcPr>
            <w:tcW w:type="dxa" w:w="8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最低分</w:t>
            </w:r>
          </w:p>
        </w:tc>
        <w:tc>
          <w:tcPr>
            <w:tcW w:type="dxa" w:w="7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成功</w:t>
            </w:r>
          </w:p>
        </w:tc>
        <w:tc>
          <w:tcPr>
            <w:tcW w:type="dxa" w:w="14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主要标签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问题位置</w:t>
            </w:r>
          </w:p>
        </w:tc>
        <w:tc>
          <w:tcPr>
            <w:tcW w:type="dxa" w:w="18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V01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V02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V03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V04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V05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V06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V07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V08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V09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V10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V11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V12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V13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V14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V15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V16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V17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V18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V19</w:t>
            </w:r>
          </w:p>
        </w:tc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  <w:tr>
        <w:trPr>
          <w:cantSplit/>
        </w:trPr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V20</w:t>
            </w:r>
          </w:p>
        </w:tc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8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7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4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  <w:tc>
          <w:tcPr>
            <w:tcW w:type="dxa" w:w="1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13  阶段10：最终结论与路线选择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实验结果必须能够支持工程决策。</w:t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13.1 最终报告必须给出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结论</w:t>
            </w:r>
          </w:p>
        </w:tc>
        <w:tc>
          <w:tcPr>
            <w:tcW w:type="dxa" w:w="74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推荐表述模板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运动范围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在验证集上，当p95屏幕位移不超过___ px（占宽度___%）时，___%样本达到全部分项≥2。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安全裁剪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采用四边单边___%裁剪并恢复显示尺寸后，边缘问题发生率由___降至___，清晰度代价为___。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高斯保留率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保留___%高斯时，场景大小从___MB降至___MB，纯渲染速度从___提升至___，最低质量分保持___。</w:t>
            </w:r>
          </w:p>
        </w:tc>
      </w:tr>
      <w:tr>
        <w:trPr>
          <w:cantSplit/>
        </w:trPr>
        <w:tc>
          <w:tcPr>
            <w:tcW w:type="dxa" w:w="19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适用边界</w:t>
            </w:r>
          </w:p>
        </w:tc>
        <w:tc>
          <w:tcPr>
            <w:tcW w:type="dxa" w:w="74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普通___场景总体可用；在___、___和___场景中主要出现DEPTH/DISOC/THIN类问题。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移动端路线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基于质量与成本，下一阶段优先选择___，原因是___；备选路线为___。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13.2 路线比较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80"/>
        <w:gridCol w:w="3880"/>
      </w:tblGrid>
      <w:tr>
        <w:trPr>
          <w:tblHeader w:val="true"/>
          <w:cantSplit/>
        </w:trPr>
        <w:tc>
          <w:tcPr>
            <w:tcW w:type="dxa" w:w="16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88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压缩3DGS</w:t>
            </w:r>
          </w:p>
        </w:tc>
        <w:tc>
          <w:tcPr>
            <w:tcW w:type="dxa" w:w="388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Mesh / LDI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画质潜力</w:t>
            </w:r>
          </w:p>
        </w:tc>
        <w:tc>
          <w:tcPr>
            <w:tcW w:type="dxa" w:w="3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保留高斯柔性覆盖和透明混合</w:t>
            </w:r>
          </w:p>
        </w:tc>
        <w:tc>
          <w:tcPr>
            <w:tcW w:type="dxa" w:w="3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结构更轻，但转换可能损失外观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场景大小</w:t>
            </w:r>
          </w:p>
        </w:tc>
        <w:tc>
          <w:tcPr>
            <w:tcW w:type="dxa" w:w="38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需要剪枝、量化和属性压缩</w:t>
            </w:r>
          </w:p>
        </w:tc>
        <w:tc>
          <w:tcPr>
            <w:tcW w:type="dxa" w:w="38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通常更容易做小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移动端渲染</w:t>
            </w:r>
          </w:p>
        </w:tc>
        <w:tc>
          <w:tcPr>
            <w:tcW w:type="dxa" w:w="3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需Metal/Vulkan/OpenGL ES/WebGPU实现</w:t>
            </w:r>
          </w:p>
        </w:tc>
        <w:tc>
          <w:tcPr>
            <w:tcW w:type="dxa" w:w="3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传统图形管线支持更成熟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遮挡表现</w:t>
            </w:r>
          </w:p>
        </w:tc>
        <w:tc>
          <w:tcPr>
            <w:tcW w:type="dxa" w:w="38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取决于第二层高斯与覆盖</w:t>
            </w:r>
          </w:p>
        </w:tc>
        <w:tc>
          <w:tcPr>
            <w:tcW w:type="dxa" w:w="38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LDI适合浅视角，Mesh需额外补洞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开发风险</w:t>
            </w:r>
          </w:p>
        </w:tc>
        <w:tc>
          <w:tcPr>
            <w:tcW w:type="dxa" w:w="3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渲染器与压缩链路工作量较大</w:t>
            </w:r>
          </w:p>
        </w:tc>
        <w:tc>
          <w:tcPr>
            <w:tcW w:type="dxa" w:w="3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转换误差和表示能力是主要风险</w:t>
            </w:r>
          </w:p>
        </w:tc>
      </w:tr>
      <w:tr>
        <w:trPr>
          <w:cantSplit/>
        </w:trPr>
        <w:tc>
          <w:tcPr>
            <w:tcW w:type="dxa" w:w="16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决策依据</w:t>
            </w:r>
          </w:p>
        </w:tc>
        <w:tc>
          <w:tcPr>
            <w:tcW w:type="dxa" w:w="38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若50%左右保留率仍质量稳定，优先继续3DGS</w:t>
            </w:r>
          </w:p>
        </w:tc>
        <w:tc>
          <w:tcPr>
            <w:tcW w:type="dxa" w:w="38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若必须激进压缩且只需很小视角，可评估转换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7EF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2F855A"/>
                <w:sz w:val="21"/>
              </w:rPr>
              <w:t xml:space="preserve">阶段完成标志  </w:t>
            </w:r>
            <w:r>
              <w:rPr>
                <w:rFonts w:ascii="Calibri" w:hAnsi="Calibri" w:eastAsia="Microsoft YaHei"/>
                <w:b w:val="0"/>
                <w:i w:val="0"/>
                <w:color w:val="17324D"/>
                <w:sz w:val="21"/>
              </w:rPr>
              <w:t>不是“成功展示几个视频”，而是能够给出运动、裁剪、保留率和适用场景四项带证据的结论。</w:t>
            </w:r>
          </w:p>
        </w:tc>
      </w:tr>
    </w:tbl>
    <w:p>
      <w:pPr>
        <w:spacing w:after="20"/>
      </w:pPr>
    </w:p>
    <w:p>
      <w:pPr>
        <w:keepNext/>
        <w:pageBreakBefore/>
        <w:spacing w:before="40" w:after="40"/>
        <w:ind w:left="0" w:right="0" w:firstLine="0"/>
      </w:pPr>
      <w:r>
        <w:rPr>
          <w:rFonts w:ascii="Microsoft YaHei" w:hAnsi="Microsoft YaHei" w:eastAsia="Microsoft YaHei"/>
          <w:b/>
          <w:i w:val="0"/>
          <w:color w:val="1F5E9C"/>
          <w:sz w:val="44"/>
        </w:rPr>
        <w:t>附录A  单样本实验记录表</w:t>
      </w:r>
    </w:p>
    <w:p>
      <w:pPr>
        <w:spacing w:after="320"/>
        <w:ind w:left="0" w:right="0" w:firstLine="0"/>
      </w:pPr>
      <w:r>
        <w:rPr>
          <w:rFonts w:ascii="Calibri" w:hAnsi="Calibri" w:eastAsia="Microsoft YaHei"/>
          <w:b w:val="0"/>
          <w:i w:val="0"/>
          <w:color w:val="59697A"/>
          <w:sz w:val="22"/>
        </w:rPr>
        <w:t>每张先导图和验证图均填写一次。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69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填写内容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样本ID / 文件名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</w:tr>
      <w:tr>
        <w:trPr>
          <w:cantSplit/>
        </w:trPr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场景类型</w:t>
            </w:r>
          </w:p>
        </w:tc>
        <w:tc>
          <w:tcPr>
            <w:tcW w:type="dxa" w:w="6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主要前景 / 背景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</w:tr>
      <w:tr>
        <w:trPr>
          <w:cantSplit/>
        </w:trPr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细结构</w:t>
            </w:r>
          </w:p>
        </w:tc>
        <w:tc>
          <w:tcPr>
            <w:tcW w:type="dxa" w:w="6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□无  □头发  □花茎  □树枝  □栏杆  □辐条  □其他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反射/透明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□无  □水面  □玻璃  □镜面  □夜景反射  □其他</w:t>
            </w:r>
          </w:p>
        </w:tc>
      </w:tr>
      <w:tr>
        <w:trPr>
          <w:cantSplit/>
        </w:trPr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EXIF / 焦距</w:t>
            </w:r>
          </w:p>
        </w:tc>
        <w:tc>
          <w:tcPr>
            <w:tcW w:type="dxa" w:w="6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零运动指标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PSNR: ____  SSIM: ____  LPIPS: ____  基础分: ____</w:t>
            </w:r>
          </w:p>
        </w:tc>
      </w:tr>
      <w:tr>
        <w:trPr>
          <w:cantSplit/>
        </w:trPr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推荐运动</w:t>
            </w:r>
          </w:p>
        </w:tc>
        <w:tc>
          <w:tcPr>
            <w:tcW w:type="dxa" w:w="6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max_disparity: ____  p95位移: ____px / ____%宽度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推荐裁剪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四边单边 ____%</w:t>
            </w:r>
          </w:p>
        </w:tc>
      </w:tr>
      <w:tr>
        <w:trPr>
          <w:cantSplit/>
        </w:trPr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推荐保留率</w:t>
            </w:r>
          </w:p>
        </w:tc>
        <w:tc>
          <w:tcPr>
            <w:tcW w:type="dxa" w:w="6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____% / ____个高斯 / ____MB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最低质量分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边缘:__ 遮挡:__ 细结构:__ 稳定性:__ 舒适性:__</w:t>
            </w:r>
          </w:p>
        </w:tc>
      </w:tr>
      <w:tr>
        <w:trPr>
          <w:cantSplit/>
        </w:trPr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主要标签</w:t>
            </w:r>
          </w:p>
        </w:tc>
        <w:tc>
          <w:tcPr>
            <w:tcW w:type="dxa" w:w="6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□DEPTH □DISOC □COVER □THIN □REFLECT □TEMP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问题首次出现帧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左:____ 右:____</w:t>
            </w:r>
          </w:p>
        </w:tc>
      </w:tr>
      <w:tr>
        <w:trPr>
          <w:cantSplit/>
        </w:trPr>
        <w:tc>
          <w:tcPr>
            <w:tcW w:type="dxa" w:w="24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最终判断</w:t>
            </w:r>
          </w:p>
        </w:tc>
        <w:tc>
          <w:tcPr>
            <w:tcW w:type="dxa" w:w="69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□可用  □限制运动后可用  □不适用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  <w:t>备注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color w:val="1F5E9C"/>
          <w:sz w:val="32"/>
        </w:rPr>
        <w:t>附录B：每次实验收尾检查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20"/>
        <w:gridCol w:w="650"/>
        <w:gridCol w:w="1280"/>
        <w:gridCol w:w="2860"/>
        <w:gridCol w:w="1950"/>
        <w:gridCol w:w="2100"/>
      </w:tblGrid>
      <w:tr>
        <w:trPr>
          <w:tblHeader w:val="true"/>
          <w:cantSplit/>
        </w:trPr>
        <w:tc>
          <w:tcPr>
            <w:tcW w:type="dxa" w:w="52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状态</w:t>
            </w:r>
          </w:p>
        </w:tc>
        <w:tc>
          <w:tcPr>
            <w:tcW w:type="dxa" w:w="6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128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任务</w:t>
            </w:r>
          </w:p>
        </w:tc>
        <w:tc>
          <w:tcPr>
            <w:tcW w:type="dxa" w:w="286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具体操作</w:t>
            </w:r>
          </w:p>
        </w:tc>
        <w:tc>
          <w:tcPr>
            <w:tcW w:type="dxa" w:w="195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必须产出</w:t>
            </w:r>
          </w:p>
        </w:tc>
        <w:tc>
          <w:tcPr>
            <w:tcW w:type="dxa" w:w="2100"/>
            <w:shd w:fill="1F5E9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9"/>
              </w:rPr>
              <w:t>完成标准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C01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检查文件完整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核对RGB、深度、关键帧、配置、日志和评分。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完整配置目录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无缺失文件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C02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检查变量唯一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确认本次只改变计划中的一个变量。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config.json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其他配置与基线一致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C03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填写评分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立即评分并记录问题帧，不依赖事后回忆。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score.csv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全部项目有分值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C04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标注失败区域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保存局部框和问题标签。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failure crop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能定位到具体区域</w:t>
            </w:r>
          </w:p>
        </w:tc>
      </w:tr>
      <w:tr>
        <w:trPr>
          <w:cantSplit/>
        </w:trPr>
        <w:tc>
          <w:tcPr>
            <w:tcW w:type="dxa" w:w="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C05</w:t>
            </w:r>
          </w:p>
        </w:tc>
        <w:tc>
          <w:tcPr>
            <w:tcW w:type="dxa" w:w="12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更新汇总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将本次结果追加到阶段汇总表。</w:t>
            </w:r>
          </w:p>
        </w:tc>
        <w:tc>
          <w:tcPr>
            <w:tcW w:type="dxa" w:w="1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results.csv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汇总表与文件一一对应</w:t>
            </w:r>
          </w:p>
        </w:tc>
      </w:tr>
      <w:tr>
        <w:trPr>
          <w:cantSplit/>
        </w:trPr>
        <w:tc>
          <w:tcPr>
            <w:tcW w:type="dxa" w:w="52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□</w:t>
            </w:r>
          </w:p>
        </w:tc>
        <w:tc>
          <w:tcPr>
            <w:tcW w:type="dxa" w:w="6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C06</w:t>
            </w:r>
          </w:p>
        </w:tc>
        <w:tc>
          <w:tcPr>
            <w:tcW w:type="dxa" w:w="128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备份关键结果</w:t>
            </w:r>
          </w:p>
        </w:tc>
        <w:tc>
          <w:tcPr>
            <w:tcW w:type="dxa" w:w="286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保留原始PLY、冻结配置和最终表格。</w:t>
            </w:r>
          </w:p>
        </w:tc>
        <w:tc>
          <w:tcPr>
            <w:tcW w:type="dxa" w:w="195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备份记录</w:t>
            </w:r>
          </w:p>
        </w:tc>
        <w:tc>
          <w:tcPr>
            <w:tcW w:type="dxa" w:w="2100"/>
            <w:shd w:fill="F8FA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b w:val="0"/>
                <w:i w:val="0"/>
                <w:color w:val="17324D"/>
                <w:sz w:val="18"/>
              </w:rPr>
              <w:t>不覆盖历史结果</w:t>
            </w:r>
          </w:p>
        </w:tc>
      </w:tr>
    </w:tbl>
    <w:p>
      <w:pPr>
        <w:spacing w:after="40"/>
      </w:pPr>
    </w:p>
    <w:p>
      <w:pPr>
        <w:spacing w:before="0" w:after="0" w:line="300" w:lineRule="auto"/>
      </w:pPr>
      <w:r>
        <w:rPr>
          <w:rFonts w:ascii="Calibri" w:hAnsi="Calibri" w:eastAsia="Microsoft YaHei"/>
          <w:b w:val="0"/>
          <w:i w:val="0"/>
          <w:color w:val="17324D"/>
          <w:sz w:val="22"/>
        </w:rPr>
        <w:t>文档结束。建议每完成一个阶段，就在阶段汇总表中写一句“发现了什么、因此下一阶段固定什么”，避免最后只留下大量视频而没有可复述的实验结论。</w:t>
      </w:r>
    </w:p>
    <w:sectPr w:rsidR="00FC693F" w:rsidRPr="0006063C" w:rsidSect="00034616">
      <w:headerReference w:type="default" ns2:id="rId9"/>
      <w:footerReference w:type="default" ns2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59697A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969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i w:val="0"/>
        <w:color w:val="59697A"/>
        <w:sz w:val="18"/>
      </w:rPr>
      <w:t>SHARP移动端浅3D实验执行手册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7324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E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E9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