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SAE自动分析结果阅读指南（医学生版）</w:t>
      </w:r>
    </w:p>
    <w:p>
      <w:pPr>
        <w:jc w:val="center"/>
      </w:pPr>
      <w:r>
        <w:t>锁定SAE：formal_expA_resnet50_sae_l1_0005_20260724</w:t>
        <w:br/>
        <w:t>投影结果：debug_final_0005_projection_20260727</w:t>
      </w:r>
    </w:p>
    <w:p>
      <w:pPr>
        <w:pStyle w:val="Heading1"/>
      </w:pPr>
      <w:r>
        <w:t>一、先记住三件事</w:t>
      </w:r>
    </w:p>
    <w:p>
      <w:pPr>
        <w:pStyle w:val="ListBullet"/>
      </w:pPr>
      <w:r>
        <w:t>SAE feature是分类模型整图特征中的稀疏方向，不是K-Means簇，也不是已经确认的临床概念。</w:t>
      </w:r>
    </w:p>
    <w:p>
      <w:pPr>
        <w:pStyle w:val="ListBullet"/>
      </w:pPr>
      <w:r>
        <w:t>同一张图片可以激活多个feature；同一feature也可能同时响应病灶、颜色、反光或设备风格。</w:t>
      </w:r>
    </w:p>
    <w:p>
      <w:pPr>
        <w:pStyle w:val="ListBullet"/>
      </w:pPr>
      <w:r>
        <w:t>本文件夹用于候选概念命名和风险排查，不用于修改癌/非癌诊断标签。</w:t>
      </w:r>
    </w:p>
    <w:p>
      <w:pPr>
        <w:pStyle w:val="Heading1"/>
      </w:pPr>
      <w:r>
        <w:t>二、当前结果概况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最佳训练epoch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104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SAE字典大小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512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筛选后保留feature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剪枝恢复CE下降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0.0063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投影数据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val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原模型患者AUC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0.913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完整SAE患者AUC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0.902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筛选后SAE患者AUC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0.903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本次候选feature数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345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患者级SAE重构保真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三、阅读顺序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顺序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目录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任务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01_核心结果汇总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了解重构保真度、候选feature和预测转换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02_训练期候选概念图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盲看不同患者是否出现共同视觉模式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03_独立投影概念图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检查该模式在验证/外部患者中是否复现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04_错误病例清单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排查feature是否与漏诊、误诊有关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05_概念命名表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填写描述、暂定名称和伪相关风险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06_追溯数据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需要核对数字时查看</w:t>
            </w:r>
          </w:p>
        </w:tc>
      </w:tr>
    </w:tbl>
    <w:p>
      <w:pPr>
        <w:pStyle w:val="Heading1"/>
      </w:pPr>
      <w:r>
        <w:t>四、每个feature怎么判断</w:t>
      </w:r>
    </w:p>
    <w:p>
      <w:pPr>
        <w:pStyle w:val="ListNumber"/>
      </w:pPr>
      <w:r>
        <w:t>先只看原图和红色热图，写出反复出现的颜色、纹理、边界、形态和部位。</w:t>
      </w:r>
    </w:p>
    <w:p>
      <w:pPr>
        <w:pStyle w:val="ListNumber"/>
      </w:pPr>
      <w:r>
        <w:t>确认代表图来自多位患者；单患者反复出现不能视为稳定概念。</w:t>
      </w:r>
    </w:p>
    <w:p>
      <w:pPr>
        <w:pStyle w:val="ListNumber"/>
      </w:pPr>
      <w:r>
        <w:t>区分病灶、正常结构、图像质量、反光/气泡/黏液/器械、暗腔及设备风格。</w:t>
      </w:r>
    </w:p>
    <w:p>
      <w:pPr>
        <w:pStyle w:val="ListNumber"/>
      </w:pPr>
      <w:r>
        <w:t>再查看癌与非癌激活差、来源激活差和消融概率变化，判断模型如何使用该模式。</w:t>
      </w:r>
    </w:p>
    <w:p>
      <w:pPr>
        <w:pStyle w:val="ListNumber"/>
      </w:pPr>
      <w:r>
        <w:t>无法稳定描述时填写“不明确”，不要强行赋予医学名称。</w:t>
      </w:r>
    </w:p>
    <w:p>
      <w:pPr>
        <w:pStyle w:val="Heading1"/>
      </w:pPr>
      <w:r>
        <w:t>五、与MOCE的区别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SAE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MOCE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基本对象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整图深层特征方向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局部候选区域聚类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一张图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可同时激活多个feature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候选区域分别归入概念簇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编号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锁定SAE内feature_id稳定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不同K或模型的编号不可直接对应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8"/>
              </w:rPr>
              <w:t>主要问题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是否存在可命名稀疏方向</w:t>
            </w:r>
          </w:p>
        </w:tc>
        <w:tc>
          <w:tcPr>
            <w:tcW w:type="dxa" w:w="3360"/>
          </w:tcPr>
          <w:p>
            <w:r>
              <w:rPr>
                <w:b w:val="0"/>
                <w:sz w:val="18"/>
              </w:rPr>
              <w:t>反复关注哪些局部视觉模式</w:t>
            </w:r>
          </w:p>
        </w:tc>
      </w:tr>
    </w:tbl>
    <w:p>
      <w:pPr>
        <w:pStyle w:val="Heading1"/>
      </w:pPr>
      <w:r>
        <w:t>六、提交要求</w:t>
      </w:r>
    </w:p>
    <w:p>
      <w:pPr>
        <w:pStyle w:val="ListBullet"/>
      </w:pPr>
      <w:r>
        <w:t>优先填写共同视觉描述、概念类别、病灶相关性、跨患者一致性和来源偏倚风险。</w:t>
      </w:r>
    </w:p>
    <w:p>
      <w:pPr>
        <w:pStyle w:val="ListBullet"/>
      </w:pPr>
      <w:r>
        <w:t>先选3～5个定义最清楚的feature进入试标，不需要一次命名全部保留feature。</w:t>
      </w:r>
    </w:p>
    <w:p>
      <w:pPr>
        <w:pStyle w:val="ListBullet"/>
      </w:pPr>
      <w:r>
        <w:t>SAE激活不能直接作为概念0/1标签；CBL训练前仍需独立人工概念标注。</w:t>
      </w:r>
    </w:p>
    <w:p>
      <w:pPr>
        <w:pStyle w:val="ListBullet"/>
      </w:pPr>
      <w:r>
        <w:t>外部集只用于稳定性确认，不能据此修改SAE、剪枝阈值或原分类阈值。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