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  <w:jc w:val="left"/>
      </w:pPr>
      <w:r>
        <w:rPr>
          <w:rFonts w:ascii="Calibri" w:hAnsi="Calibri"/>
          <w:b/>
          <w:i w:val="0"/>
          <w:color w:val="5A5A5A"/>
          <w:sz w:val="21"/>
        </w:rPr>
        <w:t>论文技术解读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142D4B"/>
          <w:sz w:val="48"/>
        </w:rPr>
        <w:t>QuerySplat 与 InfiniSplat</w:t>
      </w:r>
    </w:p>
    <w:p>
      <w:pPr>
        <w:spacing w:before="0" w:after="320" w:line="264" w:lineRule="auto"/>
      </w:pPr>
      <w:r>
        <w:rPr>
          <w:rFonts w:ascii="Calibri" w:hAnsi="Calibri"/>
          <w:b w:val="0"/>
          <w:i w:val="0"/>
          <w:color w:val="5A5A5A"/>
          <w:sz w:val="28"/>
        </w:rPr>
        <w:t>从像素对齐 Gaussian 到 Query / Surface-Aligned 3DGS</w:t>
      </w:r>
    </w:p>
    <w:p>
      <w:pPr>
        <w:spacing w:before="0" w:after="360" w:line="264" w:lineRule="auto"/>
      </w:pPr>
      <w:r>
        <w:rPr>
          <w:rFonts w:ascii="Calibri" w:hAnsi="Calibri"/>
          <w:b w:val="0"/>
          <w:i/>
          <w:color w:val="5A5A5A"/>
          <w:sz w:val="21"/>
        </w:rPr>
        <w:t>面向 SHARP 浅 3D 与自研 Adaptive3DGS Framework 的阅读分析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核心判断  </w:t>
            </w:r>
            <w:r>
              <w:rPr>
                <w:rFonts w:ascii="Calibri" w:hAnsi="Calibri"/>
                <w:sz w:val="21"/>
              </w:rPr>
              <w:t>QuerySplat 主要解决多视图条件下的 Query 化组织、几何与外观解耦；InfiniSplat 更直接针对单图输入，通过深度引导 support 采样把 Gaussian 从固定像素位置推向表面位置。两者都支持当前 Framework 的设计方向，但都不能直接替代已冻结的 SHARP Benchmark。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阅读范围与论文定位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本文依据项目中保存的两篇 arXiv 原论文正文及官方仓库信息整理。QuerySplat 为 2026 年 8 月 2 日发布的 arXiv:2608.01186；InfiniSplat 为 2026 年 8 月 3 日发布的 arXiv:2608.02437。两篇论文都属于前馈 3D Gaussian Splatting（3DGS，三维高斯溅射）方向，但输入条件和研究问题并不相同。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QuerySplat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InfiniSplat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主要输入</w:t>
            </w:r>
          </w:p>
        </w:tc>
        <w:tc>
          <w:tcPr>
            <w:tcW w:type="dxa" w:w="393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少量未标定多视图；论文支持 2/4/12 views，也展示单图应用</w:t>
            </w:r>
          </w:p>
        </w:tc>
        <w:tc>
          <w:tcPr>
            <w:tcW w:type="dxa" w:w="393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单张 RGB；另有 RGB + 稀疏深度版本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核心问题</w:t>
            </w:r>
          </w:p>
        </w:tc>
        <w:tc>
          <w:tcPr>
            <w:tcW w:type="dxa" w:w="393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如何解除像素绑定，并同时保持几何和高频外观</w:t>
            </w:r>
          </w:p>
        </w:tc>
        <w:tc>
          <w:tcPr>
            <w:tcW w:type="dxa" w:w="393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如何让单图 Gaussian 沿深度诱导的表面结构组织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核心单位</w:t>
            </w:r>
          </w:p>
        </w:tc>
        <w:tc>
          <w:tcPr>
            <w:tcW w:type="dxa" w:w="393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可学习 Geometry Query / Appearance Query</w:t>
            </w:r>
          </w:p>
        </w:tc>
        <w:tc>
          <w:tcPr>
            <w:tcW w:type="dxa" w:w="393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深度引导的 2D support + 隐式 Gaussian Decoder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几何先验</w:t>
            </w:r>
          </w:p>
        </w:tc>
        <w:tc>
          <w:tcPr>
            <w:tcW w:type="dxa" w:w="393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冻结 VGM / VGGT-Ω，提供特征、相机、深度和坐标系</w:t>
            </w:r>
          </w:p>
        </w:tc>
        <w:tc>
          <w:tcPr>
            <w:tcW w:type="dxa" w:w="393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冻结 DepthPro，提供深度图和相机内参</w:t>
            </w:r>
          </w:p>
        </w:tc>
      </w:tr>
      <w:tr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与 SHARP 的关系</w:t>
            </w:r>
          </w:p>
        </w:tc>
        <w:tc>
          <w:tcPr>
            <w:tcW w:type="dxa" w:w="393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进一步解除像素网格约束，但主要是多视图方案</w:t>
            </w:r>
          </w:p>
        </w:tc>
        <w:tc>
          <w:tcPr>
            <w:tcW w:type="dxa" w:w="393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论文直接与 SHARP 做单图大基线对比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QuerySplat：方法详解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2.1 要解决的根本问题：Pixel-Aligned 的空间僵化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传统前馈 3DGS 通常从图像网格位置生成 Gaussian。它的接口清晰，但每个 Gaussian 的出生位置被固定在像素或相机射线上。深度误差、相机误差和多视图像素冲突会逐渐积累成几何漂移、重影、漂浮点和结构模糊。QuerySplat 的出发点是：Gaussian 的数量和位置不应由输入图像网格机械决定。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2.2 双分支、双 Query 解码器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QuerySplat 使用可学习 Query 作为场景级槽位。Geometry Query 先从 VGM 的几何特征中聚合跨视图、跨区域信息，再预测 Gaussian 的中心、尺度和旋转；Appearance Query 以几何 token 为基础，读取 RGB patch 特征和 Plücker 射线特征，再预测不透明度和球谐颜色。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Geometry Branch：解决‘Gaussian 应该放在哪里、形状如何组织’。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Appearance Branch：解决‘Gaussian 在当前观察方向下呈现什么颜色和透明度’。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Query 不绑定单个像素，可以跨图像和跨局部区域收集证据。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直觉  </w:t>
            </w:r>
            <w:r>
              <w:rPr>
                <w:rFonts w:ascii="Calibri" w:hAnsi="Calibri"/>
                <w:sz w:val="21"/>
              </w:rPr>
              <w:t>Query 像多个可以移动的场景工作台：几何工作台负责搭骨架，外观工作台负责贴细节。两者分开，能避免纹理变化反过来扰乱几何布局。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2.3 VGM 与自校准坐标系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论文使用冻结的 VGGT-Ω 作为 Vision Geometric Model（VGM，视觉几何模型）。VGM 提供几何特征、相机、内参和可选深度；QuerySplat 的可训练 Decoder 负责把这些先验转换为最终 Gaussian。冻结 VGM 的目的，是保留其通用几何和相机一致性，避免与 Gaussian 生成器联合训练后破坏几何先验。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训练时，输入图像单独经过 VGM 形成重建坐标系；输入图像与监督视角联合经过 VGM 只用于估计监督相机。两次过程不共享图像特征，再用共享输入图像估计 Sim(3) 变换完成坐标对齐，从而避免目标视角信息泄漏。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2.4 损失函数与训练策略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论文总损失由渲染重建、可见性约束、早期 Chamfer 几何正则和 opacity-floor 正则构成。早期几何正则会逐渐退火到零，因为深度反投影点云只是初始化先验，最终 Gaussian 仍应由多视角渲染损失重新组织。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主渲染损失：L1 + SSIM + LPIPS，分别约束像素、局部结构和感知纹理。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可见性损失：抑制落在所有相机视锥外或相机后方的 Gaussian。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Chamfer 正则：训练早期把 Gaussian 中心拉向 VGM 深度点云。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Opacity floor：避免 Query 过早全部变透明而失去渲染梯度。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2.5 实验结果与消融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86"/>
        <w:gridCol w:w="2386"/>
        <w:gridCol w:w="2388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输入视图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PSNR</w:t>
            </w:r>
          </w:p>
        </w:tc>
        <w:tc>
          <w:tcPr>
            <w:tcW w:type="dxa" w:w="2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SSIM</w:t>
            </w:r>
          </w:p>
        </w:tc>
        <w:tc>
          <w:tcPr>
            <w:tcW w:type="dxa" w:w="2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LPIPS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 views</w:t>
            </w:r>
          </w:p>
        </w:tc>
        <w:tc>
          <w:tcPr>
            <w:tcW w:type="dxa" w:w="238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21.3888</w:t>
            </w:r>
          </w:p>
        </w:tc>
        <w:tc>
          <w:tcPr>
            <w:tcW w:type="dxa" w:w="238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0.6990</w:t>
            </w:r>
          </w:p>
        </w:tc>
        <w:tc>
          <w:tcPr>
            <w:tcW w:type="dxa" w:w="238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0.2585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4 views</w:t>
            </w:r>
          </w:p>
        </w:tc>
        <w:tc>
          <w:tcPr>
            <w:tcW w:type="dxa" w:w="238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24.5765</w:t>
            </w:r>
          </w:p>
        </w:tc>
        <w:tc>
          <w:tcPr>
            <w:tcW w:type="dxa" w:w="238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0.8002</w:t>
            </w:r>
          </w:p>
        </w:tc>
        <w:tc>
          <w:tcPr>
            <w:tcW w:type="dxa" w:w="238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0.1843</w:t>
            </w:r>
          </w:p>
        </w:tc>
      </w:tr>
      <w:tr>
        <w:tc>
          <w:tcPr>
            <w:tcW w:type="dxa" w:w="22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12 views</w:t>
            </w:r>
          </w:p>
        </w:tc>
        <w:tc>
          <w:tcPr>
            <w:tcW w:type="dxa" w:w="238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23.7005</w:t>
            </w:r>
          </w:p>
        </w:tc>
        <w:tc>
          <w:tcPr>
            <w:tcW w:type="dxa" w:w="238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0.7685</w:t>
            </w:r>
          </w:p>
        </w:tc>
        <w:tc>
          <w:tcPr>
            <w:tcW w:type="dxa" w:w="238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0.2297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在 DL3DV-Evaluation 上，QuerySplat 相比已有方法保持更好的插值与外推表现。消融显示，去掉 Appearance Branch 或将几何和外观合并为单分支都会明显降低质量；去掉早期正则也会造成较小但稳定的下降。论文还报告 8192 Query、每个 Query 生成 64 个 Gaussian 时，H200 上 1-4 视图推理约 0.70-0.95 秒，12 视图约 1.89 秒，但显存约 9-10 GiB，不能直接视为移动端方案。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2.6 QuerySplat 的边界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主要实验是少量多视图，不能直接替代单图 SHARP。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VGM、Transformer 和训练资源较重，移动端部署仍需蒸馏或轻量化。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TTO（Test-Time Optimization，测试时优化）能提升结果，但会破坏纯前馈的时间边界；论文主排名不把 TTO 纳入比较。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InfiniSplat：方法详解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3.1 从像素位置到表面位置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InfiniSplat 直接针对单图前馈 3DGS。论文认为，SHARP 等方法即使使用深度先验，Gaussian 仍然常由固定图像网格位置产生，因此更像像素附近的局部 splat，而不一定构成连续表面。InfiniSplat 的核心观点是：Gaussian 支持位置应服从深度诱导的局部表面结构，Gaussian 参数预测则应从固定像素回归转为对任意 support 的隐式查询。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3.2 完整管线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输入 RGB 图像后，DepthPro 预测深度和内参；DINO 分支提供高层语义；CNN 分支提供局部纹理和边缘。深度图被反投影成局部三维表面，再按局部三维面积加权采样 2D support。每个 support 先初始化一个基础 Gaussian，随后在其位置查询 DINO/CNN 特征并预测有界参数残差。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3.3 Geometry-Guided Sampling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对相邻像素组成的局部三角形，InfiniSplat 计算其深度反投影后的三维面积。面积越大的局部表面区域，获得的 support 越多；深度变化过大的三角形会被过滤，避免一个三角形跨越前景和背景。这个过程不是传统网格重建，而是用三维表面积决定 Gaussian 支持点的分布。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直觉  </w:t>
            </w:r>
            <w:r>
              <w:rPr>
                <w:rFonts w:ascii="Calibri" w:hAnsi="Calibri"/>
                <w:sz w:val="21"/>
              </w:rPr>
              <w:t>同样大小的图像区域，如果对应一个斜着展开的大表面，就需要更多 support 才能在三维中保持连续；如果区域跨越明显深度边界，则不应被错误地连接成一块表面。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3.4 Implicit Gaussian Decoder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Decoder 对每个 support 使用同一个共享 MLP，因此它不是为每个像素写死一套预测头，而是学习一个‘给定 support 和局部特征，如何修正 Gaussian’的函数。DINO 与 CNN 特征先通过门控融合，再输出 14 维残差：图像平面位置 2 维、深度 1 维、尺度 3 维、旋转 4 维、颜色 3 维和透明度 1 维。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最终位置采用基础 support 位置加有限横向和深度偏移后重新反投影；尺度、颜色和透明度在激活函数的逆空间中加残差，以保证输出范围有效。这样既保留深度表面的骨架，又允许网络纠正深度误差、边界位置和局部外观。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3.5 训练目标与实验设置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InfiniSplat 在 Hypersim 上训练，每个样本包含 1 个 context view 和 3 个 target views。训练损失包括目标视角 RGB 重建、VGG 特征与 Gram 矩阵感知损失，以及 Gaussian 尺度范围和邻域尺度/透明度平滑正则。默认每张图使用约 1.5M 个 support，DINO 分支使用 DINOv3 ViT-L/16，CNN 分支为 128 通道。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3.6 与 SHARP 的定量比较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153"/>
        <w:gridCol w:w="2153"/>
        <w:gridCol w:w="2154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2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平均 PSNR</w:t>
            </w:r>
          </w:p>
        </w:tc>
        <w:tc>
          <w:tcPr>
            <w:tcW w:type="dxa" w:w="2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平均 SSIM</w:t>
            </w:r>
          </w:p>
        </w:tc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平均 LPIPS</w:t>
            </w:r>
          </w:p>
        </w:tc>
      </w:tr>
      <w:tr>
        <w:tc>
          <w:tcPr>
            <w:tcW w:type="dxa" w:w="29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SHARP</w:t>
            </w:r>
          </w:p>
        </w:tc>
        <w:tc>
          <w:tcPr>
            <w:tcW w:type="dxa" w:w="2153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18.475</w:t>
            </w:r>
          </w:p>
        </w:tc>
        <w:tc>
          <w:tcPr>
            <w:tcW w:type="dxa" w:w="2153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0.758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0.299</w:t>
            </w:r>
          </w:p>
        </w:tc>
      </w:tr>
      <w:tr>
        <w:tc>
          <w:tcPr>
            <w:tcW w:type="dxa" w:w="29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InfiniSplat-RGB</w:t>
            </w:r>
          </w:p>
        </w:tc>
        <w:tc>
          <w:tcPr>
            <w:tcW w:type="dxa" w:w="2153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20.394</w:t>
            </w:r>
          </w:p>
        </w:tc>
        <w:tc>
          <w:tcPr>
            <w:tcW w:type="dxa" w:w="2153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0.806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0.277</w:t>
            </w:r>
          </w:p>
        </w:tc>
      </w:tr>
      <w:tr>
        <w:tc>
          <w:tcPr>
            <w:tcW w:type="dxa" w:w="29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相对提升</w:t>
            </w:r>
          </w:p>
        </w:tc>
        <w:tc>
          <w:tcPr>
            <w:tcW w:type="dxa" w:w="2153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+1.919 dB</w:t>
            </w:r>
          </w:p>
        </w:tc>
        <w:tc>
          <w:tcPr>
            <w:tcW w:type="dxa" w:w="2153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+0.048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-0.022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测试覆盖 ETH3D、ScanNet++、Tanks and Temples 和 DL3DV，采用跨数据集零样本新视角合成。InfiniSplat-RGB 在四个 RGB-only 数据集上均取得更好的平均指标。论文同时提供 RGB + 稀疏深度的 LiDAR-conditioned 版本，但这一设置不能与我们当前单 RGB 课题直接混用。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3.7 消融与支持数量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00"/>
        <w:gridCol w:w="1700"/>
        <w:gridCol w:w="36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变体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ETH3D PSNR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ScanNet++ PSNR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完整模型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20.531</w:t>
            </w:r>
          </w:p>
        </w:tc>
        <w:tc>
          <w:tcPr>
            <w:tcW w:type="dxa" w:w="17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22.240</w:t>
            </w:r>
          </w:p>
        </w:tc>
        <w:tc>
          <w:tcPr>
            <w:tcW w:type="dxa" w:w="366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表面对齐 support + 隐式解码</w:t>
            </w:r>
          </w:p>
        </w:tc>
      </w:tr>
      <w:tr>
        <w:tc>
          <w:tcPr>
            <w:tcW w:type="dxa" w:w="2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无 learned updates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18.819</w:t>
            </w:r>
          </w:p>
        </w:tc>
        <w:tc>
          <w:tcPr>
            <w:tcW w:type="dxa" w:w="17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19.861</w:t>
            </w:r>
          </w:p>
        </w:tc>
        <w:tc>
          <w:tcPr>
            <w:tcW w:type="dxa" w:w="366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只有深度初始化，细节和边界模糊</w:t>
            </w:r>
          </w:p>
        </w:tc>
      </w:tr>
      <w:tr>
        <w:tc>
          <w:tcPr>
            <w:tcW w:type="dxa" w:w="2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无 DINO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11.465</w:t>
            </w:r>
          </w:p>
        </w:tc>
        <w:tc>
          <w:tcPr>
            <w:tcW w:type="dxa" w:w="17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12.501</w:t>
            </w:r>
          </w:p>
        </w:tc>
        <w:tc>
          <w:tcPr>
            <w:tcW w:type="dxa" w:w="366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跨场景泛化严重下降</w:t>
            </w:r>
          </w:p>
        </w:tc>
      </w:tr>
      <w:tr>
        <w:tc>
          <w:tcPr>
            <w:tcW w:type="dxa" w:w="2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无 CNN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18.646</w:t>
            </w:r>
          </w:p>
        </w:tc>
        <w:tc>
          <w:tcPr>
            <w:tcW w:type="dxa" w:w="17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20.368</w:t>
            </w:r>
          </w:p>
        </w:tc>
        <w:tc>
          <w:tcPr>
            <w:tcW w:type="dxa" w:w="366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局部纹理和边界变差</w:t>
            </w:r>
          </w:p>
        </w:tc>
      </w:tr>
      <w:tr>
        <w:tc>
          <w:tcPr>
            <w:tcW w:type="dxa" w:w="2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无表面对齐采样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19.934</w:t>
            </w:r>
          </w:p>
        </w:tc>
        <w:tc>
          <w:tcPr>
            <w:tcW w:type="dxa" w:w="17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21.576</w:t>
            </w:r>
          </w:p>
        </w:tc>
        <w:tc>
          <w:tcPr>
            <w:tcW w:type="dxa" w:w="366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改为像素对齐后裂缝增多</w:t>
            </w:r>
          </w:p>
        </w:tc>
      </w:tr>
      <w:tr>
        <w:tc>
          <w:tcPr>
            <w:tcW w:type="dxa" w:w="2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无隐式 Decoder</w:t>
            </w:r>
          </w:p>
        </w:tc>
        <w:tc>
          <w:tcPr>
            <w:tcW w:type="dxa" w:w="15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18.678</w:t>
            </w:r>
          </w:p>
        </w:tc>
        <w:tc>
          <w:tcPr>
            <w:tcW w:type="dxa" w:w="170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20.811</w:t>
            </w:r>
          </w:p>
        </w:tc>
        <w:tc>
          <w:tcPr>
            <w:tcW w:type="dxa" w:w="366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改为 DPT 后表面断裂更明显</w:t>
            </w:r>
          </w:p>
        </w:tc>
      </w:tr>
    </w:tbl>
    <w:p>
      <w:pPr>
        <w:spacing w:before="0" w:after="4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Support 数量从 0.5M 增加到 1.5M 时质量明显提高，从 1.5M 增加到 2.0M 后进入收益递减区间。值得注意的是，InfiniSplat 主要改善的是高斯空间组织，不等于已经完成轻量化：默认 1.5M support 与 SHARP 的高斯数量处于同一数量级。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3.8 InfiniSplat 的局限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单张图无法真实观察遮挡区域，显露区域仍然存在内容歧义。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深度错误会直接影响 support 分布，反射、透明、细结构、无纹理区域仍然容易失败。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极端外推、大面积 disocclusion 和非 Lambertian 材质仍可能产生空洞、拉伸或幻觉内容。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支持点数量仍然较大，论文没有直接解决移动端内存与压缩问题。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两篇论文的共同技术演进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两篇论文共同推动的方向可以概括为：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技术演进  </w:t>
            </w:r>
            <w:r>
              <w:rPr>
                <w:rFonts w:ascii="Calibri" w:hAnsi="Calibri"/>
                <w:sz w:val="21"/>
              </w:rPr>
              <w:t>SHARP：固定像素网格和双层 Gaussian → QuerySplat：可学习 Query 解除像素绑定并分离几何/外观 → InfiniSplat：用深度诱导表面 support 约束单图 Gaussian 分布 → 当前 Framework：在 SHARP 基础上显式补全显露区域，并将新增高斯放到更合理的表面位置。</w:t>
            </w:r>
          </w:p>
        </w:tc>
      </w:tr>
    </w:tbl>
    <w:p>
      <w:pPr>
        <w:spacing w:before="0" w:after="4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436"/>
        <w:gridCol w:w="2436"/>
        <w:gridCol w:w="2438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2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QuerySplat 的回答</w:t>
            </w:r>
          </w:p>
        </w:tc>
        <w:tc>
          <w:tcPr>
            <w:tcW w:type="dxa" w:w="24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InfiniSplat 的回答</w:t>
            </w:r>
          </w:p>
        </w:tc>
        <w:tc>
          <w:tcPr>
            <w:tcW w:type="dxa" w:w="24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对当前 Framework 的启发</w:t>
            </w:r>
          </w:p>
        </w:tc>
      </w:tr>
      <w:tr>
        <w:tc>
          <w:tcPr>
            <w:tcW w:type="dxa" w:w="205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高斯位置受像素限制</w:t>
            </w:r>
          </w:p>
        </w:tc>
        <w:tc>
          <w:tcPr>
            <w:tcW w:type="dxa" w:w="243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Learnable scene-level Query</w:t>
            </w:r>
          </w:p>
        </w:tc>
        <w:tc>
          <w:tcPr>
            <w:tcW w:type="dxa" w:w="243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Depth-guided surface support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补充高斯不直接按像素膨胀</w:t>
            </w:r>
          </w:p>
        </w:tc>
      </w:tr>
      <w:tr>
        <w:tc>
          <w:tcPr>
            <w:tcW w:type="dxa" w:w="205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几何与外观互相干扰</w:t>
            </w:r>
          </w:p>
        </w:tc>
        <w:tc>
          <w:tcPr>
            <w:tcW w:type="dxa" w:w="243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Geometry / Appearance 双分支</w:t>
            </w:r>
          </w:p>
        </w:tc>
        <w:tc>
          <w:tcPr>
            <w:tcW w:type="dxa" w:w="243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DINO / CNN 互补特征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Geometry Head 与 Appearance Head 解耦</w:t>
            </w:r>
          </w:p>
        </w:tc>
      </w:tr>
      <w:tr>
        <w:tc>
          <w:tcPr>
            <w:tcW w:type="dxa" w:w="205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深度先验不准确</w:t>
            </w:r>
          </w:p>
        </w:tc>
        <w:tc>
          <w:tcPr>
            <w:tcW w:type="dxa" w:w="243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早期 Chamfer 后退火</w:t>
            </w:r>
          </w:p>
        </w:tc>
        <w:tc>
          <w:tcPr>
            <w:tcW w:type="dxa" w:w="243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基础高斯 + 有界残差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深度只作骨架，允许局部修正</w:t>
            </w:r>
          </w:p>
        </w:tc>
      </w:tr>
      <w:tr>
        <w:tc>
          <w:tcPr>
            <w:tcW w:type="dxa" w:w="205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视角变化后结构断裂</w:t>
            </w:r>
          </w:p>
        </w:tc>
        <w:tc>
          <w:tcPr>
            <w:tcW w:type="dxa" w:w="243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跨视图几何 Query</w:t>
            </w:r>
          </w:p>
        </w:tc>
        <w:tc>
          <w:tcPr>
            <w:tcW w:type="dxa" w:w="243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表面组织和局部平滑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左右端点和中间视角共同约束</w:t>
            </w:r>
          </w:p>
        </w:tc>
      </w:tr>
      <w:tr>
        <w:tc>
          <w:tcPr>
            <w:tcW w:type="dxa" w:w="2050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移动端部署</w:t>
            </w:r>
          </w:p>
        </w:tc>
        <w:tc>
          <w:tcPr>
            <w:tcW w:type="dxa" w:w="243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论文未解决</w:t>
            </w:r>
          </w:p>
        </w:tc>
        <w:tc>
          <w:tcPr>
            <w:tcW w:type="dxa" w:w="2436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论文未解决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8"/>
              </w:rPr>
              <w:t>质量成立后再做 Gate、合并、量化和渲染器优化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对当前 SHARP / Adaptive3DGS 路线的建议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5.1 不改变已经冻结的 SHARP Benchmark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SHARP Benchmark v1 已冻结，max_disparity=0.04、单边裁剪 3%、高斯保留率 100% 仍作为对照基线。两篇新论文属于后续 Framework 的文献依据，不应反向修改已经完成的运动、裁剪、剪枝、性能和独立验证结论。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5.2 第一轮 A/B 仍然保持单变量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当前 Stage 0+1 的第一轮实验可以保持如下定义：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A：固定 SHARP 基础高斯，不加入显露补全。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B：使用同一 SHARP 基础高斯，加入显露 RGB-D-Alpha 补全和补充 Gaussian。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在 5°、15°、30° 总扫视角下比较端点空洞率、Alpha、时间连续性和人工问题评分。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不同时加入 Gate、Top-K 剪枝、材质模块或细结构增密。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5.3 建议吸收的 InfiniSplat 设计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补全 RGB 后重新估计或对齐 Depth，再从显露区域构造表面 support。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补充 Gaussian 使用‘support 初始化 + 有界横向/深度残差’，避免完全自由生成飞点。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对相邻补充 support 增加尺度、Alpha 和深度的局部平滑约束。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把 pixel-aligned support 与 surface-aligned support 作为后续独立消融。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5.4 建议吸收的 QuerySplat 设计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将 Gaussian 几何属性与外观属性拆成不同预测头。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复用已有深度和多尺度视觉特征，但不要在第一轮就引入完整 VGM 或重型 Transformer。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把跨视角信息聚合思想转化为左右端点联合约束，而不是直接照搬多视图 QuerySplat。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6. 最终结论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QuerySplat 证明了：Gaussian 不必固定绑定像素，几何与外观也不应由同一条特征路径强行预测。InfiniSplat 进一步证明了：在单图条件下，用深度诱导的表面 support 组织 Gaussian，可以改善大视角新视角中的裂缝、空洞和表面断裂。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对本课题最有价值的组合不是直接复现某一个模型，而是形成一个可验证的研究假设：在 SHARP 提供的基础 Gaussian 上，对显露区域进行 RGB-D-Alpha 补全，并使用表面对齐 support 和有界 Gaussian 残差生成补充高斯，能否在 15° 和 30° 端点显著降低空洞与结构断裂，同时不恶化深度、拉伸和闪烁问题。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研究边界  </w:t>
            </w:r>
            <w:r>
              <w:rPr>
                <w:rFonts w:ascii="Calibri" w:hAnsi="Calibri"/>
                <w:sz w:val="21"/>
              </w:rPr>
              <w:t>两篇论文都不能证明单图能够真实恢复隐藏区域，也不能直接证明达到移动端 5 秒和 3 GB 目标。它们提供的是表示组织和解码方式的设计依据；是否适合本课题，仍需通过当前 Framework 的单变量 A/B 实验验证。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参考来源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1. QuerySplat: Decoupling Geometry and Appearance Representations in 3DGS Prediction, arXiv:2608.01186v1, 2026-08-02。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2. InfiniSplat: Implicit Gaussian Decoding for Large-Baseline Monocular View Synthesis, arXiv:2608.02437v1, 2026-08-03。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3. 官方代码：https://github.com/inspatio/querysplat 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5A5A"/>
        <w:sz w:val="18"/>
      </w:rPr>
      <w:t xml:space="preserve">QuerySplat 与 InfiniSplat  |  第 </w:t>
    </w:r>
    <w:r>
      <w:rPr>
        <w:rFonts w:ascii="Calibri" w:hAnsi="Calibri"/>
        <w:color w:val="5A5A5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5A5A"/>
        <w:sz w:val="18"/>
      </w:rPr>
      <w:t>SHARP 浅 3D / 论文解读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QuerySplat 与 InfiniSplat 论文解读</dc:title>
  <dc:subject>面向 SHARP 浅 3D 与 Adaptive3DGS Framework 的技术分析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