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宋体"/>
          <w:b/>
          <w:color w:val="1F4E79"/>
          <w:sz w:val="38"/>
        </w:rPr>
        <w:t>医学生整理概念集筛选、MOCE严格平衡集构建</w:t>
        <w:br/>
        <w:t>及聚类数量分析说明</w:t>
      </w:r>
    </w:p>
    <w:p>
      <w:pPr>
        <w:jc w:val="center"/>
      </w:pPr>
      <w:r>
        <w:rPr>
          <w:rFonts w:eastAsia="宋体"/>
        </w:rPr>
        <w:t>版本：v2.1    日期：2026年7月28日</w:t>
      </w:r>
    </w:p>
    <w:p>
      <w:r>
        <w:rPr>
          <w:rFonts w:eastAsia="宋体"/>
        </w:rPr>
        <w:t>说明目的：说明医学生整理数据从原始1879位患者到MOCE最终314位患者的筛选过程、匹配原则，提供K-Means聚类数量敏感性分析的标准阅读与人工审核流程，并记录本次K=10～50实测结果的自动量化初筛结论。</w:t>
      </w:r>
    </w:p>
    <w:p>
      <w:pPr>
        <w:pStyle w:val="Heading1"/>
      </w:pPr>
      <w:r>
        <w:rPr>
          <w:rFonts w:eastAsia="宋体"/>
        </w:rPr>
        <w:t>一、核心结论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宋体"/>
          <w:sz w:val="21"/>
        </w:rPr>
        <w:t>医学生提供的整理集共有1879位去重患者、3601张图片。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宋体"/>
          <w:sz w:val="21"/>
        </w:rPr>
        <w:t>排除1位跨标签患者及18张完全重复副本后，每位患者最多保留3张，得到1878位患者、2954张图片。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宋体"/>
          <w:sz w:val="21"/>
        </w:rPr>
        <w:t>为降低来源、尺寸、宽高比和设备界面等混杂因素，进一步进行严格患者级1:1匹配。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宋体"/>
          <w:sz w:val="21"/>
        </w:rPr>
        <w:t>最终MOCE使用157位早癌患者和157位非癌患者，共314位患者、502张图片；两类各251张。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</w:trP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>
              <w:rPr>
                <w:rFonts w:eastAsia="宋体"/>
                <w:b/>
                <w:sz w:val="18"/>
              </w:rPr>
            </w:r>
            <w:r>
              <w:rPr>
                <w:rFonts w:ascii="Noto Sans CJK SC" w:hAnsi="Noto Sans CJK SC" w:eastAsia="宋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>
              <w:rPr>
                <w:rFonts w:eastAsia="宋体"/>
                <w:b/>
                <w:sz w:val="18"/>
              </w:rPr>
            </w:r>
            <w:r>
              <w:rPr>
                <w:rFonts w:ascii="Noto Sans CJK SC" w:hAnsi="Noto Sans CJK SC" w:eastAsia="宋体"/>
                <w:b/>
                <w:color w:val="FFFFFF"/>
                <w:sz w:val="18"/>
              </w:rPr>
              <w:t>患者数</w:t>
            </w:r>
          </w:p>
        </w:tc>
        <w:tc>
          <w:tcPr>
            <w:tcW w:type="dxa" w:w="1417"/>
            <w:vAlign w:val="center"/>
            <w:shd w:fill="1F4E79"/>
          </w:tcPr>
          <w:p>
            <w:pPr>
              <w:spacing w:after="0"/>
            </w:pPr>
            <w:r>
              <w:rPr>
                <w:rFonts w:eastAsia="宋体"/>
                <w:b/>
                <w:sz w:val="18"/>
              </w:rPr>
            </w:r>
            <w:r>
              <w:rPr>
                <w:rFonts w:ascii="Noto Sans CJK SC" w:hAnsi="Noto Sans CJK SC" w:eastAsia="宋体"/>
                <w:b/>
                <w:color w:val="FFFFFF"/>
                <w:sz w:val="18"/>
              </w:rPr>
              <w:t>图片数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spacing w:after="0"/>
            </w:pPr>
            <w:r>
              <w:rPr>
                <w:rFonts w:eastAsia="宋体"/>
                <w:b/>
                <w:sz w:val="18"/>
              </w:rPr>
            </w:r>
            <w:r>
              <w:rPr>
                <w:rFonts w:ascii="Noto Sans CJK SC" w:hAnsi="Noto Sans CJK SC" w:eastAsia="宋体"/>
                <w:b/>
                <w:color w:val="FFFFFF"/>
                <w:sz w:val="18"/>
              </w:rPr>
              <w:t>主要处理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21"/>
              </w:rPr>
              <w:t>医学生原始整理集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21"/>
              </w:rPr>
              <w:t>1879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21"/>
              </w:rPr>
              <w:t>3601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21"/>
              </w:rPr>
              <w:t>图片数量基本平衡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0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21"/>
              </w:rPr>
              <w:t>清理及每患者限图后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0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21"/>
              </w:rPr>
              <w:t>1878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spacing w:after="0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21"/>
              </w:rPr>
              <w:t>2954</w:t>
            </w:r>
          </w:p>
        </w:tc>
        <w:tc>
          <w:tcPr>
            <w:tcW w:type="dxa" w:w="3515"/>
            <w:vAlign w:val="center"/>
            <w:shd w:fill="EAF2F8"/>
          </w:tcPr>
          <w:p>
            <w:pPr>
              <w:spacing w:after="0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21"/>
              </w:rPr>
              <w:t>去冲突、去重复、每患者≤3张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21"/>
              </w:rPr>
              <w:t>MOCE严格平衡集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21"/>
              </w:rPr>
              <w:t>314（157对）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21"/>
              </w:rPr>
              <w:t>502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21"/>
              </w:rPr>
              <w:t>来源和画面风格严格匹配</w:t>
            </w:r>
          </w:p>
        </w:tc>
      </w:tr>
    </w:tbl>
    <w:p>
      <w:pPr>
        <w:pStyle w:val="ListBullet"/>
      </w:pPr>
      <w:r>
        <w:rPr>
          <w:rFonts w:eastAsia="宋体"/>
        </w:rPr>
        <w:t>K=10～50的敏感性分析已在ResNet50与EfficientNet-B0、癌与非癌两类上全部完成；自动量化初筛将K=20、25、30列为主要人工复核范围。</w:t>
      </w:r>
    </w:p>
    <w:p>
      <w:pPr>
        <w:pStyle w:val="ListBullet"/>
      </w:pPr>
      <w:r>
        <w:rPr>
          <w:rFonts w:eastAsia="宋体"/>
        </w:rPr>
        <w:t>K=25目前保留为首选候选值和原正式结果，但它不是仅凭算法确定的“唯一最优值”；最终结论仍需医学生或医生比较K=20/25/30的大图与扩展图。</w:t>
      </w:r>
    </w:p>
    <w:p>
      <w:pPr>
        <w:pStyle w:val="Heading1"/>
      </w:pPr>
      <w:r>
        <w:rPr>
          <w:rFonts w:eastAsia="宋体"/>
        </w:rPr>
        <w:t>二、为什么需要再次筛选</w:t>
      </w:r>
    </w:p>
    <w:p>
      <w:pPr>
        <w:spacing w:after="160"/>
      </w:pPr>
      <w:r>
        <w:rPr>
          <w:rFonts w:eastAsia="宋体"/>
        </w:rPr>
        <w:t>医学生整理后的数据在图片数量上接近1:1（早癌1814张、非癌1787张），但患者数量并不平衡：早癌487位、非癌1393位。此外，两类图片在分辨率、尺寸、宽高比及设备界面风格上仍存在明显差异。如果直接用于概念发现，MOCE可能把医院、设备或画面格式识别为“癌症概念”，而不是学习真实黏膜或病灶特征。</w:t>
      </w:r>
    </w:p>
    <w:p>
      <w:pPr>
        <w:spacing w:before="80" w:after="160"/>
        <w:ind w:left="283" w:right="283"/>
      </w:pPr>
      <w:r>
        <w:rPr>
          <w:rFonts w:eastAsia="宋体"/>
          <w:b/>
          <w:color w:val="A64D00"/>
        </w:rPr>
        <w:t>因此，本次严格筛选的目标不是挑选“模型容易判断”的患者，而是让癌与非癌在已知非临床因素上尽可能可比。</w:t>
      </w:r>
    </w:p>
    <w:p>
      <w:pPr>
        <w:pStyle w:val="Heading1"/>
      </w:pPr>
      <w:r>
        <w:rPr>
          <w:rFonts w:eastAsia="宋体"/>
        </w:rPr>
        <w:t>三、筛选流程与原则</w:t>
      </w:r>
    </w:p>
    <w:p>
      <w:pPr>
        <w:pStyle w:val="ListNumber"/>
        <w:spacing w:after="80" w:line="276" w:lineRule="auto"/>
      </w:pPr>
      <w:r>
        <w:rPr>
          <w:rFonts w:ascii="Noto Sans CJK SC" w:hAnsi="Noto Sans CJK SC" w:eastAsia="宋体"/>
          <w:b/>
          <w:sz w:val="21"/>
        </w:rPr>
        <w:t>数据完整性清理。</w:t>
      </w:r>
      <w:r>
        <w:rPr>
          <w:rFonts w:ascii="Noto Sans CJK SC" w:hAnsi="Noto Sans CJK SC" w:eastAsia="宋体"/>
          <w:sz w:val="21"/>
        </w:rPr>
        <w:t>排除1位同时出现在早癌和非癌标签中的患者，避免患者级标签冲突；对完全相同的图片按SHA-256去重，每组只保留一个规范副本，共排除18张重复副本。</w:t>
      </w:r>
    </w:p>
    <w:p>
      <w:pPr>
        <w:pStyle w:val="ListNumber"/>
        <w:spacing w:after="80" w:line="276" w:lineRule="auto"/>
      </w:pPr>
      <w:r>
        <w:rPr>
          <w:rFonts w:ascii="Noto Sans CJK SC" w:hAnsi="Noto Sans CJK SC" w:eastAsia="宋体"/>
          <w:b/>
          <w:sz w:val="21"/>
        </w:rPr>
        <w:t>统一图像预处理。</w:t>
      </w:r>
      <w:r>
        <w:rPr>
          <w:rFonts w:ascii="Noto Sans CJK SC" w:hAnsi="Noto Sans CJK SC" w:eastAsia="宋体"/>
          <w:sz w:val="21"/>
        </w:rPr>
        <w:t>所有图片按照同一v1.1规则裁除黑边和设备界面并统一缩放，原始数据保持只读，处理结果和清单另行保存。</w:t>
      </w:r>
    </w:p>
    <w:p>
      <w:pPr>
        <w:pStyle w:val="ListNumber"/>
        <w:spacing w:after="80" w:line="276" w:lineRule="auto"/>
      </w:pPr>
      <w:r>
        <w:rPr>
          <w:rFonts w:ascii="Noto Sans CJK SC" w:hAnsi="Noto Sans CJK SC" w:eastAsia="宋体"/>
          <w:b/>
          <w:sz w:val="21"/>
        </w:rPr>
        <w:t>每位患者最多保留3张。</w:t>
      </w:r>
      <w:r>
        <w:rPr>
          <w:rFonts w:ascii="Noto Sans CJK SC" w:hAnsi="Noto Sans CJK SC" w:eastAsia="宋体"/>
          <w:sz w:val="21"/>
        </w:rPr>
        <w:t>第一张优先选择清晰度最高的图片；第2、3张选择与已选图片视觉差异最大的图片，以减少近似连续帧。差异相同时优先选择更清晰的图片。</w:t>
      </w:r>
    </w:p>
    <w:p>
      <w:pPr>
        <w:pStyle w:val="ListNumber"/>
        <w:spacing w:after="80" w:line="276" w:lineRule="auto"/>
      </w:pPr>
      <w:r>
        <w:rPr>
          <w:rFonts w:ascii="Noto Sans CJK SC" w:hAnsi="Noto Sans CJK SC" w:eastAsia="宋体"/>
          <w:b/>
          <w:sz w:val="21"/>
        </w:rPr>
        <w:t>建立画面风格分组。</w:t>
      </w:r>
      <w:r>
        <w:rPr>
          <w:rFonts w:ascii="Noto Sans CJK SC" w:hAnsi="Noto Sans CJK SC" w:eastAsia="宋体"/>
          <w:sz w:val="21"/>
        </w:rPr>
        <w:t>根据数据来源、图片尺寸档位、宽高比类型和画面边框/设备界面类型，为每位患者确定主要画面风格。</w:t>
      </w:r>
    </w:p>
    <w:p>
      <w:pPr>
        <w:pStyle w:val="ListNumber"/>
        <w:spacing w:after="80" w:line="276" w:lineRule="auto"/>
      </w:pPr>
      <w:r>
        <w:rPr>
          <w:rFonts w:ascii="Noto Sans CJK SC" w:hAnsi="Noto Sans CJK SC" w:eastAsia="宋体"/>
          <w:b/>
          <w:sz w:val="21"/>
        </w:rPr>
        <w:t>严格患者级1:1匹配。</w:t>
      </w:r>
      <w:r>
        <w:rPr>
          <w:rFonts w:ascii="Noto Sans CJK SC" w:hAnsi="Noto Sans CJK SC" w:eastAsia="宋体"/>
          <w:sz w:val="21"/>
        </w:rPr>
        <w:t>只在相同数据来源且主要画面风格完全一致的组内，将一位早癌患者与一位非癌患者配对。每组配对数取两类患者数中的较小值；人数较多的一侧按固定随机种子42抽取，保证结果可复现。</w:t>
      </w:r>
    </w:p>
    <w:p>
      <w:pPr>
        <w:pStyle w:val="ListNumber"/>
        <w:spacing w:after="80" w:line="276" w:lineRule="auto"/>
      </w:pPr>
      <w:r>
        <w:rPr>
          <w:rFonts w:ascii="Noto Sans CJK SC" w:hAnsi="Noto Sans CJK SC" w:eastAsia="宋体"/>
          <w:b/>
          <w:sz w:val="21"/>
        </w:rPr>
        <w:t>匹配对内平衡图片数。</w:t>
      </w:r>
      <w:r>
        <w:rPr>
          <w:rFonts w:ascii="Noto Sans CJK SC" w:hAnsi="Noto Sans CJK SC" w:eastAsia="宋体"/>
          <w:sz w:val="21"/>
        </w:rPr>
        <w:t>每对患者仅保留符合该匹配风格的图片，并使早癌与非癌患者在该对中保留相同数量的图片，优先保留清晰且具有视图多样性的图片。</w:t>
      </w:r>
    </w:p>
    <w:p>
      <w:pPr>
        <w:pStyle w:val="Heading1"/>
      </w:pPr>
      <w:r>
        <w:rPr>
          <w:rFonts w:eastAsia="宋体"/>
        </w:rPr>
        <w:t>四、最终严格集满足的条件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宋体"/>
          <w:sz w:val="21"/>
        </w:rPr>
        <w:t>患者数量1:1：157位早癌患者与157位非癌患者。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宋体"/>
          <w:sz w:val="21"/>
        </w:rPr>
        <w:t>图片数量1:1：早癌与非癌各251张。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宋体"/>
          <w:sz w:val="21"/>
        </w:rPr>
        <w:t>同一匹配对的数据来源一致。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宋体"/>
          <w:sz w:val="21"/>
        </w:rPr>
        <w:t>同一匹配对的尺寸档位、宽高比和设备界面/画面风格一致。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宋体"/>
          <w:sz w:val="21"/>
        </w:rPr>
        <w:t>同一匹配对两侧保留的图片数量一致。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宋体"/>
          <w:sz w:val="21"/>
        </w:rPr>
        <w:t>每位患者最多贡献3张图片，降低多图患者对聚类结果的过度影响。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宋体"/>
          <w:sz w:val="21"/>
        </w:rPr>
        <w:t>筛选过程使用固定规则和随机种子，可通过冻结清单完整复现。</w:t>
      </w:r>
    </w:p>
    <w:p>
      <w:pPr>
        <w:pStyle w:val="Heading1"/>
      </w:pPr>
      <w:r>
        <w:rPr>
          <w:rFonts w:eastAsia="宋体"/>
        </w:rPr>
        <w:t>五、未用于筛选的因素</w:t>
      </w:r>
    </w:p>
    <w:p>
      <w:pPr>
        <w:spacing w:after="60"/>
      </w:pPr>
      <w:r>
        <w:rPr>
          <w:rFonts w:eastAsia="宋体"/>
        </w:rPr>
        <w:t>为避免结果导向性选择，本次筛选没有使用以下信息：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宋体"/>
          <w:sz w:val="21"/>
        </w:rPr>
        <w:t>模型预测概率、预测正确与否或模型置信度；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宋体"/>
          <w:sz w:val="21"/>
        </w:rPr>
        <w:t>Grad-CAM、MOCE候选区域或其他模型解释结果；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宋体"/>
          <w:sz w:val="21"/>
        </w:rPr>
        <w:t>根据模型表现主动挑选“容易分类”或“典型”的病例；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宋体"/>
          <w:sz w:val="21"/>
        </w:rPr>
        <w:t>人工逐图确认病灶是否位于画面内。</w:t>
      </w:r>
    </w:p>
    <w:p>
      <w:pPr>
        <w:pStyle w:val="Heading1"/>
      </w:pPr>
      <w:r>
        <w:rPr>
          <w:rFonts w:eastAsia="宋体"/>
        </w:rPr>
        <w:t>六、临床使用边界</w:t>
      </w:r>
    </w:p>
    <w:p>
      <w:pPr>
        <w:spacing w:after="120"/>
      </w:pPr>
      <w:r>
        <w:rPr>
          <w:rFonts w:eastAsia="宋体"/>
          <w:b/>
          <w:color w:val="A64D00"/>
        </w:rPr>
        <w:t>本筛选属于数据工程层面的去偏与匹配，不等同于临床病灶质量筛选。</w:t>
      </w:r>
      <w:r>
        <w:rPr>
          <w:rFonts w:eastAsia="宋体"/>
        </w:rPr>
        <w:t xml:space="preserve"> 它能够减少来源、分辨率、设备界面和患者图片数量等因素对概念发现的干扰，但不能保证每张早癌图片都清楚显示病灶，也不能保证每张非癌图片均为最具代表性的正常黏膜。</w:t>
      </w:r>
    </w:p>
    <w:p>
      <w:r>
        <w:rPr>
          <w:rFonts w:eastAsia="宋体"/>
        </w:rPr>
        <w:t>后续临床审核建议重点确认：病灶是否可见、图像是否具有代表性、候选概念区域是否落在真实病灶或黏膜结构上，以及是否受到反光、气泡、黏液、器械、暗腔或残留设备界面的影响。临床审核可以替换不合适的图片，但应保留原匹配条件和修改记录。</w:t>
      </w:r>
    </w:p>
    <w:p>
      <w:pPr>
        <w:pStyle w:val="Heading1"/>
      </w:pPr>
      <w:r>
        <w:rPr>
          <w:rFonts w:eastAsia="宋体"/>
        </w:rPr>
        <w:t>七、可追溯文件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宋体"/>
          <w:sz w:val="21"/>
        </w:rPr>
        <w:t>原始审计：数据整理记录/概念提取训练集_v1/原始审计/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宋体"/>
          <w:sz w:val="21"/>
        </w:rPr>
        <w:t>患者限图清单：数据整理记录/概念提取训练集_v1/核心清单_v1/patient_limited_manifest.csv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宋体"/>
          <w:sz w:val="21"/>
        </w:rPr>
        <w:t>严格患者配对：数据整理记录/概念提取训练集_v1/核心清单_v1/strict_pairs.csv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宋体"/>
          <w:sz w:val="21"/>
        </w:rPr>
        <w:t>MOCE最终清单：数据整理记录/概念提取训练集_v1/核心清单_v1/strict_pair_image_balanced_manifest.csv</w:t>
      </w:r>
    </w:p>
    <w:p>
      <w:r>
        <w:rPr>
          <w:rFonts w:eastAsia="宋体"/>
        </w:rPr>
        <w:br w:type="page"/>
      </w:r>
    </w:p>
    <w:p>
      <w:pPr>
        <w:pStyle w:val="Heading1"/>
      </w:pPr>
      <w:r>
        <w:rPr>
          <w:rFonts w:eastAsia="宋体"/>
        </w:rPr>
        <w:t>八、为什么要分析K-Means聚类数量</w:t>
      </w:r>
    </w:p>
    <w:p>
      <w:pPr>
        <w:spacing w:line="300" w:lineRule="auto" w:after="100"/>
      </w:pPr>
      <w:r>
        <w:rPr>
          <w:rFonts w:ascii="Noto Sans CJK SC" w:hAnsi="Noto Sans CJK SC" w:eastAsia="宋体"/>
          <w:b w:val="0"/>
          <w:sz w:val="21"/>
        </w:rPr>
        <w:t>K表示每个类别被划分成多少个视觉概念簇。K不是患者数，也不是模型类别数；K=25表示分别把非癌候选区域聚成25簇、把癌/高级别候选区域聚成25簇。两个类别、两个模型均独立聚类，编号之间不能直接对应。</w:t>
      </w:r>
    </w:p>
    <w:p>
      <w:pPr>
        <w:spacing w:line="300" w:lineRule="auto" w:after="100"/>
      </w:pPr>
      <w:r>
        <w:rPr>
          <w:rFonts w:ascii="Noto Sans CJK SC" w:hAnsi="Noto Sans CJK SC" w:eastAsia="宋体"/>
          <w:b w:val="0"/>
          <w:sz w:val="21"/>
        </w:rPr>
        <w:t>K值会改变概念的“颗粒度”。K过小时，不同颜色、纹理、形态或伪影可能被合并在同一簇；K过大时，同一种临床表现可能被拆成多个相似小簇，甚至形成少数患者主导的碎片簇。因此需要做敏感性分析，判断主要医学模式是否在一段K范围内稳定出现，而不是证明某一个K绝对正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</w:trPr>
        <w:tc>
          <w:tcPr>
            <w:tcW w:type="dxa" w:w="1247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eastAsia="宋体"/>
                <w:b/>
                <w:sz w:val="18"/>
              </w:rPr>
            </w:r>
            <w:r>
              <w:rPr>
                <w:rFonts w:ascii="Noto Sans CJK SC" w:hAnsi="Noto Sans CJK SC" w:eastAsia="宋体"/>
                <w:b/>
                <w:color w:val="FFFFFF"/>
                <w:sz w:val="18"/>
              </w:rPr>
              <w:t>K值状态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eastAsia="宋体"/>
                <w:b/>
                <w:sz w:val="18"/>
              </w:rPr>
            </w:r>
            <w:r>
              <w:rPr>
                <w:rFonts w:ascii="Noto Sans CJK SC" w:hAnsi="Noto Sans CJK SC" w:eastAsia="宋体"/>
                <w:b/>
                <w:color w:val="FFFFFF"/>
                <w:sz w:val="18"/>
              </w:rPr>
              <w:t>常见表现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eastAsia="宋体"/>
                <w:b/>
                <w:sz w:val="18"/>
              </w:rPr>
            </w:r>
            <w:r>
              <w:rPr>
                <w:rFonts w:ascii="Noto Sans CJK SC" w:hAnsi="Noto Sans CJK SC" w:eastAsia="宋体"/>
                <w:b/>
                <w:color w:val="FFFFFF"/>
                <w:sz w:val="18"/>
              </w:rPr>
              <w:t>潜在问题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eastAsia="宋体"/>
                <w:b/>
                <w:sz w:val="18"/>
              </w:rPr>
            </w:r>
            <w:r>
              <w:rPr>
                <w:rFonts w:ascii="Noto Sans CJK SC" w:hAnsi="Noto Sans CJK SC" w:eastAsia="宋体"/>
                <w:b/>
                <w:color w:val="FFFFFF"/>
                <w:sz w:val="18"/>
              </w:rPr>
              <w:t>审核重点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偏小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单个簇内部差异大，代表图形态混杂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不同概念被合并，医学命名过于宽泛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检查同簇是否同时出现不同病灶形态或伪影</w:t>
            </w:r>
          </w:p>
        </w:tc>
      </w:tr>
      <w:tr>
        <w:tc>
          <w:tcPr>
            <w:tcW w:type="dxa" w:w="1247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适中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主要簇内部相对一致，覆盖多位患者</w:t>
            </w:r>
          </w:p>
        </w:tc>
        <w:tc>
          <w:tcPr>
            <w:tcW w:type="dxa" w:w="2551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仍可能存在部分冗余或边界病例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检查重要概念能否稳定命名并跨患者复现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偏大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出现多个外观近似的小簇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概念碎片化、单患者主导、审核负担增加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检查相似概念是否只是同一形态被反复拆分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eastAsia="宋体"/>
        </w:rPr>
        <w:t>九、本次K敏感性实验固定了什么</w:t>
      </w:r>
    </w:p>
    <w:p>
      <w:pPr>
        <w:spacing w:line="300" w:lineRule="auto" w:after="100"/>
      </w:pPr>
      <w:r>
        <w:rPr>
          <w:rFonts w:ascii="Noto Sans CJK SC" w:hAnsi="Noto Sans CJK SC" w:eastAsia="宋体"/>
          <w:b w:val="0"/>
          <w:sz w:val="21"/>
        </w:rPr>
        <w:t>本次比较只改变K-Means的聚类数量，其他输入全部保持一致，因此不同K之间的差异可以主要归因于聚类颗粒度变化。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宋体"/>
          <w:b w:val="0"/>
          <w:sz w:val="21"/>
        </w:rPr>
        <w:t>固定同一严格平衡数据集：314位患者、502张图片，癌与非癌各157位患者、251张图片。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宋体"/>
          <w:b w:val="0"/>
          <w:sz w:val="21"/>
        </w:rPr>
        <w:t>固定同一模型权重、同一类别、同一候选区域、同一候选掩码和同一高维特征向量。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宋体"/>
          <w:b w:val="0"/>
          <w:sz w:val="21"/>
        </w:rPr>
        <w:t>固定随机种子42及K-Means其余参数。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宋体"/>
          <w:b w:val="0"/>
          <w:sz w:val="21"/>
        </w:rPr>
        <w:t>ResNet50和EfficientNet-B0分别分析；class_0与class_1分别分析。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宋体"/>
          <w:b w:val="0"/>
          <w:sz w:val="21"/>
        </w:rPr>
        <w:t>默认K网格为10、15、20、25、30、35、40、45、50；K=25为原正式结果。</w:t>
      </w:r>
    </w:p>
    <w:p>
      <w:pPr>
        <w:spacing w:line="300" w:lineRule="auto" w:after="100"/>
      </w:pPr>
      <w:r>
        <w:rPr>
          <w:rFonts w:ascii="Noto Sans CJK SC" w:hAnsi="Noto Sans CJK SC" w:eastAsia="宋体"/>
          <w:b w:val="0"/>
          <w:sz w:val="21"/>
        </w:rPr>
        <w:t>候选区域提取不随K变化，程序复用原正式结果的冻结候选特征和掩码，仅重新执行K-Means、概念重要性及SSC/SDC。</w:t>
      </w:r>
    </w:p>
    <w:p>
      <w:pPr>
        <w:pStyle w:val="Heading1"/>
      </w:pPr>
      <w:r>
        <w:rPr>
          <w:rFonts w:eastAsia="宋体"/>
        </w:rPr>
        <w:t>十、结果目录与每个K包含的材料</w:t>
      </w:r>
    </w:p>
    <w:p>
      <w:pPr>
        <w:spacing w:line="300" w:lineRule="auto" w:after="100"/>
      </w:pPr>
      <w:r>
        <w:rPr>
          <w:rFonts w:ascii="Noto Sans CJK SC" w:hAnsi="Noto Sans CJK SC" w:eastAsia="宋体"/>
          <w:b w:val="0"/>
          <w:sz w:val="21"/>
        </w:rPr>
        <w:t>全部结果位于：gastric-cbm/结果/MOCE聚类数量分析/</w:t>
      </w:r>
    </w:p>
    <w:p>
      <w:pPr>
        <w:spacing w:line="300" w:lineRule="auto" w:after="100"/>
      </w:pPr>
      <w:r>
        <w:rPr>
          <w:rFonts w:ascii="Noto Sans CJK SC" w:hAnsi="Noto Sans CJK SC" w:eastAsia="宋体"/>
          <w:b w:val="0"/>
          <w:sz w:val="21"/>
        </w:rPr>
        <w:t>原始结果/k_XX/{model}/class_{0,1}/：保存聚类分配、聚类模型、概念重要性、SSC/SDC和原始纵向大图。</w:t>
      </w:r>
    </w:p>
    <w:p>
      <w:pPr>
        <w:spacing w:line="300" w:lineRule="auto" w:after="100"/>
      </w:pPr>
      <w:r>
        <w:rPr>
          <w:rFonts w:ascii="Noto Sans CJK SC" w:hAnsi="Noto Sans CJK SC" w:eastAsia="宋体"/>
          <w:b w:val="0"/>
          <w:sz w:val="21"/>
        </w:rPr>
        <w:t>自动分析/k_XX/{model}/class_{0,1}/：沿用原MOCE分析层级，包含01_自动分析结果和02_MOCE原始结果。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宋体"/>
          <w:b w:val="0"/>
          <w:sz w:val="21"/>
        </w:rPr>
        <w:t>概念聚类清晰版：每页3个概念簇，每簇5张最接近聚类中心的代表区域。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宋体"/>
          <w:b w:val="0"/>
          <w:sz w:val="21"/>
        </w:rPr>
        <w:t>重要概念扩展图：重要性前10概念，每个概念展示不同患者的原图定位和候选区域。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宋体"/>
          <w:b w:val="0"/>
          <w:sz w:val="21"/>
        </w:rPr>
        <w:t>典型案例图：概率下降明显、单独保留概率高及概率下降为负的案例。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宋体"/>
          <w:b w:val="0"/>
          <w:sz w:val="21"/>
        </w:rPr>
        <w:t>analysis_summary.xlsx：总体信息、概念综合分析、患者贡献、来源构成、典型案例和SSC/SDC。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宋体"/>
          <w:b w:val="0"/>
          <w:sz w:val="21"/>
        </w:rPr>
        <w:t>医生概念命名表.xlsx：供医学人员记录视觉描述、医学名称、病灶相关性及伪相关判断。</w:t>
      </w:r>
    </w:p>
    <w:p>
      <w:pPr>
        <w:spacing w:line="300" w:lineRule="auto" w:after="100"/>
      </w:pPr>
      <w:r>
        <w:rPr>
          <w:rFonts w:ascii="Noto Sans CJK SC" w:hAnsi="Noto Sans CJK SC" w:eastAsia="宋体"/>
          <w:b w:val="0"/>
          <w:sz w:val="21"/>
        </w:rPr>
        <w:t>自动分析根目录还包含K敏感性汇总.csv、K敏感性汇总.xlsx及各模型各类别的跨K汇总图，建议先看汇总，再进入单个K的大图。</w:t>
      </w:r>
    </w:p>
    <w:p>
      <w:pPr>
        <w:pStyle w:val="Heading1"/>
      </w:pPr>
      <w:r>
        <w:rPr>
          <w:rFonts w:eastAsia="宋体"/>
        </w:rPr>
        <w:t>十一、跨K汇总指标怎么理解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</w:trPr>
        <w:tc>
          <w:tcPr>
            <w:tcW w:type="dxa" w:w="181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eastAsia="宋体"/>
                <w:b/>
                <w:sz w:val="18"/>
              </w:rPr>
            </w:r>
            <w:r>
              <w:rPr>
                <w:rFonts w:ascii="Noto Sans CJK SC" w:hAnsi="Noto Sans CJK SC" w:eastAsia="宋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eastAsia="宋体"/>
                <w:b/>
                <w:sz w:val="18"/>
              </w:rPr>
            </w:r>
            <w:r>
              <w:rPr>
                <w:rFonts w:ascii="Noto Sans CJK SC" w:hAnsi="Noto Sans CJK SC" w:eastAsia="宋体"/>
                <w:b/>
                <w:color w:val="FFFFFF"/>
                <w:sz w:val="18"/>
              </w:rPr>
              <w:t>通俗解释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eastAsia="宋体"/>
                <w:b/>
                <w:sz w:val="18"/>
              </w:rPr>
            </w:r>
            <w:r>
              <w:rPr>
                <w:rFonts w:ascii="Noto Sans CJK SC" w:hAnsi="Noto Sans CJK SC" w:eastAsia="宋体"/>
                <w:b/>
                <w:color w:val="FFFFFF"/>
                <w:sz w:val="18"/>
              </w:rPr>
              <w:t>期望趋势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eastAsia="宋体"/>
                <w:b/>
                <w:sz w:val="18"/>
              </w:rPr>
            </w:r>
            <w:r>
              <w:rPr>
                <w:rFonts w:ascii="Noto Sans CJK SC" w:hAnsi="Noto Sans CJK SC" w:eastAsia="宋体"/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inertia_per_candidate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每个候选区域到所属中心的总体平方距离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随K增加下降并逐渐进入平台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一定会随K增大而下降，不能直接选最小值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mean / p90 distance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平均或较远候选区域到中心的距离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下降后趋于稳定</w:t>
            </w:r>
          </w:p>
        </w:tc>
        <w:tc>
          <w:tcPr>
            <w:tcW w:type="dxa" w:w="2948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不同模型特征维度不同，不宜直接比绝对值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median/min cluster patients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一个典型簇或最小簇覆盖多少患者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不应随K增加而过快降到很小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候选多不等于患者多，优先看患者数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clusters under 5/10 patients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仅由少量患者支持的小簇数量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不宜大量增加</w:t>
            </w:r>
          </w:p>
        </w:tc>
        <w:tc>
          <w:tcPr>
            <w:tcW w:type="dxa" w:w="2948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小簇可能是罕见亚型，也可能是噪声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worst max patient share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最严重簇中单一患者贡献比例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越低越稳健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高值提示重复区域或患者特异模式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ARI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当前K与前一个K的聚类一致程度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稳定区间内相对较高</w:t>
            </w:r>
          </w:p>
        </w:tc>
        <w:tc>
          <w:tcPr>
            <w:tcW w:type="dxa" w:w="2948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不同K必然发生拆分，不要求接近1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NMI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两次聚类共享信息的程度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稳定区间内相对较高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需结合ARI和代表图共同判断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top5 probability drop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前5重要概念被移除后的平均影响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在合理K区间内相对稳定</w:t>
            </w:r>
          </w:p>
        </w:tc>
        <w:tc>
          <w:tcPr>
            <w:tcW w:type="dxa" w:w="2948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受掩码面积和遮挡方式影响，不是医学效应量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SSC/SDC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重要概念能否支持或破坏模型预测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主要结论不应随K剧烈反转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全黑基线异常时SSC不能常规解释</w:t>
            </w:r>
          </w:p>
        </w:tc>
      </w:tr>
    </w:tbl>
    <w:p>
      <w:pPr>
        <w:spacing w:after="20"/>
      </w:pPr>
    </w:p>
    <w:p>
      <w:pPr>
        <w:spacing w:line="300" w:lineRule="auto" w:after="100"/>
      </w:pPr>
      <w:r>
        <w:rPr>
          <w:rFonts w:ascii="Noto Sans CJK SC" w:hAnsi="Noto Sans CJK SC" w:eastAsia="宋体"/>
          <w:b w:val="0"/>
          <w:sz w:val="21"/>
        </w:rPr>
        <w:t>“肘部”不是单一数字：当继续增加K时，聚类距离改善已经较小，而小簇、患者主导和概念碎片化开始明显增加，通常说明已超过合适范围。</w:t>
      </w:r>
    </w:p>
    <w:p>
      <w:pPr>
        <w:pStyle w:val="Heading1"/>
      </w:pPr>
      <w:r>
        <w:rPr>
          <w:rFonts w:eastAsia="宋体"/>
        </w:rPr>
        <w:t>十二、医学生查看大图和扩展图的标准流程</w:t>
      </w:r>
    </w:p>
    <w:p>
      <w:pPr>
        <w:pStyle w:val="ListNumber"/>
        <w:spacing w:line="288" w:lineRule="auto" w:after="80"/>
      </w:pPr>
      <w:r>
        <w:rPr>
          <w:rFonts w:ascii="Noto Sans CJK SC" w:hAnsi="Noto Sans CJK SC" w:eastAsia="宋体"/>
          <w:b/>
          <w:sz w:val="21"/>
        </w:rPr>
        <w:t>第一轮：快速浏览每个K的分页清晰大图。</w:t>
      </w:r>
      <w:r>
        <w:rPr>
          <w:rFonts w:ascii="Noto Sans CJK SC" w:hAnsi="Noto Sans CJK SC" w:eastAsia="宋体"/>
          <w:b w:val="0"/>
          <w:sz w:val="21"/>
        </w:rPr>
        <w:t>分别查看同一模型、同一类别下不同K的“概念聚类清晰版”。先判断每簇5张代表区域是否具有共同颜色、纹理、边界、形态或位置特征。</w:t>
      </w:r>
    </w:p>
    <w:p>
      <w:pPr>
        <w:pStyle w:val="ListNumber"/>
        <w:spacing w:line="288" w:lineRule="auto" w:after="80"/>
      </w:pPr>
      <w:r>
        <w:rPr>
          <w:rFonts w:ascii="Noto Sans CJK SC" w:hAnsi="Noto Sans CJK SC" w:eastAsia="宋体"/>
          <w:b/>
          <w:sz w:val="21"/>
        </w:rPr>
        <w:t>第二轮：检查重要性前10的扩展图。</w:t>
      </w:r>
      <w:r>
        <w:rPr>
          <w:rFonts w:ascii="Noto Sans CJK SC" w:hAnsi="Noto Sans CJK SC" w:eastAsia="宋体"/>
          <w:b w:val="0"/>
          <w:sz w:val="21"/>
        </w:rPr>
        <w:t>代表图可能来自同一患者，扩展图会展示更多不同患者及原图定位。重点判断视觉模式能否跨患者重复，而不是只在一张图中成立。</w:t>
      </w:r>
    </w:p>
    <w:p>
      <w:pPr>
        <w:pStyle w:val="ListNumber"/>
        <w:spacing w:line="288" w:lineRule="auto" w:after="80"/>
      </w:pPr>
      <w:r>
        <w:rPr>
          <w:rFonts w:ascii="Noto Sans CJK SC" w:hAnsi="Noto Sans CJK SC" w:eastAsia="宋体"/>
          <w:b/>
          <w:sz w:val="21"/>
        </w:rPr>
        <w:t>第三轮：识别合并和拆分。</w:t>
      </w:r>
      <w:r>
        <w:rPr>
          <w:rFonts w:ascii="Noto Sans CJK SC" w:hAnsi="Noto Sans CJK SC" w:eastAsia="宋体"/>
          <w:b w:val="0"/>
          <w:sz w:val="21"/>
        </w:rPr>
        <w:t>比较相邻K时，不按概念编号硬对应，而按视觉内容判断：某个混杂大簇是否被拆成两个更清楚的模式；同一形态是否被拆成多个几乎相同的小簇。</w:t>
      </w:r>
    </w:p>
    <w:p>
      <w:pPr>
        <w:pStyle w:val="ListNumber"/>
        <w:spacing w:line="288" w:lineRule="auto" w:after="80"/>
      </w:pPr>
      <w:r>
        <w:rPr>
          <w:rFonts w:ascii="Noto Sans CJK SC" w:hAnsi="Noto Sans CJK SC" w:eastAsia="宋体"/>
          <w:b/>
          <w:sz w:val="21"/>
        </w:rPr>
        <w:t>第四轮：检查伪相关和病灶相关性。</w:t>
      </w:r>
      <w:r>
        <w:rPr>
          <w:rFonts w:ascii="Noto Sans CJK SC" w:hAnsi="Noto Sans CJK SC" w:eastAsia="宋体"/>
          <w:b w:val="0"/>
          <w:sz w:val="21"/>
        </w:rPr>
        <w:t>记录概念主要是病灶、正常黏膜、炎症/肠化等良性表现，还是反光、气泡、黏液、器械、暗腔、黑边、文字或设备界面。</w:t>
      </w:r>
    </w:p>
    <w:p>
      <w:pPr>
        <w:pStyle w:val="ListNumber"/>
        <w:spacing w:line="288" w:lineRule="auto" w:after="80"/>
      </w:pPr>
      <w:r>
        <w:rPr>
          <w:rFonts w:ascii="Noto Sans CJK SC" w:hAnsi="Noto Sans CJK SC" w:eastAsia="宋体"/>
          <w:b/>
          <w:sz w:val="21"/>
        </w:rPr>
        <w:t>第五轮：结合定量表复核。</w:t>
      </w:r>
      <w:r>
        <w:rPr>
          <w:rFonts w:ascii="Noto Sans CJK SC" w:hAnsi="Noto Sans CJK SC" w:eastAsia="宋体"/>
          <w:b w:val="0"/>
          <w:sz w:val="21"/>
        </w:rPr>
        <w:t>对视觉上较好的K，回看患者覆盖、小簇数、患者主导、来源富集、概率下降和SSC/SDC，排除只靠少数患者或特定来源形成的“漂亮概念”。</w:t>
      </w:r>
    </w:p>
    <w:p>
      <w:pPr>
        <w:pStyle w:val="Heading1"/>
      </w:pPr>
      <w:r>
        <w:rPr>
          <w:rFonts w:eastAsia="宋体"/>
        </w:rPr>
        <w:t>十三、跨K概念不能按编号直接对应</w:t>
      </w:r>
    </w:p>
    <w:p>
      <w:pPr>
        <w:spacing w:line="300" w:lineRule="auto" w:after="100"/>
      </w:pPr>
      <w:r>
        <w:rPr>
          <w:rFonts w:ascii="Noto Sans CJK SC" w:hAnsi="Noto Sans CJK SC" w:eastAsia="宋体"/>
          <w:b w:val="0"/>
          <w:sz w:val="21"/>
        </w:rPr>
        <w:t>K-Means的cluster_id只是每次运行内部的编号。K=20的概念03不一定对应K=25的概念03；即使两张代表图看起来相似，也需要通过候选区域重叠、患者构成和视觉内容确认。</w:t>
      </w:r>
    </w:p>
    <w:p>
      <w:pPr>
        <w:spacing w:line="300" w:lineRule="auto" w:after="100"/>
      </w:pPr>
      <w:r>
        <w:rPr>
          <w:rFonts w:ascii="Noto Sans CJK SC" w:hAnsi="Noto Sans CJK SC" w:eastAsia="宋体"/>
          <w:b w:val="0"/>
          <w:sz w:val="21"/>
        </w:rPr>
        <w:t>人工比较时建议使用“视觉主题”而不是编号，例如：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宋体"/>
          <w:b w:val="0"/>
          <w:sz w:val="21"/>
        </w:rPr>
        <w:t>局部发红伴表面结构不规则；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宋体"/>
          <w:b w:val="0"/>
          <w:sz w:val="21"/>
        </w:rPr>
        <w:t>凹陷或边界中断；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宋体"/>
          <w:b w:val="0"/>
          <w:sz w:val="21"/>
        </w:rPr>
        <w:t>正常皱襞或均匀黏膜；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宋体"/>
          <w:b w:val="0"/>
          <w:sz w:val="21"/>
        </w:rPr>
        <w:t>镜面反光、黏液或气泡；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宋体"/>
          <w:b w:val="0"/>
          <w:sz w:val="21"/>
        </w:rPr>
        <w:t>暗腔、器械、黑边或设备界面。</w:t>
      </w:r>
    </w:p>
    <w:p>
      <w:pPr>
        <w:spacing w:line="300" w:lineRule="auto" w:after="100"/>
      </w:pPr>
      <w:r>
        <w:rPr>
          <w:rFonts w:ascii="Noto Sans CJK SC" w:hAnsi="Noto Sans CJK SC" w:eastAsia="宋体"/>
          <w:b w:val="0"/>
          <w:sz w:val="21"/>
        </w:rPr>
        <w:t>如果同一视觉主题在多个相邻K中持续出现、覆盖多位患者且仍位于重要性前列，可认为该主题具有较好的聚类稳定性；但最终医学名称仍需医生确认。</w:t>
      </w:r>
    </w:p>
    <w:p>
      <w:pPr>
        <w:pStyle w:val="Heading1"/>
      </w:pPr>
      <w:r>
        <w:rPr>
          <w:rFonts w:eastAsia="宋体"/>
        </w:rPr>
        <w:t>十四、人工审核记录建议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rPr>
          <w:tblHeader w:val="true"/>
        </w:trPr>
        <w:tc>
          <w:tcPr>
            <w:tcW w:type="dxa" w:w="181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eastAsia="宋体"/>
                <w:b/>
                <w:sz w:val="18"/>
              </w:rPr>
            </w:r>
            <w:r>
              <w:rPr>
                <w:rFonts w:ascii="Noto Sans CJK SC" w:hAnsi="Noto Sans CJK SC" w:eastAsia="宋体"/>
                <w:b/>
                <w:color w:val="FFFFFF"/>
                <w:sz w:val="18"/>
              </w:rPr>
              <w:t>模型/类别</w:t>
            </w:r>
          </w:p>
        </w:tc>
        <w:tc>
          <w:tcPr>
            <w:tcW w:type="dxa" w:w="680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eastAsia="宋体"/>
                <w:b/>
                <w:sz w:val="18"/>
              </w:rPr>
            </w:r>
            <w:r>
              <w:rPr>
                <w:rFonts w:ascii="Noto Sans CJK SC" w:hAnsi="Noto Sans CJK SC" w:eastAsia="宋体"/>
                <w:b/>
                <w:color w:val="FFFFFF"/>
                <w:sz w:val="18"/>
              </w:rPr>
              <w:t>K</w:t>
            </w:r>
          </w:p>
        </w:tc>
        <w:tc>
          <w:tcPr>
            <w:tcW w:type="dxa" w:w="1417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eastAsia="宋体"/>
                <w:b/>
                <w:sz w:val="18"/>
              </w:rPr>
            </w:r>
            <w:r>
              <w:rPr>
                <w:rFonts w:ascii="Noto Sans CJK SC" w:hAnsi="Noto Sans CJK SC" w:eastAsia="宋体"/>
                <w:b/>
                <w:color w:val="FFFFFF"/>
                <w:sz w:val="18"/>
              </w:rPr>
              <w:t>视觉一致性</w:t>
            </w:r>
          </w:p>
        </w:tc>
        <w:tc>
          <w:tcPr>
            <w:tcW w:type="dxa" w:w="1531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eastAsia="宋体"/>
                <w:b/>
                <w:sz w:val="18"/>
              </w:rPr>
            </w:r>
            <w:r>
              <w:rPr>
                <w:rFonts w:ascii="Noto Sans CJK SC" w:hAnsi="Noto Sans CJK SC" w:eastAsia="宋体"/>
                <w:b/>
                <w:color w:val="FFFFFF"/>
                <w:sz w:val="18"/>
              </w:rPr>
              <w:t>可命名性</w:t>
            </w:r>
          </w:p>
        </w:tc>
        <w:tc>
          <w:tcPr>
            <w:tcW w:type="dxa" w:w="1531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eastAsia="宋体"/>
                <w:b/>
                <w:sz w:val="18"/>
              </w:rPr>
            </w:r>
            <w:r>
              <w:rPr>
                <w:rFonts w:ascii="Noto Sans CJK SC" w:hAnsi="Noto Sans CJK SC" w:eastAsia="宋体"/>
                <w:b/>
                <w:color w:val="FFFFFF"/>
                <w:sz w:val="18"/>
              </w:rPr>
              <w:t>病灶相关性</w:t>
            </w:r>
          </w:p>
        </w:tc>
        <w:tc>
          <w:tcPr>
            <w:tcW w:type="dxa" w:w="1531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eastAsia="宋体"/>
                <w:b/>
                <w:sz w:val="18"/>
              </w:rPr>
            </w:r>
            <w:r>
              <w:rPr>
                <w:rFonts w:ascii="Noto Sans CJK SC" w:hAnsi="Noto Sans CJK SC" w:eastAsia="宋体"/>
                <w:b/>
                <w:color w:val="FFFFFF"/>
                <w:sz w:val="18"/>
              </w:rPr>
              <w:t>伪相关风险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eastAsia="宋体"/>
                <w:b/>
                <w:sz w:val="18"/>
              </w:rPr>
            </w:r>
            <w:r>
              <w:rPr>
                <w:rFonts w:ascii="Noto Sans CJK SC" w:hAnsi="Noto Sans CJK SC" w:eastAsia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ResNet50 class_1</w:t>
            </w:r>
          </w:p>
        </w:tc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高/中/低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清楚/勉强/不可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高/中/低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高/中/低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记录合并、拆分和代表形态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ResNet50 class_0</w:t>
            </w:r>
          </w:p>
        </w:tc>
        <w:tc>
          <w:tcPr>
            <w:tcW w:type="dxa" w:w="680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高/中/低</w:t>
            </w:r>
          </w:p>
        </w:tc>
        <w:tc>
          <w:tcPr>
            <w:tcW w:type="dxa" w:w="1531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清楚/勉强/不可</w:t>
            </w:r>
          </w:p>
        </w:tc>
        <w:tc>
          <w:tcPr>
            <w:tcW w:type="dxa" w:w="1531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高/中/低</w:t>
            </w:r>
          </w:p>
        </w:tc>
        <w:tc>
          <w:tcPr>
            <w:tcW w:type="dxa" w:w="1531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高/中/低</w:t>
            </w:r>
          </w:p>
        </w:tc>
        <w:tc>
          <w:tcPr>
            <w:tcW w:type="dxa" w:w="2551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重点检查正常黏膜与设备特征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EfficientNet class_1</w:t>
            </w:r>
          </w:p>
        </w:tc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高/中/低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清楚/勉强/不可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高/中/低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高/中/低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与ResNet比较是否重复出现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EfficientNet class_0</w:t>
            </w:r>
          </w:p>
        </w:tc>
        <w:tc>
          <w:tcPr>
            <w:tcW w:type="dxa" w:w="680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高/中/低</w:t>
            </w:r>
          </w:p>
        </w:tc>
        <w:tc>
          <w:tcPr>
            <w:tcW w:type="dxa" w:w="1531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清楚/勉强/不可</w:t>
            </w:r>
          </w:p>
        </w:tc>
        <w:tc>
          <w:tcPr>
            <w:tcW w:type="dxa" w:w="1531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高/中/低</w:t>
            </w:r>
          </w:p>
        </w:tc>
        <w:tc>
          <w:tcPr>
            <w:tcW w:type="dxa" w:w="1531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高/中/低</w:t>
            </w:r>
          </w:p>
        </w:tc>
        <w:tc>
          <w:tcPr>
            <w:tcW w:type="dxa" w:w="2551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记录来源或画面风格富集</w:t>
            </w:r>
          </w:p>
        </w:tc>
      </w:tr>
    </w:tbl>
    <w:p>
      <w:pPr>
        <w:spacing w:after="20"/>
      </w:pPr>
    </w:p>
    <w:p>
      <w:pPr>
        <w:spacing w:line="300" w:lineRule="auto" w:after="100"/>
      </w:pPr>
      <w:r>
        <w:rPr>
          <w:rFonts w:ascii="Noto Sans CJK SC" w:hAnsi="Noto Sans CJK SC" w:eastAsia="宋体"/>
          <w:b w:val="0"/>
          <w:sz w:val="21"/>
        </w:rPr>
        <w:t>每个候选K建议至少记录以下问题：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宋体"/>
          <w:b w:val="0"/>
          <w:sz w:val="21"/>
        </w:rPr>
        <w:t>重要性前5～10概念中，有多少可以给出相对稳定的视觉描述？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宋体"/>
          <w:b w:val="0"/>
          <w:sz w:val="21"/>
        </w:rPr>
        <w:t>是否出现多个视觉上几乎相同的概念簇？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宋体"/>
          <w:b w:val="0"/>
          <w:sz w:val="21"/>
        </w:rPr>
        <w:t>是否存在将明显不同形态混合在一起的大簇？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宋体"/>
          <w:b w:val="0"/>
          <w:sz w:val="21"/>
        </w:rPr>
        <w:t>重要概念是否覆盖多位患者，而不是由一两位患者主导？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宋体"/>
          <w:b w:val="0"/>
          <w:sz w:val="21"/>
        </w:rPr>
        <w:t>癌侧概念是否落在真实病灶或病灶周围，还是主要落在反光、暗腔和设备界面？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宋体"/>
          <w:b w:val="0"/>
          <w:sz w:val="21"/>
        </w:rPr>
        <w:t>非癌侧概念是否为稳定黏膜模式，还是“没有癌特征”或来源风格的混合？</w:t>
      </w:r>
    </w:p>
    <w:p>
      <w:pPr>
        <w:pStyle w:val="Heading1"/>
      </w:pPr>
      <w:r>
        <w:rPr>
          <w:rFonts w:eastAsia="宋体"/>
        </w:rPr>
        <w:t>十五、最终选择K的推荐原则</w:t>
      </w:r>
    </w:p>
    <w:p>
      <w:pPr>
        <w:spacing w:line="300" w:lineRule="auto" w:after="100"/>
      </w:pPr>
      <w:r>
        <w:rPr>
          <w:rFonts w:ascii="Noto Sans CJK SC" w:hAnsi="Noto Sans CJK SC" w:eastAsia="宋体"/>
          <w:b w:val="0"/>
          <w:sz w:val="21"/>
        </w:rPr>
        <w:t>不建议仅凭某一个指标自动选择K。推荐采用三步决策：</w:t>
      </w:r>
    </w:p>
    <w:p>
      <w:pPr>
        <w:pStyle w:val="ListNumber"/>
        <w:spacing w:line="288" w:lineRule="auto" w:after="80"/>
      </w:pPr>
      <w:r>
        <w:rPr>
          <w:rFonts w:ascii="Noto Sans CJK SC" w:hAnsi="Noto Sans CJK SC" w:eastAsia="宋体"/>
          <w:b/>
          <w:sz w:val="21"/>
        </w:rPr>
        <w:t>算法初筛。</w:t>
      </w:r>
      <w:r>
        <w:rPr>
          <w:rFonts w:ascii="Noto Sans CJK SC" w:hAnsi="Noto Sans CJK SC" w:eastAsia="宋体"/>
          <w:b w:val="0"/>
          <w:sz w:val="21"/>
        </w:rPr>
        <w:t>从跨K汇总中找出聚类距离改善进入平台、ARI/NMI相对稳定，同时小簇和患者主导尚未明显增加的K区间。</w:t>
      </w:r>
    </w:p>
    <w:p>
      <w:pPr>
        <w:pStyle w:val="ListNumber"/>
        <w:spacing w:line="288" w:lineRule="auto" w:after="80"/>
      </w:pPr>
      <w:r>
        <w:rPr>
          <w:rFonts w:ascii="Noto Sans CJK SC" w:hAnsi="Noto Sans CJK SC" w:eastAsia="宋体"/>
          <w:b/>
          <w:sz w:val="21"/>
        </w:rPr>
        <w:t>医学盲审。</w:t>
      </w:r>
      <w:r>
        <w:rPr>
          <w:rFonts w:ascii="Noto Sans CJK SC" w:hAnsi="Noto Sans CJK SC" w:eastAsia="宋体"/>
          <w:b w:val="0"/>
          <w:sz w:val="21"/>
        </w:rPr>
        <w:t>在不先看模型指标的情况下，由医学生或医生比较候选K的大图与扩展图，评价簇内一致性、可命名性、病灶相关性和伪相关风险。</w:t>
      </w:r>
    </w:p>
    <w:p>
      <w:pPr>
        <w:pStyle w:val="ListNumber"/>
        <w:spacing w:line="288" w:lineRule="auto" w:after="80"/>
      </w:pPr>
      <w:r>
        <w:rPr>
          <w:rFonts w:ascii="Noto Sans CJK SC" w:hAnsi="Noto Sans CJK SC" w:eastAsia="宋体"/>
          <w:b/>
          <w:sz w:val="21"/>
        </w:rPr>
        <w:t>联合定稿。</w:t>
      </w:r>
      <w:r>
        <w:rPr>
          <w:rFonts w:ascii="Noto Sans CJK SC" w:hAnsi="Noto Sans CJK SC" w:eastAsia="宋体"/>
          <w:b w:val="0"/>
          <w:sz w:val="21"/>
        </w:rPr>
        <w:t>结合两个模型、两个类别的结果，选择主要医学主题稳定、解释负担可控的K。若多个K表现接近，优先选择更小、更简洁的K。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3402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eastAsia="宋体"/>
                <w:b/>
                <w:sz w:val="18"/>
              </w:rPr>
            </w:r>
            <w:r>
              <w:rPr>
                <w:rFonts w:ascii="Noto Sans CJK SC" w:hAnsi="Noto Sans CJK SC" w:eastAsia="宋体"/>
                <w:b/>
                <w:color w:val="FFFFFF"/>
                <w:sz w:val="18"/>
              </w:rPr>
              <w:t>不应采用的选法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eastAsia="宋体"/>
                <w:b/>
                <w:sz w:val="18"/>
              </w:rPr>
            </w:r>
            <w:r>
              <w:rPr>
                <w:rFonts w:ascii="Noto Sans CJK SC" w:hAnsi="Noto Sans CJK SC" w:eastAsia="宋体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直接选择惯性最小的K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惯性几乎必然随K增大而下降，最终会偏向K=50</w:t>
            </w:r>
          </w:p>
        </w:tc>
      </w:tr>
      <w:tr>
        <w:tc>
          <w:tcPr>
            <w:tcW w:type="dxa" w:w="3402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选择S_h最高的K</w:t>
            </w:r>
          </w:p>
        </w:tc>
        <w:tc>
          <w:tcPr>
            <w:tcW w:type="dxa" w:w="6236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S_h主要用于同一运行内部排序，不适合跨K单独定胜负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选择图看起来最漂亮的K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可能只展示了少数患者或存在人为挑图偏差</w:t>
            </w:r>
          </w:p>
        </w:tc>
      </w:tr>
      <w:tr>
        <w:tc>
          <w:tcPr>
            <w:tcW w:type="dxa" w:w="3402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按概念编号比较不同K</w:t>
            </w:r>
          </w:p>
        </w:tc>
        <w:tc>
          <w:tcPr>
            <w:tcW w:type="dxa" w:w="6236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编号是独立运行产生的，没有固定语义对应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在class_0和class_1之间直接比较S_h绝对值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两类独立聚类、候选构成和基线不同</w:t>
            </w:r>
          </w:p>
        </w:tc>
      </w:tr>
      <w:tr>
        <w:tc>
          <w:tcPr>
            <w:tcW w:type="dxa" w:w="3402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只分析癌侧、不检查非癌侧</w:t>
            </w:r>
          </w:p>
        </w:tc>
        <w:tc>
          <w:tcPr>
            <w:tcW w:type="dxa" w:w="6236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非癌侧有助于发现设备、来源和通用黏膜等捷径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eastAsia="宋体"/>
        </w:rPr>
        <w:t>十六、结果表述与研究边界</w:t>
      </w:r>
    </w:p>
    <w:p>
      <w:pPr>
        <w:spacing w:line="300" w:lineRule="auto" w:after="100"/>
      </w:pPr>
      <w:r>
        <w:rPr>
          <w:rFonts w:ascii="Noto Sans CJK SC" w:hAnsi="Noto Sans CJK SC" w:eastAsia="宋体"/>
          <w:b w:val="0"/>
          <w:sz w:val="21"/>
        </w:rPr>
        <w:t>本次K敏感性分析属于探索性稳健性检查。概念发现、K值比较、重要性排序和SSC/SDC仍使用同一批502张图片，不能把“某个K表现最好”解释为外部验证结果。</w:t>
      </w:r>
    </w:p>
    <w:p>
      <w:pPr>
        <w:spacing w:line="300" w:lineRule="auto" w:after="100"/>
      </w:pPr>
      <w:r>
        <w:rPr>
          <w:rFonts w:ascii="Noto Sans CJK SC" w:hAnsi="Noto Sans CJK SC" w:eastAsia="宋体"/>
          <w:b w:val="0"/>
          <w:sz w:val="21"/>
        </w:rPr>
        <w:t>推荐论文或汇报表述：在固定候选区域、模型权重和随机种子的条件下，对K=10～50进行敏感性分析；结合聚类紧凑度、跨K稳定性、患者覆盖、患者主导、概念忠实性和临床可命名性选择最终K。</w:t>
      </w:r>
    </w:p>
    <w:p>
      <w:pPr>
        <w:spacing w:line="300" w:lineRule="auto" w:after="100"/>
      </w:pPr>
      <w:r>
        <w:rPr>
          <w:rFonts w:ascii="Noto Sans CJK SC" w:hAnsi="Noto Sans CJK SC" w:eastAsia="宋体"/>
          <w:b w:val="0"/>
          <w:sz w:val="21"/>
        </w:rPr>
        <w:t>不推荐表述：通过扫描K证明某一聚类数量是唯一最优；或仅凭代表图认定模型已经学习到真实早癌病理机制。</w:t>
      </w:r>
    </w:p>
    <w:p>
      <w:pPr>
        <w:pStyle w:val="Heading1"/>
      </w:pPr>
      <w:r>
        <w:rPr>
          <w:rFonts w:eastAsia="宋体"/>
        </w:rPr>
        <w:t>十七、建议的实际阅读顺序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794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eastAsia="宋体"/>
                <w:b/>
                <w:sz w:val="18"/>
              </w:rPr>
            </w:r>
            <w:r>
              <w:rPr>
                <w:rFonts w:ascii="Noto Sans CJK SC" w:hAnsi="Noto Sans CJK SC" w:eastAsia="宋体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4252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eastAsia="宋体"/>
                <w:b/>
                <w:sz w:val="18"/>
              </w:rPr>
            </w:r>
            <w:r>
              <w:rPr>
                <w:rFonts w:ascii="Noto Sans CJK SC" w:hAnsi="Noto Sans CJK SC" w:eastAsia="宋体"/>
                <w:b/>
                <w:color w:val="FFFFFF"/>
                <w:sz w:val="18"/>
              </w:rPr>
              <w:t>文件或目录</w:t>
            </w:r>
          </w:p>
        </w:tc>
        <w:tc>
          <w:tcPr>
            <w:tcW w:type="dxa" w:w="481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eastAsia="宋体"/>
                <w:b/>
                <w:sz w:val="18"/>
              </w:rPr>
            </w:r>
            <w:r>
              <w:rPr>
                <w:rFonts w:ascii="Noto Sans CJK SC" w:hAnsi="Noto Sans CJK SC" w:eastAsia="宋体"/>
                <w:b/>
                <w:color w:val="FFFFFF"/>
                <w:sz w:val="18"/>
              </w:rPr>
              <w:t>主要任务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1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自动分析/K敏感性汇总.xlsx与汇总图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筛出距离平台、稳定性和患者覆盖较合理的K区间</w:t>
            </w:r>
          </w:p>
        </w:tc>
      </w:tr>
      <w:tr>
        <w:tc>
          <w:tcPr>
            <w:tcW w:type="dxa" w:w="794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2</w:t>
            </w:r>
          </w:p>
        </w:tc>
        <w:tc>
          <w:tcPr>
            <w:tcW w:type="dxa" w:w="4252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各K/概念聚类清晰版</w:t>
            </w:r>
          </w:p>
        </w:tc>
        <w:tc>
          <w:tcPr>
            <w:tcW w:type="dxa" w:w="4819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快速判断簇内一致性、概念合并与碎片化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3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各K/重要概念扩展图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检查跨患者复现和原图定位</w:t>
            </w:r>
          </w:p>
        </w:tc>
      </w:tr>
      <w:tr>
        <w:tc>
          <w:tcPr>
            <w:tcW w:type="dxa" w:w="794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4</w:t>
            </w:r>
          </w:p>
        </w:tc>
        <w:tc>
          <w:tcPr>
            <w:tcW w:type="dxa" w:w="4252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important_clusters.csv与cluster_quality.png</w:t>
            </w:r>
          </w:p>
        </w:tc>
        <w:tc>
          <w:tcPr>
            <w:tcW w:type="dxa" w:w="4819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联合重要性、覆盖、患者主导和来源富集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5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典型案例图与typical_cases.csv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检查必要性、充分性、反向贡献和遮挡影响</w:t>
            </w:r>
          </w:p>
        </w:tc>
      </w:tr>
      <w:tr>
        <w:tc>
          <w:tcPr>
            <w:tcW w:type="dxa" w:w="794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6</w:t>
            </w:r>
          </w:p>
        </w:tc>
        <w:tc>
          <w:tcPr>
            <w:tcW w:type="dxa" w:w="4252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SSC/SDC曲线及原始表</w:t>
            </w:r>
          </w:p>
        </w:tc>
        <w:tc>
          <w:tcPr>
            <w:tcW w:type="dxa" w:w="4819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判断前5概念对模型预测的忠实性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7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医生概念命名表.xlsx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eastAsia="宋体"/>
              </w:rPr>
            </w:r>
            <w:r>
              <w:rPr>
                <w:rFonts w:ascii="Noto Sans CJK SC" w:hAnsi="Noto Sans CJK SC" w:eastAsia="宋体"/>
                <w:b w:val="0"/>
                <w:sz w:val="18"/>
              </w:rPr>
              <w:t>记录医学名称、病灶相关性、伪相关及审核共识</w:t>
            </w:r>
          </w:p>
        </w:tc>
      </w:tr>
    </w:tbl>
    <w:p>
      <w:pPr>
        <w:spacing w:after="20"/>
      </w:pPr>
    </w:p>
    <w:p>
      <w:r>
        <w:rPr>
          <w:rFonts w:eastAsia="宋体"/>
        </w:rPr>
        <w:br w:type="page"/>
      </w:r>
    </w:p>
    <w:p>
      <w:pPr>
        <w:pStyle w:val="Heading1"/>
      </w:pPr>
      <w:r>
        <w:rPr>
          <w:rFonts w:eastAsia="宋体"/>
        </w:rPr>
        <w:t>十八、本次跨K总体结果（自动量化初筛）</w:t>
      </w:r>
    </w:p>
    <w:p>
      <w:r>
        <w:rPr>
          <w:rFonts w:eastAsia="宋体"/>
        </w:rPr>
        <w:t>本轮已完成2个模型×2个类别×9个K值，共36组分析。所有组均使用同一严格平衡集（157位癌患者、157位非癌患者）、同一模型权重和冻结候选区域；因此候选区域数在同一模型同一类别下不随K变化。ResNet50提取非癌候选区域23,351个、癌候选区域25,066个；EfficientNet-B0分别为37,007个和37,745个。跨K汇总表不存在除首个K无“前一K”可比较之外的指标缺失。</w:t>
      </w:r>
    </w:p>
    <w:p>
      <w:r>
        <w:rPr>
          <w:rFonts w:eastAsia="宋体"/>
        </w:rPr>
        <w:t>自动量化初筛结论如下：</w:t>
      </w:r>
    </w:p>
    <w:p>
      <w:pPr>
        <w:pStyle w:val="ListBullet"/>
      </w:pPr>
      <w:r>
        <w:rPr>
          <w:rFonts w:eastAsia="宋体"/>
        </w:rPr>
        <w:t>建议把K=20、25、30作为主要人工复核范围，其中K=25为首选候选值；K=35只作为观察过度拆分的对照，不建议直接进入正式命名。</w:t>
      </w:r>
    </w:p>
    <w:p>
      <w:pPr>
        <w:pStyle w:val="ListBullet"/>
      </w:pPr>
      <w:r>
        <w:rPr>
          <w:rFonts w:eastAsia="宋体"/>
        </w:rPr>
        <w:t>K从25继续增加到50时，四个模型/类别组合的每候选区域惯性仅再下降3.45%～4.95%，但部分组合的单患者主导明显恶化，说明后半段获得的紧凑度收益有限。</w:t>
      </w:r>
    </w:p>
    <w:p>
      <w:pPr>
        <w:pStyle w:val="ListBullet"/>
      </w:pPr>
      <w:r>
        <w:rPr>
          <w:rFonts w:eastAsia="宋体"/>
        </w:rPr>
        <w:t>K=25时四个组合均没有少于10位患者支持的概念簇；典型簇覆盖患者数中位数为132～142位，患者覆盖总体充足。</w:t>
      </w:r>
    </w:p>
    <w:p>
      <w:pPr>
        <w:pStyle w:val="ListBullet"/>
      </w:pPr>
      <w:r>
        <w:rPr>
          <w:rFonts w:eastAsia="宋体"/>
        </w:rPr>
        <w:t>K≥35并非所有结果都失败，但已经出现明确的碎片化警报：ResNet50癌侧K=35出现仅8位患者支持、单患者贡献45.9%的概念簇；EfficientNet-B0非癌侧从K=30开始出现单患者主导比例快速上升。</w:t>
      </w:r>
    </w:p>
    <w:p>
      <w:pPr>
        <w:pStyle w:val="ListBullet"/>
      </w:pPr>
      <w:r>
        <w:rPr>
          <w:rFonts w:eastAsia="宋体"/>
        </w:rPr>
        <w:t>K=10或15患者覆盖最好，但定量指标不能判断其是否把不同临床形态混在同一簇中；是否“过粗”必须通过大图肉眼审核，不能仅凭曲线排除。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</w:tcPr>
          <w:p>
            <w:r>
              <w:rPr>
                <w:rFonts w:eastAsia="宋体"/>
                <w:b/>
                <w:sz w:val="18"/>
              </w:rPr>
              <w:t>模型/类别</w:t>
            </w:r>
          </w:p>
        </w:tc>
        <w:tc>
          <w:tcPr>
            <w:tcW w:type="dxa" w:w="1586"/>
          </w:tcPr>
          <w:p>
            <w:r>
              <w:rPr>
                <w:rFonts w:eastAsia="宋体"/>
                <w:b/>
                <w:sz w:val="18"/>
              </w:rPr>
              <w:t>K=25候选区域数</w:t>
            </w:r>
          </w:p>
        </w:tc>
        <w:tc>
          <w:tcPr>
            <w:tcW w:type="dxa" w:w="1586"/>
          </w:tcPr>
          <w:p>
            <w:r>
              <w:rPr>
                <w:rFonts w:eastAsia="宋体"/>
                <w:b/>
                <w:sz w:val="18"/>
              </w:rPr>
              <w:t>典型簇患者数中位数</w:t>
            </w:r>
          </w:p>
        </w:tc>
        <w:tc>
          <w:tcPr>
            <w:tcW w:type="dxa" w:w="1586"/>
          </w:tcPr>
          <w:p>
            <w:r>
              <w:rPr>
                <w:rFonts w:eastAsia="宋体"/>
                <w:b/>
                <w:sz w:val="18"/>
              </w:rPr>
              <w:t>最小簇患者数</w:t>
            </w:r>
          </w:p>
        </w:tc>
        <w:tc>
          <w:tcPr>
            <w:tcW w:type="dxa" w:w="1586"/>
          </w:tcPr>
          <w:p>
            <w:r>
              <w:rPr>
                <w:rFonts w:eastAsia="宋体"/>
                <w:b/>
                <w:sz w:val="18"/>
              </w:rPr>
              <w:t>最严重单患者占比</w:t>
            </w:r>
          </w:p>
        </w:tc>
        <w:tc>
          <w:tcPr>
            <w:tcW w:type="dxa" w:w="1586"/>
          </w:tcPr>
          <w:p>
            <w:r>
              <w:rPr>
                <w:rFonts w:eastAsia="宋体"/>
                <w:b/>
                <w:sz w:val="18"/>
              </w:rPr>
              <w:t>前5概念平均概率下降</w:t>
            </w:r>
          </w:p>
        </w:tc>
      </w:tr>
      <w:tr>
        <w:tc>
          <w:tcPr>
            <w:tcW w:type="dxa" w:w="1586"/>
          </w:tcPr>
          <w:p>
            <w:r>
              <w:rPr>
                <w:rFonts w:eastAsia="宋体"/>
              </w:rPr>
              <w:t>ResNet50 非癌</w:t>
            </w:r>
          </w:p>
        </w:tc>
        <w:tc>
          <w:tcPr>
            <w:tcW w:type="dxa" w:w="1586"/>
          </w:tcPr>
          <w:p>
            <w:r>
              <w:rPr>
                <w:rFonts w:eastAsia="宋体"/>
              </w:rPr>
              <w:t>23,351</w:t>
            </w:r>
          </w:p>
        </w:tc>
        <w:tc>
          <w:tcPr>
            <w:tcW w:type="dxa" w:w="1586"/>
          </w:tcPr>
          <w:p>
            <w:r>
              <w:rPr>
                <w:rFonts w:eastAsia="宋体"/>
              </w:rPr>
              <w:t>139</w:t>
            </w:r>
          </w:p>
        </w:tc>
        <w:tc>
          <w:tcPr>
            <w:tcW w:type="dxa" w:w="1586"/>
          </w:tcPr>
          <w:p>
            <w:r>
              <w:rPr>
                <w:rFonts w:eastAsia="宋体"/>
              </w:rPr>
              <w:t>53</w:t>
            </w:r>
          </w:p>
        </w:tc>
        <w:tc>
          <w:tcPr>
            <w:tcW w:type="dxa" w:w="1586"/>
          </w:tcPr>
          <w:p>
            <w:r>
              <w:rPr>
                <w:rFonts w:eastAsia="宋体"/>
              </w:rPr>
              <w:t>19.8%</w:t>
            </w:r>
          </w:p>
        </w:tc>
        <w:tc>
          <w:tcPr>
            <w:tcW w:type="dxa" w:w="1586"/>
          </w:tcPr>
          <w:p>
            <w:r>
              <w:rPr>
                <w:rFonts w:eastAsia="宋体"/>
              </w:rPr>
              <w:t>0.007</w:t>
            </w:r>
          </w:p>
        </w:tc>
      </w:tr>
      <w:tr>
        <w:tc>
          <w:tcPr>
            <w:tcW w:type="dxa" w:w="1586"/>
          </w:tcPr>
          <w:p>
            <w:r>
              <w:rPr>
                <w:rFonts w:eastAsia="宋体"/>
              </w:rPr>
              <w:t>ResNet50 癌</w:t>
            </w:r>
          </w:p>
        </w:tc>
        <w:tc>
          <w:tcPr>
            <w:tcW w:type="dxa" w:w="1586"/>
          </w:tcPr>
          <w:p>
            <w:r>
              <w:rPr>
                <w:rFonts w:eastAsia="宋体"/>
              </w:rPr>
              <w:t>25,066</w:t>
            </w:r>
          </w:p>
        </w:tc>
        <w:tc>
          <w:tcPr>
            <w:tcW w:type="dxa" w:w="1586"/>
          </w:tcPr>
          <w:p>
            <w:r>
              <w:rPr>
                <w:rFonts w:eastAsia="宋体"/>
              </w:rPr>
              <w:t>134</w:t>
            </w:r>
          </w:p>
        </w:tc>
        <w:tc>
          <w:tcPr>
            <w:tcW w:type="dxa" w:w="1586"/>
          </w:tcPr>
          <w:p>
            <w:r>
              <w:rPr>
                <w:rFonts w:eastAsia="宋体"/>
              </w:rPr>
              <w:t>81</w:t>
            </w:r>
          </w:p>
        </w:tc>
        <w:tc>
          <w:tcPr>
            <w:tcW w:type="dxa" w:w="1586"/>
          </w:tcPr>
          <w:p>
            <w:r>
              <w:rPr>
                <w:rFonts w:eastAsia="宋体"/>
              </w:rPr>
              <w:t>10.6%</w:t>
            </w:r>
          </w:p>
        </w:tc>
        <w:tc>
          <w:tcPr>
            <w:tcW w:type="dxa" w:w="1586"/>
          </w:tcPr>
          <w:p>
            <w:r>
              <w:rPr>
                <w:rFonts w:eastAsia="宋体"/>
              </w:rPr>
              <w:t>0.224</w:t>
            </w:r>
          </w:p>
        </w:tc>
      </w:tr>
      <w:tr>
        <w:tc>
          <w:tcPr>
            <w:tcW w:type="dxa" w:w="1586"/>
          </w:tcPr>
          <w:p>
            <w:r>
              <w:rPr>
                <w:rFonts w:eastAsia="宋体"/>
              </w:rPr>
              <w:t>EfficientNet-B0 非癌</w:t>
            </w:r>
          </w:p>
        </w:tc>
        <w:tc>
          <w:tcPr>
            <w:tcW w:type="dxa" w:w="1586"/>
          </w:tcPr>
          <w:p>
            <w:r>
              <w:rPr>
                <w:rFonts w:eastAsia="宋体"/>
              </w:rPr>
              <w:t>37,007</w:t>
            </w:r>
          </w:p>
        </w:tc>
        <w:tc>
          <w:tcPr>
            <w:tcW w:type="dxa" w:w="1586"/>
          </w:tcPr>
          <w:p>
            <w:r>
              <w:rPr>
                <w:rFonts w:eastAsia="宋体"/>
              </w:rPr>
              <w:t>142</w:t>
            </w:r>
          </w:p>
        </w:tc>
        <w:tc>
          <w:tcPr>
            <w:tcW w:type="dxa" w:w="1586"/>
          </w:tcPr>
          <w:p>
            <w:r>
              <w:rPr>
                <w:rFonts w:eastAsia="宋体"/>
              </w:rPr>
              <w:t>84</w:t>
            </w:r>
          </w:p>
        </w:tc>
        <w:tc>
          <w:tcPr>
            <w:tcW w:type="dxa" w:w="1586"/>
          </w:tcPr>
          <w:p>
            <w:r>
              <w:rPr>
                <w:rFonts w:eastAsia="宋体"/>
              </w:rPr>
              <w:t>22.9%</w:t>
            </w:r>
          </w:p>
        </w:tc>
        <w:tc>
          <w:tcPr>
            <w:tcW w:type="dxa" w:w="1586"/>
          </w:tcPr>
          <w:p>
            <w:r>
              <w:rPr>
                <w:rFonts w:eastAsia="宋体"/>
              </w:rPr>
              <w:t>0.009</w:t>
            </w:r>
          </w:p>
        </w:tc>
      </w:tr>
      <w:tr>
        <w:tc>
          <w:tcPr>
            <w:tcW w:type="dxa" w:w="1586"/>
          </w:tcPr>
          <w:p>
            <w:r>
              <w:rPr>
                <w:rFonts w:eastAsia="宋体"/>
              </w:rPr>
              <w:t>EfficientNet-B0 癌</w:t>
            </w:r>
          </w:p>
        </w:tc>
        <w:tc>
          <w:tcPr>
            <w:tcW w:type="dxa" w:w="1586"/>
          </w:tcPr>
          <w:p>
            <w:r>
              <w:rPr>
                <w:rFonts w:eastAsia="宋体"/>
              </w:rPr>
              <w:t>37,745</w:t>
            </w:r>
          </w:p>
        </w:tc>
        <w:tc>
          <w:tcPr>
            <w:tcW w:type="dxa" w:w="1586"/>
          </w:tcPr>
          <w:p>
            <w:r>
              <w:rPr>
                <w:rFonts w:eastAsia="宋体"/>
              </w:rPr>
              <w:t>132</w:t>
            </w:r>
          </w:p>
        </w:tc>
        <w:tc>
          <w:tcPr>
            <w:tcW w:type="dxa" w:w="1586"/>
          </w:tcPr>
          <w:p>
            <w:r>
              <w:rPr>
                <w:rFonts w:eastAsia="宋体"/>
              </w:rPr>
              <w:t>43</w:t>
            </w:r>
          </w:p>
        </w:tc>
        <w:tc>
          <w:tcPr>
            <w:tcW w:type="dxa" w:w="1586"/>
          </w:tcPr>
          <w:p>
            <w:r>
              <w:rPr>
                <w:rFonts w:eastAsia="宋体"/>
              </w:rPr>
              <w:t>38.5%</w:t>
            </w:r>
          </w:p>
        </w:tc>
        <w:tc>
          <w:tcPr>
            <w:tcW w:type="dxa" w:w="1586"/>
          </w:tcPr>
          <w:p>
            <w:r>
              <w:rPr>
                <w:rFonts w:eastAsia="宋体"/>
              </w:rPr>
              <w:t>0.141</w:t>
            </w:r>
          </w:p>
        </w:tc>
      </w:tr>
    </w:tbl>
    <w:p>
      <w:r>
        <w:rPr>
          <w:rFonts w:eastAsia="宋体"/>
        </w:rPr>
        <w:t>表中“最严重单患者占比”是风险筛查指标，不代表整个K都由单个患者决定。例如EfficientNet-B0癌侧K=25的最高值38.5%来自概念12：该簇仍覆盖43位患者，但其中一位患者贡献较多候选区域。该概念应被优先人工查看，而不是据此否定全部K=25结果。</w:t>
      </w:r>
    </w:p>
    <w:p>
      <w:pPr>
        <w:pStyle w:val="Heading1"/>
      </w:pPr>
      <w:r>
        <w:rPr>
          <w:rFonts w:eastAsia="宋体"/>
        </w:rPr>
        <w:t>十九、如何理解SSC、SDC与概率下降</w:t>
      </w:r>
    </w:p>
    <w:p>
      <w:r>
        <w:rPr>
          <w:rFonts w:eastAsia="宋体"/>
        </w:rPr>
        <w:t>本次结果再次说明，SSC、SDC和概率下降主要用于判断概念对原分类模型的忠实性，而不是评价聚类形态是否“医学上更好”，也不适合单独优化K。</w:t>
      </w:r>
    </w:p>
    <w:p>
      <w:pPr>
        <w:pStyle w:val="ListBullet"/>
      </w:pPr>
      <w:r>
        <w:rPr>
          <w:rFonts w:eastAsia="宋体"/>
        </w:rPr>
        <w:t>K=25时，癌侧前5概念平均概率下降为ResNet50的0.224和EfficientNet-B0的0.141，明显高于非癌侧的0.007和0.009。这说明癌判断更集中地依赖少数概念，而非癌判断可能更分散，或更多体现为癌特征的缺失。</w:t>
      </w:r>
    </w:p>
    <w:p>
      <w:pPr>
        <w:pStyle w:val="ListBullet"/>
      </w:pPr>
      <w:r>
        <w:rPr>
          <w:rFonts w:eastAsia="宋体"/>
        </w:rPr>
        <w:t>非癌侧概率下降很小不等于非癌聚类无意义，也不能据此断言癌概念一定更真实；仍需查看候选区域是否为黏膜结构、病灶、反光、黏液、暗腔或设备残留。</w:t>
      </w:r>
    </w:p>
    <w:p>
      <w:pPr>
        <w:pStyle w:val="ListBullet"/>
      </w:pPr>
      <w:r>
        <w:rPr>
          <w:rFonts w:eastAsia="宋体"/>
        </w:rPr>
        <w:t>SSC/SDC随K不要求单调变化。K改变后，概念边界及重要性前5的成员都会改变，因此曲线波动不能直接解释为模型性能变好或变差。</w:t>
      </w:r>
    </w:p>
    <w:p>
      <w:pPr>
        <w:pStyle w:val="ListBullet"/>
      </w:pPr>
      <w:r>
        <w:rPr>
          <w:rFonts w:eastAsia="宋体"/>
        </w:rPr>
        <w:t>class_0与class_1、ResNet50与EfficientNet-B0的S_h、SSC、SDC绝对值均不宜横向硬比较；应优先在同一模型同一类别内比较相邻K，并结合大图。</w:t>
      </w:r>
    </w:p>
    <w:p>
      <w:pPr>
        <w:pStyle w:val="Heading1"/>
      </w:pPr>
      <w:r>
        <w:rPr>
          <w:rFonts w:eastAsia="宋体"/>
        </w:rPr>
        <w:t>二十、建议的人工复核范围与具体任务</w:t>
      </w:r>
    </w:p>
    <w:p>
      <w:r>
        <w:rPr>
          <w:rFonts w:eastAsia="宋体"/>
        </w:rPr>
        <w:t>为控制工作量，第一轮不需要平均查看九个K。建议对四个模型/类别组合采用同一复核顺序：先看K=25，再看K=20和K=30，最后只用K=35确认是否已经出现概念碎片化。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eastAsia="宋体"/>
                <w:b/>
                <w:sz w:val="18"/>
              </w:rPr>
              <w:t>优先级</w:t>
            </w:r>
          </w:p>
        </w:tc>
        <w:tc>
          <w:tcPr>
            <w:tcW w:type="dxa" w:w="2379"/>
          </w:tcPr>
          <w:p>
            <w:r>
              <w:rPr>
                <w:rFonts w:eastAsia="宋体"/>
                <w:b/>
                <w:sz w:val="18"/>
              </w:rPr>
              <w:t>K值</w:t>
            </w:r>
          </w:p>
        </w:tc>
        <w:tc>
          <w:tcPr>
            <w:tcW w:type="dxa" w:w="2379"/>
          </w:tcPr>
          <w:p>
            <w:r>
              <w:rPr>
                <w:rFonts w:eastAsia="宋体"/>
                <w:b/>
                <w:sz w:val="18"/>
              </w:rPr>
              <w:t>查看目的</w:t>
            </w:r>
          </w:p>
        </w:tc>
        <w:tc>
          <w:tcPr>
            <w:tcW w:type="dxa" w:w="2379"/>
          </w:tcPr>
          <w:p>
            <w:r>
              <w:rPr>
                <w:rFonts w:eastAsia="宋体"/>
                <w:b/>
                <w:sz w:val="18"/>
              </w:rPr>
              <w:t>通过标准</w:t>
            </w:r>
          </w:p>
        </w:tc>
      </w:tr>
      <w:tr>
        <w:tc>
          <w:tcPr>
            <w:tcW w:type="dxa" w:w="2379"/>
          </w:tcPr>
          <w:p>
            <w:r>
              <w:rPr>
                <w:rFonts w:eastAsia="宋体"/>
              </w:rPr>
              <w:t>1</w:t>
            </w:r>
          </w:p>
        </w:tc>
        <w:tc>
          <w:tcPr>
            <w:tcW w:type="dxa" w:w="2379"/>
          </w:tcPr>
          <w:p>
            <w:r>
              <w:rPr>
                <w:rFonts w:eastAsia="宋体"/>
              </w:rPr>
              <w:t>25</w:t>
            </w:r>
          </w:p>
        </w:tc>
        <w:tc>
          <w:tcPr>
            <w:tcW w:type="dxa" w:w="2379"/>
          </w:tcPr>
          <w:p>
            <w:r>
              <w:rPr>
                <w:rFonts w:eastAsia="宋体"/>
              </w:rPr>
              <w:t>首选候选值与原正式结果</w:t>
            </w:r>
          </w:p>
        </w:tc>
        <w:tc>
          <w:tcPr>
            <w:tcW w:type="dxa" w:w="2379"/>
          </w:tcPr>
          <w:p>
            <w:r>
              <w:rPr>
                <w:rFonts w:eastAsia="宋体"/>
              </w:rPr>
              <w:t>主要概念可命名、跨患者重复、无明显伪影主导</w:t>
            </w:r>
          </w:p>
        </w:tc>
      </w:tr>
      <w:tr>
        <w:tc>
          <w:tcPr>
            <w:tcW w:type="dxa" w:w="2379"/>
          </w:tcPr>
          <w:p>
            <w:r>
              <w:rPr>
                <w:rFonts w:eastAsia="宋体"/>
              </w:rPr>
              <w:t>2</w:t>
            </w:r>
          </w:p>
        </w:tc>
        <w:tc>
          <w:tcPr>
            <w:tcW w:type="dxa" w:w="2379"/>
          </w:tcPr>
          <w:p>
            <w:r>
              <w:rPr>
                <w:rFonts w:eastAsia="宋体"/>
              </w:rPr>
              <w:t>20</w:t>
            </w:r>
          </w:p>
        </w:tc>
        <w:tc>
          <w:tcPr>
            <w:tcW w:type="dxa" w:w="2379"/>
          </w:tcPr>
          <w:p>
            <w:r>
              <w:rPr>
                <w:rFonts w:eastAsia="宋体"/>
              </w:rPr>
              <w:t>检查K=25是否进行了有意义的拆分</w:t>
            </w:r>
          </w:p>
        </w:tc>
        <w:tc>
          <w:tcPr>
            <w:tcW w:type="dxa" w:w="2379"/>
          </w:tcPr>
          <w:p>
            <w:r>
              <w:rPr>
                <w:rFonts w:eastAsia="宋体"/>
              </w:rPr>
              <w:t>K=20若明显混合多种形态，支持保留K=25</w:t>
            </w:r>
          </w:p>
        </w:tc>
      </w:tr>
      <w:tr>
        <w:tc>
          <w:tcPr>
            <w:tcW w:type="dxa" w:w="2379"/>
          </w:tcPr>
          <w:p>
            <w:r>
              <w:rPr>
                <w:rFonts w:eastAsia="宋体"/>
              </w:rPr>
              <w:t>3</w:t>
            </w:r>
          </w:p>
        </w:tc>
        <w:tc>
          <w:tcPr>
            <w:tcW w:type="dxa" w:w="2379"/>
          </w:tcPr>
          <w:p>
            <w:r>
              <w:rPr>
                <w:rFonts w:eastAsia="宋体"/>
              </w:rPr>
              <w:t>30</w:t>
            </w:r>
          </w:p>
        </w:tc>
        <w:tc>
          <w:tcPr>
            <w:tcW w:type="dxa" w:w="2379"/>
          </w:tcPr>
          <w:p>
            <w:r>
              <w:rPr>
                <w:rFonts w:eastAsia="宋体"/>
              </w:rPr>
              <w:t>检查增加5个簇是否带来新医学主题</w:t>
            </w:r>
          </w:p>
        </w:tc>
        <w:tc>
          <w:tcPr>
            <w:tcW w:type="dxa" w:w="2379"/>
          </w:tcPr>
          <w:p>
            <w:r>
              <w:rPr>
                <w:rFonts w:eastAsia="宋体"/>
              </w:rPr>
              <w:t>若只是重复拆分或患者主导，不支持升到K=30</w:t>
            </w:r>
          </w:p>
        </w:tc>
      </w:tr>
      <w:tr>
        <w:tc>
          <w:tcPr>
            <w:tcW w:type="dxa" w:w="2379"/>
          </w:tcPr>
          <w:p>
            <w:r>
              <w:rPr>
                <w:rFonts w:eastAsia="宋体"/>
              </w:rPr>
              <w:t>4</w:t>
            </w:r>
          </w:p>
        </w:tc>
        <w:tc>
          <w:tcPr>
            <w:tcW w:type="dxa" w:w="2379"/>
          </w:tcPr>
          <w:p>
            <w:r>
              <w:rPr>
                <w:rFonts w:eastAsia="宋体"/>
              </w:rPr>
              <w:t>35</w:t>
            </w:r>
          </w:p>
        </w:tc>
        <w:tc>
          <w:tcPr>
            <w:tcW w:type="dxa" w:w="2379"/>
          </w:tcPr>
          <w:p>
            <w:r>
              <w:rPr>
                <w:rFonts w:eastAsia="宋体"/>
              </w:rPr>
              <w:t>作为过度拆分风险对照</w:t>
            </w:r>
          </w:p>
        </w:tc>
        <w:tc>
          <w:tcPr>
            <w:tcW w:type="dxa" w:w="2379"/>
          </w:tcPr>
          <w:p>
            <w:r>
              <w:rPr>
                <w:rFonts w:eastAsia="宋体"/>
              </w:rPr>
              <w:t>重点寻找小簇、近重复簇和单患者特异模式</w:t>
            </w:r>
          </w:p>
        </w:tc>
      </w:tr>
    </w:tbl>
    <w:p>
      <w:r>
        <w:rPr>
          <w:rFonts w:eastAsia="宋体"/>
        </w:rPr>
        <w:t>以下概念簇建议优先打开扩展图核查：</w:t>
      </w:r>
    </w:p>
    <w:p>
      <w:pPr>
        <w:pStyle w:val="ListBullet"/>
      </w:pPr>
      <w:r>
        <w:rPr>
          <w:rFonts w:eastAsia="宋体"/>
        </w:rPr>
        <w:t>EfficientNet-B0 癌侧K=25：概念12，覆盖43位患者，但最主要患者贡献38.5%；核查是否为患者特异图像风格、重复区域或真实少见形态。</w:t>
      </w:r>
    </w:p>
    <w:p>
      <w:pPr>
        <w:pStyle w:val="ListBullet"/>
      </w:pPr>
      <w:r>
        <w:rPr>
          <w:rFonts w:eastAsia="宋体"/>
        </w:rPr>
        <w:t>EfficientNet-B0 非癌侧K=30：概念14，覆盖49位患者，最主要患者贡献48.4%；这是该模型从K=25到K=30风险明显上升的关键簇。</w:t>
      </w:r>
    </w:p>
    <w:p>
      <w:pPr>
        <w:pStyle w:val="ListBullet"/>
      </w:pPr>
      <w:r>
        <w:rPr>
          <w:rFonts w:eastAsia="宋体"/>
        </w:rPr>
        <w:t>ResNet50 癌侧K=35：概念32，仅覆盖8位患者，最主要患者贡献45.9%；用于判断K=35是否已经把患者特异表现单独切成碎片簇。</w:t>
      </w:r>
    </w:p>
    <w:p>
      <w:pPr>
        <w:pStyle w:val="ListBullet"/>
      </w:pPr>
      <w:r>
        <w:rPr>
          <w:rFonts w:eastAsia="宋体"/>
        </w:rPr>
        <w:t>EfficientNet-B0 非癌侧K=50：概念15，仅覆盖14位患者，最主要患者贡献88.2%；这是高K过度拆分的典型警报，不建议作为正式医学概念直接命名。</w:t>
      </w:r>
    </w:p>
    <w:p>
      <w:r>
        <w:rPr>
          <w:rFonts w:eastAsia="宋体"/>
        </w:rPr>
        <w:t>人工审核时，每个候选K至少记录四项：簇内视觉一致性、能否给出稳定医学描述、是否跨患者复现、是否由反光/黏液/暗腔/器械/设备界面等伪特征主导。建议先独立记录视觉判断，再打开重要性和概率下降表，减少模型分数对医学命名的先入为主影响。</w:t>
      </w:r>
    </w:p>
    <w:p>
      <w:pPr>
        <w:pStyle w:val="Heading1"/>
      </w:pPr>
      <w:r>
        <w:rPr>
          <w:rFonts w:eastAsia="宋体"/>
        </w:rPr>
        <w:t>二十一、当前暂定结论与定稿规则</w:t>
      </w:r>
    </w:p>
    <w:p>
      <w:pPr>
        <w:pStyle w:val="ListBullet"/>
      </w:pPr>
      <w:r>
        <w:rPr>
          <w:rFonts w:eastAsia="宋体"/>
        </w:rPr>
        <w:t>当前暂定保留K=25作为两个模型、两个类别的共同正式K。它在患者覆盖、聚类稳定性、解释工作量和既有正式结果连续性之间较均衡。</w:t>
      </w:r>
    </w:p>
    <w:p>
      <w:pPr>
        <w:pStyle w:val="ListBullet"/>
      </w:pPr>
      <w:r>
        <w:rPr>
          <w:rFonts w:eastAsia="宋体"/>
        </w:rPr>
        <w:t>这一结论属于自动量化初筛，不等于临床审核已经通过。完成K=20/25/30的盲审后，若K=25的主要概念比K=20更清晰，同时没有K=30的明显重复拆分，则正式确认K=25。</w:t>
      </w:r>
    </w:p>
    <w:p>
      <w:pPr>
        <w:pStyle w:val="ListBullet"/>
      </w:pPr>
      <w:r>
        <w:rPr>
          <w:rFonts w:eastAsia="宋体"/>
        </w:rPr>
        <w:t>若K=20、25、30的医学主题高度相似，优先采用较小且更容易解释的K；若两个模型的最佳颗粒度不同，主分析仍建议使用共同K，并把模型特异K作为敏感性补充，避免事后为每个模型挑选最有利的K。</w:t>
      </w:r>
    </w:p>
    <w:p>
      <w:pPr>
        <w:pStyle w:val="ListBullet"/>
      </w:pPr>
      <w:r>
        <w:rPr>
          <w:rFonts w:eastAsia="宋体"/>
        </w:rPr>
        <w:t>最终报告应同时保留跨K汇总表、候选K人工审核记录及高风险概念簇说明，使K的选择可以追溯，而不是只给出一个最终数字。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CJK SC" w:hAnsi="Noto Sans CJK SC" w:eastAsia="Noto Sans CJK SC"/>
        <w:b w:val="0"/>
        <w:color w:val="787878"/>
        <w:sz w:val="16"/>
      </w:rPr>
      <w:t>胃早癌概念提取项目 · 数据筛选与K值分析说明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8608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医学生整理概念集筛选、MOCE严格平衡集构建及聚类数量分析说明</dc:title>
  <dc:subject>MOCE数据筛选与K-Means聚类数量敏感性分析</dc:subject>
  <dc:creator>python-docx</dc:creator>
  <cp:keywords/>
  <dc:description>v2.1补充K=10～50实测结果、自动量化初筛结论及人工复核任务。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