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Microsoft YaHei" w:hAnsi="Microsoft YaHei" w:eastAsia="Microsoft YaHei"/>
          <w:b/>
          <w:color w:val="0D569A"/>
          <w:sz w:val="44"/>
        </w:rPr>
        <w:t>SHARP论文精读、源码复现与课题启发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667C97"/>
          <w:sz w:val="22"/>
        </w:rPr>
        <w:t>逐页汇报讲稿｜建议总时长：12-15分钟</w:t>
      </w:r>
    </w:p>
    <w:p>
      <w:pPr>
        <w:spacing w:after="240"/>
      </w:pPr>
      <w:r>
        <w:rPr>
          <w:rFonts w:ascii="Microsoft YaHei" w:hAnsi="Microsoft YaHei" w:eastAsia="Microsoft YaHei"/>
          <w:b w:val="0"/>
          <w:color w:val="667C97"/>
          <w:sz w:val="20"/>
        </w:rPr>
        <w:t>汇报人：孟辰洋　　日期：2026.7.17</w:t>
      </w:r>
    </w:p>
    <w:p>
      <w:pPr>
        <w:pStyle w:val="Heading1"/>
        <w:keepNext/>
      </w:pPr>
      <w:r>
        <w:t>第1页｜封面</w:t>
      </w:r>
    </w:p>
    <w:p>
      <w:pPr>
        <w:keepLines/>
        <w:widowControl/>
        <w:spacing w:after="140"/>
      </w:pPr>
      <w:r>
        <w:rPr>
          <w:rFonts w:ascii="Microsoft YaHei" w:hAnsi="Microsoft YaHei" w:eastAsia="Microsoft YaHei"/>
          <w:b w:val="0"/>
          <w:color w:val="101F37"/>
          <w:sz w:val="22"/>
        </w:rPr>
        <w:t>本次汇报围绕SHARP展开，主要包括三部分：论文方法精读、官方源码梳理，以及本地复现进展。重点不是复述论文全文，而是说明我目前理解了什么、代码运行到了哪里，以及它对课题有什么启发。</w:t>
      </w:r>
    </w:p>
    <w:p>
      <w:pPr>
        <w:pStyle w:val="Heading1"/>
        <w:keepNext/>
      </w:pPr>
      <w:r>
        <w:t>第2页｜本阶段完成工作</w:t>
      </w:r>
    </w:p>
    <w:p>
      <w:pPr>
        <w:keepLines/>
        <w:widowControl/>
        <w:spacing w:after="140"/>
      </w:pPr>
      <w:r>
        <w:rPr>
          <w:rFonts w:ascii="Microsoft YaHei" w:hAnsi="Microsoft YaHei" w:eastAsia="Microsoft YaHei"/>
          <w:b w:val="0"/>
          <w:color w:val="101F37"/>
          <w:sz w:val="22"/>
        </w:rPr>
        <w:t>这一阶段我完成了SHARP重点章节和附录的阅读，并梳理了论文中的关键模块。源码方面，我对应了预测主链路、Gaussian Initializer、Gaussian Decoder和Composer。复现方面已经完成官方权重准备，并跑通预测、PLY导出和新视角渲染流程。目前工作已经从“论文能否运行”推进到“如何分析质量和工程瓶颈”。</w:t>
      </w:r>
    </w:p>
    <w:p>
      <w:pPr>
        <w:pStyle w:val="Heading1"/>
        <w:keepNext/>
      </w:pPr>
      <w:r>
        <w:t>第3页｜SHARP解决的问题</w:t>
      </w:r>
    </w:p>
    <w:p>
      <w:pPr>
        <w:keepLines/>
        <w:widowControl/>
        <w:spacing w:after="140"/>
      </w:pPr>
      <w:r>
        <w:rPr>
          <w:rFonts w:ascii="Microsoft YaHei" w:hAnsi="Microsoft YaHei" w:eastAsia="Microsoft YaHei"/>
          <w:b w:val="0"/>
          <w:color w:val="101F37"/>
          <w:sz w:val="22"/>
        </w:rPr>
        <w:t>SHARP的全称是Single-image High-Accuracy Real-time Parallax。它从单张RGB图像出发，通过一次网络前向生成具有度量尺度的3D Gaussian Splatting表示，并用于附近视角的新视角合成。论文主要面向小于约0.5米相机基线的视点移动。论文报告LPIPS降低25%到34%、DISTS降低21%到43%，A100上表示生成时间小于1秒，常驻GPU环境下纯渲染约100 FPS。</w:t>
      </w:r>
    </w:p>
    <w:p>
      <w:pPr>
        <w:pStyle w:val="Heading1"/>
        <w:keepNext/>
      </w:pPr>
      <w:r>
        <w:t>第4页｜完整输入输出链路</w:t>
      </w:r>
    </w:p>
    <w:p>
      <w:pPr>
        <w:keepLines/>
        <w:widowControl/>
        <w:spacing w:after="140"/>
      </w:pPr>
      <w:r>
        <w:rPr>
          <w:rFonts w:ascii="Microsoft YaHei" w:hAnsi="Microsoft YaHei" w:eastAsia="Microsoft YaHei"/>
          <w:b w:val="0"/>
          <w:color w:val="101F37"/>
          <w:sz w:val="22"/>
        </w:rPr>
        <w:t>这张图是SHARP的完整结构。输入图像首先进入Depth Pro编码器，提取多尺度特征；Depth Decoder生成双层深度。训练阶段还会使用Depth Adjustment修正深度，随后Initializer根据RGB和深度生成Base Gaussians。Gaussian Decoder预测14维残差，Composer将Base与残差组合，最终输出约118万个高斯。需要注意，Depth Adjustment只在训练阶段使用。</w:t>
      </w:r>
    </w:p>
    <w:p>
      <w:pPr>
        <w:pStyle w:val="Heading1"/>
        <w:keepNext/>
      </w:pPr>
      <w:r>
        <w:t>第5页｜论文模块与源码对应</w:t>
      </w:r>
    </w:p>
    <w:p>
      <w:pPr>
        <w:keepLines/>
        <w:widowControl/>
        <w:spacing w:after="140"/>
      </w:pPr>
      <w:r>
        <w:rPr>
          <w:rFonts w:ascii="Microsoft YaHei" w:hAnsi="Microsoft YaHei" w:eastAsia="Microsoft YaHei"/>
          <w:b w:val="0"/>
          <w:color w:val="101F37"/>
          <w:sz w:val="22"/>
        </w:rPr>
        <w:t>我将论文模块逐一对应到了本地源码。单目深度部分主要位于monodepth.py，Initializer、Decoder和Composer分别有独立实现，推理与渲染入口位于cli目录。公开仓库主要包含模型结构和推理代码，没有公开完整训练循环、训练数据集以及损失函数实现。因此，推理行为可以直接结合源码验证，而训练细节仍应以论文正文和附录为准。</w:t>
      </w:r>
    </w:p>
    <w:p>
      <w:pPr>
        <w:pStyle w:val="Heading1"/>
        <w:keepNext/>
      </w:pPr>
      <w:r>
        <w:t>第6页｜Depth Pro与双层深度</w:t>
      </w:r>
    </w:p>
    <w:p>
      <w:pPr>
        <w:keepLines/>
        <w:widowControl/>
        <w:spacing w:after="140"/>
      </w:pPr>
      <w:r>
        <w:rPr>
          <w:rFonts w:ascii="Microsoft YaHei" w:hAnsi="Microsoft YaHei" w:eastAsia="Microsoft YaHei"/>
          <w:b w:val="0"/>
          <w:color w:val="101F37"/>
          <w:sz w:val="22"/>
        </w:rPr>
        <w:t>Depth Pro同时使用全局和局部ViT：全局分支负责场景整体结构，局部分支保留较高分辨率的细节，二者共享多尺度特征。SHARP将Depth Decoder最后的卷积层扩展为两个深度通道。第一层主要描述输入图像中的可见表面，并在Stage 1接受精确深度监督。第二层没有隐藏深度真值，主要通过新视角渲染、感知、Alpha损失和TV正则学习辅助遮挡结构。默认参数sorting_monodepth=False，因此双层关系并不是由硬排序强制形成的。</w:t>
      </w:r>
    </w:p>
    <w:p>
      <w:pPr>
        <w:pStyle w:val="Heading1"/>
        <w:keepNext/>
      </w:pPr>
      <w:r>
        <w:t>第7页｜Gaussian Initializer</w:t>
      </w:r>
    </w:p>
    <w:p>
      <w:pPr>
        <w:keepLines/>
        <w:widowControl/>
        <w:spacing w:after="140"/>
      </w:pPr>
      <w:r>
        <w:rPr>
          <w:rFonts w:ascii="Microsoft YaHei" w:hAnsi="Microsoft YaHei" w:eastAsia="Microsoft YaHei"/>
          <w:b w:val="0"/>
          <w:color w:val="101F37"/>
          <w:sz w:val="22"/>
        </w:rPr>
        <w:t>Initializer是固定、可微但不可学习的模块。它先将RGB和双层深度下采样到768乘768，然后在NDC空间中生成位置。尺度根据深度初始化，旋转使用单位四元数，RGB复制到两层，不透明度初始化为0.5。两层共生成1,179,648个Base Gaussians。这样设计后，网络不必从零预测全部高斯参数，只需要学习相对于稳定初值的修正。</w:t>
      </w:r>
    </w:p>
    <w:p>
      <w:pPr>
        <w:pStyle w:val="Heading1"/>
        <w:keepNext/>
      </w:pPr>
      <w:r>
        <w:t>第8页｜Gaussian Decoder</w:t>
      </w:r>
    </w:p>
    <w:p>
      <w:pPr>
        <w:keepLines/>
        <w:widowControl/>
        <w:spacing w:after="140"/>
      </w:pPr>
      <w:r>
        <w:rPr>
          <w:rFonts w:ascii="Microsoft YaHei" w:hAnsi="Microsoft YaHei" w:eastAsia="Microsoft YaHei"/>
          <w:b w:val="0"/>
          <w:color w:val="101F37"/>
          <w:sz w:val="22"/>
        </w:rPr>
        <w:t>Gaussian Decoder接收两路输入。第一路是RGB和归一化双层视差，共5个通道；第二路是Depth Pro和SPN提供的多尺度特征。源码显示Geometry Head只预测3维位置残差。Texture Head预测尺度3维、旋转4维、颜色3维和不透明度1维，共11维。两部分合并后形成14维双层Delta，形状为[B,14,2,768,768]。</w:t>
      </w:r>
    </w:p>
    <w:p>
      <w:pPr>
        <w:pStyle w:val="Heading1"/>
        <w:keepNext/>
      </w:pPr>
      <w:r>
        <w:t>第9页｜Base、Delta与Composer</w:t>
      </w:r>
    </w:p>
    <w:p>
      <w:pPr>
        <w:keepLines/>
        <w:widowControl/>
        <w:spacing w:after="140"/>
      </w:pPr>
      <w:r>
        <w:rPr>
          <w:rFonts w:ascii="Microsoft YaHei" w:hAnsi="Microsoft YaHei" w:eastAsia="Microsoft YaHei"/>
          <w:b w:val="0"/>
          <w:color w:val="101F37"/>
          <w:sz w:val="22"/>
        </w:rPr>
        <w:t>Composer不是直接在最终参数上做普通加法，而是先将属性映射到对应的激活空间，再叠加带倍率的Delta，最后映射回合法范围。位置、尺度、颜色和不透明度采用不同的激活函数与残差倍率。当Delta为零时，最终高斯严格等于Base，这为网络提供了稳定的预测起点。另外，L_delta中的δ等于400，表示原始残差阈值，不是400像素；乘以0.001的位置倍率后约对应0.4 NDC。</w:t>
      </w:r>
    </w:p>
    <w:p>
      <w:pPr>
        <w:pStyle w:val="Heading1"/>
        <w:keepNext/>
      </w:pPr>
      <w:r>
        <w:t>第10页｜两阶段训练与核心损失</w:t>
      </w:r>
    </w:p>
    <w:p>
      <w:pPr>
        <w:keepLines/>
        <w:widowControl/>
        <w:spacing w:after="140"/>
      </w:pPr>
      <w:r>
        <w:rPr>
          <w:rFonts w:ascii="Microsoft YaHei" w:hAnsi="Microsoft YaHei" w:eastAsia="Microsoft YaHei"/>
          <w:b w:val="0"/>
          <w:color w:val="101F37"/>
          <w:sz w:val="22"/>
        </w:rPr>
        <w:t>Stage 1使用合成多视图数据训练，论文提供RGB图像、精确深度和相机参数，大约包含70万场景实例和800万张图像。Stage 2使用约265万张真实图像进行自监督微调，也就是SSFT。损失可以分成四组：渲染损失、深度约束、高斯正则，以及Depth Adjustment的信息瓶颈约束。第二层深度主要依靠渲染结果和正则项间接学习，而不是使用第二层深度真值。</w:t>
      </w:r>
    </w:p>
    <w:p>
      <w:pPr>
        <w:pStyle w:val="Heading1"/>
        <w:keepNext/>
      </w:pPr>
      <w:r>
        <w:t>第11页｜实验与消融</w:t>
      </w:r>
    </w:p>
    <w:p>
      <w:pPr>
        <w:keepLines/>
        <w:widowControl/>
        <w:spacing w:after="140"/>
      </w:pPr>
      <w:r>
        <w:rPr>
          <w:rFonts w:ascii="Microsoft YaHei" w:hAnsi="Microsoft YaHei" w:eastAsia="Microsoft YaHei"/>
          <w:b w:val="0"/>
          <w:color w:val="101F37"/>
          <w:sz w:val="22"/>
        </w:rPr>
        <w:t>消融实验中，感知损失的贡献最明显，ScanNet++上的DISTS由0.162下降到0.063。Depth Adjustment和解冻单目深度骨干也带来稳定改善。高斯数量从两层192平方增加到两层768平方时，DISTS由0.110下降到0.064。SSFT没有在所有数据集上带来一致的数值提升，但论文观察到结果主观上更加锐利。正则项还可以减少退化高斯，使渲染延迟由6.2毫秒下降到5.5毫秒。</w:t>
      </w:r>
    </w:p>
    <w:p>
      <w:pPr>
        <w:pStyle w:val="Heading1"/>
        <w:keepNext/>
      </w:pPr>
      <w:r>
        <w:t>第12页｜本地复现结果</w:t>
      </w:r>
    </w:p>
    <w:p>
      <w:pPr>
        <w:keepLines/>
        <w:widowControl/>
        <w:spacing w:after="140"/>
      </w:pPr>
      <w:r>
        <w:rPr>
          <w:rFonts w:ascii="Microsoft YaHei" w:hAnsi="Microsoft YaHei" w:eastAsia="Microsoft YaHei"/>
          <w:b w:val="0"/>
          <w:color w:val="101F37"/>
          <w:sz w:val="22"/>
        </w:rPr>
        <w:t>本地已经跑通了官方预测、PLY导出和新视角渲染流程。单张图像最终输出1,179,648个高斯，导出的PLY文件约64 MB。网络前向约1.26秒，后处理约4.23秒，冷启动完成一次预测约28秒。首次渲染约91秒，其中约77.6秒用于CUDA扩展初始化；热启动后渲染60帧约13.98秒，CLI端到端速度约4.29 FPS。这里记录的是包含初始化、数据搬运和文件处理的完整命令行流程，因此不能直接与论文报告的常驻GPU纯渲染约100 FPS比较。</w:t>
      </w:r>
    </w:p>
    <w:p>
      <w:pPr>
        <w:pStyle w:val="Heading1"/>
        <w:keepNext/>
      </w:pPr>
      <w:r>
        <w:t>第13页｜局限与失败案例</w:t>
      </w:r>
    </w:p>
    <w:p>
      <w:pPr>
        <w:keepLines/>
        <w:widowControl/>
        <w:spacing w:after="140"/>
      </w:pPr>
      <w:r>
        <w:rPr>
          <w:rFonts w:ascii="Microsoft YaHei" w:hAnsi="Microsoft YaHei" w:eastAsia="Microsoft YaHei"/>
          <w:b w:val="0"/>
          <w:color w:val="101F37"/>
          <w:sz w:val="22"/>
        </w:rPr>
        <w:t>论文展示了三类典型失败场景。微距景深会造成前后关系误判；星空的密集纹理可能被解释为弯曲表面；水面反射则可能被错误解释成远处几何。这些问题都与单目深度初始化有关。工程方面还存在702M总参数、约64 MB单场景、CPU float64 SVD后处理和官方CUDA渲染器等成本。此外，SHARP主要适合附近视角，不适合大范围自由运动。</w:t>
      </w:r>
    </w:p>
    <w:p>
      <w:pPr>
        <w:pStyle w:val="Heading1"/>
        <w:keepNext/>
      </w:pPr>
      <w:r>
        <w:t>第14页｜对课题的启发与下一步</w:t>
      </w:r>
    </w:p>
    <w:p>
      <w:pPr>
        <w:keepLines/>
        <w:widowControl/>
        <w:spacing w:after="140"/>
      </w:pPr>
      <w:r>
        <w:rPr>
          <w:rFonts w:ascii="Microsoft YaHei" w:hAnsi="Microsoft YaHei" w:eastAsia="Microsoft YaHei"/>
          <w:b w:val="0"/>
          <w:color w:val="101F37"/>
          <w:sz w:val="22"/>
        </w:rPr>
        <w:t>SHARP对本课题最有价值的设计包括Base加Delta、双层深度、训练专用Depth Adjustment、感知损失，以及从合成数据到真实图像的课程学习。移动端可以保留两条路线：第一条是裁剪和量化3DGS，并使用Metal、Vulkan、OpenGL ES或WebGPU渲染；第二条是将结果蒸馏或转换为Mesh、LDI。下一步先使用真实单张照片建立质量测试集，分析空洞、漂浮和深度错误，再测量裁剪量化后的场景大小与渲染速度，最后根据实验结果决定移动端表示路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325" w:bottom="1123" w:left="1325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67C97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color w:val="667C97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 w:val="0"/>
        <w:color w:val="667C97"/>
        <w:sz w:val="18"/>
      </w:rPr>
      <w:t>SHARP论文精读、源码复现与课题启发｜汇报讲稿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01F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D569A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SHARP论文精读、源码复现与课题启发｜汇报讲稿</dc:title>
  <dc:subject>SHARP逐页汇报讲稿</dc:subject>
  <dc:creator>孟辰洋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