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Title"/>
        <w:jc w:val="center"/>
      </w:pPr>
      <w:r>
        <w:t>When Is One Shrinkage Parameter Enough</w:t>
      </w:r>
    </w:p>
    <w:p>
      <w:pPr>
        <w:pStyle w:val="Subtitle"/>
        <w:jc w:val="center"/>
      </w:pPr>
      <w:r>
        <w:t>Signal Uncertainty in Enhanced Portfolio Optimization</w:t>
      </w:r>
    </w:p>
    <w:p>
      <w:pPr>
        <w:jc w:val="center"/>
      </w:pPr>
      <w:r>
        <w:t>FRE 6123 Financial Risk Management (Professor Adams) · Revised Proposal · October 23, 2026</w:t>
      </w:r>
    </w:p>
    <w:p>
      <w:pPr>
        <w:jc w:val="center"/>
      </w:pPr>
      <w:r>
        <w:t>Yuzhen Chen (yc8748), Yadan Zhan (yz13339), Shuchen Meng (sm13533)</w:t>
      </w:r>
    </w:p>
    <w:p>
      <w:pPr>
        <w:jc w:val="both"/>
      </w:pPr>
      <w:r>
        <w:t>We will study when compressing heterogeneous signal uncertainty into one scalar preserves portfolio decisions. Simulations will identify the loss that remains even with the best scalar; a matched out-of-sample industry test will assess whether an implementable reliability proxy adds value after estimation error and trading costs.</w:t>
      </w:r>
    </w:p>
    <w:p>
      <w:pPr>
        <w:pStyle w:val="Heading1"/>
        <w:jc w:val="left"/>
      </w:pPr>
      <w:r>
        <w:t>1 Proposed Topic and Relevance to the Course</w:t>
      </w:r>
    </w:p>
    <w:p>
      <w:pPr>
        <w:jc w:val="both"/>
      </w:pPr>
      <w:r>
        <w:t>Mean–variance optimization (Markowitz, 1952) can amplify errors in expected returns and covariances into extreme positions. Enhanced Portfolio Optimization (EPO) connects correlation shrinkage to Bayesian and robust treatments of uncertain forecasts (Pedersen et al., 2021). Its industry application reports an annualized Sharpe ratio of 0.79 for EPO versus 0.19 for unshrunk MVO. We use this evidence as motivation and an implementation benchmark, rather than a separate research hypothesis.</w:t>
      </w:r>
    </w:p>
    <w:p>
      <w:pPr>
        <w:jc w:val="both"/>
      </w:pPr>
      <w:r>
        <w:t>Asset volatility and forecast reliability are different objects. Two industries can have similar return variance but different uncertainty about their conditional means. Our question is whether a common uncertainty adjustment preserves the economically relevant information in these differences. This links the course topics of portfolio optimization and risk measurement to model risk, estimation error, and the costs of implementing a risk allocation.</w:t>
      </w:r>
    </w:p>
    <w:p>
      <w:pPr>
        <w:pStyle w:val="Heading1"/>
        <w:jc w:val="left"/>
      </w:pPr>
      <w:r>
        <w:t>2 Proposed Claim Hypothesis and Methodology</w:t>
      </w:r>
    </w:p>
    <w:p>
      <w:pPr>
        <w:pStyle w:val="Heading2"/>
        <w:jc w:val="left"/>
      </w:pPr>
      <w:r>
        <w:t>Research claim and primary hypothesis</w:t>
      </w:r>
    </w:p>
    <w:p>
      <w:pPr>
        <w:jc w:val="both"/>
      </w:pPr>
      <w:r>
        <w:t>The original paper already permits a general signal-error covariance Λ. Our contribution is to evaluate scalar compression within that framework, not to introduce heterogeneous uncertainty itself. Let V = diag(σ₁², …, σₙ²). We compare Λ = λV with Λ = λ diag(σᵢ²hᵢ), where hᵢ &gt; 0 and the cross-sectional mean of h is one.</w:t>
      </w:r>
    </w:p>
    <w:p>
      <w:pPr>
        <w:jc w:val="both"/>
      </w:pPr>
      <w:r>
        <w:rPr>
          <w:b/>
        </w:rPr>
        <w:t>Primary hypothesis.</w:t>
      </w:r>
      <w:r>
        <w:t xml:space="preserve"> A scalar adjustment is approximately sufficient when relative uncertainty differences are small or have little overlap with economically important exposures. Larger, decision-relevant differences can make heterogeneous adjustment valuable. Whether this value survives imperfect estimation and costs is a separate empirical assessment of the feasible rule.</w:t>
      </w:r>
    </w:p>
    <w:p>
      <w:pPr>
        <w:jc w:val="both"/>
      </w:pPr>
      <w:r>
        <w:t>For a fixed nonzero exposure q, its uncertainty-equivalent scalar is (q′Λq)/(q′Vq). It matches that exposure’s uncertainty penalty, not the entire optimizer. Uniform h gives exact equality of the two allocation families; this is a model consistency check. With heterogeneous h, we measure decision loss directly rather than treating dispersion alone as sufficient evidence.</w:t>
      </w:r>
    </w:p>
    <w:p>
      <w:pPr>
        <w:pStyle w:val="Heading2"/>
        <w:pageBreakBefore/>
        <w:jc w:val="left"/>
      </w:pPr>
      <w:r>
        <w:t>Theory and the core simulation</w:t>
      </w:r>
    </w:p>
    <w:p>
      <w:pPr>
        <w:jc w:val="both"/>
      </w:pPr>
      <w:r>
        <w:t>We use a zero anchor, known positive-definite return covariance Σ, and fixed risk aversion γ = 3. Let μ ∼ N(0, τΣ), s = μ + ε, and ε ∼ N(0, Λ) independently of μ. The criterion is expected conditional mean–variance utility, with Σ measuring return risk conditional on μ. Write m(s) = E[μ | s] and Ū(x | s) = x′m(s) − (γ/2)x′Σx. This specifies the utility benchmark; it does not add posterior mean uncertainty to Σ a second time.</w:t>
      </w:r>
    </w:p>
    <w:p>
      <w:pPr>
        <w:keepLines/>
        <w:spacing w:before="40" w:after="100"/>
        <w:jc w:val="center"/>
      </w:pPr>
      <m:oMathPara>
        <m:oMathParaPr>
          <m:jc m:val="center"/>
        </m:oMathParaPr>
        <m:oMath>
          <m:sSup>
            <m:e>
              <m:r>
                <w:rPr>
                  <w:rFonts w:ascii="Cambria Math" w:hAnsi="Cambria Math"/>
                  <w:sz w:val="22"/>
                </w:rPr>
                <m:t xml:space="preserve">x</m:t>
              </m:r>
            </m:e>
            <m:sup>
              <m:r>
                <w:rPr>
                  <w:rFonts w:ascii="Cambria Math" w:hAnsi="Cambria Math"/>
                  <w:sz w:val="22"/>
                </w:rPr>
                <m:t xml:space="preserve">H</m:t>
              </m:r>
            </m:sup>
          </m:sSup>
          <m:r>
            <w:rPr>
              <w:rFonts w:ascii="Cambria Math" w:hAnsi="Cambria Math"/>
              <w:sz w:val="22"/>
            </w:rPr>
            <m:t xml:space="preserve"> = </m:t>
          </m:r>
          <m:sSup>
            <m:e>
              <m:r>
                <w:rPr>
                  <w:rFonts w:ascii="Cambria Math" w:hAnsi="Cambria Math"/>
                  <w:sz w:val="22"/>
                </w:rPr>
                <m:t xml:space="preserve">γ</m:t>
              </m:r>
            </m:e>
            <m:sup>
              <m:r>
                <w:rPr>
                  <w:rFonts w:ascii="Cambria Math" w:hAnsi="Cambria Math"/>
                  <w:sz w:val="22"/>
                </w:rPr>
                <m:t xml:space="preserve">−1</m:t>
              </m:r>
            </m:sup>
          </m:sSup>
          <m:sSup>
            <m:e>
              <m:r>
                <w:rPr>
                  <w:rFonts w:ascii="Cambria Math" w:hAnsi="Cambria Math"/>
                  <w:sz w:val="22"/>
                </w:rPr>
                <m:t xml:space="preserve">(Σ + Λ/τ)</m:t>
              </m:r>
            </m:e>
            <m:sup>
              <m:r>
                <w:rPr>
                  <w:rFonts w:ascii="Cambria Math" w:hAnsi="Cambria Math"/>
                  <w:sz w:val="22"/>
                </w:rPr>
                <m:t xml:space="preserve">−1</m:t>
              </m:r>
            </m:sup>
          </m:sSup>
          <m:r>
            <w:rPr>
              <w:rFonts w:ascii="Cambria Math" w:hAnsi="Cambria Math"/>
              <w:sz w:val="22"/>
            </w:rPr>
            <m:t xml:space="preserve">s,     </m:t>
          </m:r>
          <m:sSup>
            <m:e>
              <m:r>
                <w:rPr>
                  <w:rFonts w:ascii="Cambria Math" w:hAnsi="Cambria Math"/>
                  <w:sz w:val="22"/>
                </w:rPr>
                <m:t xml:space="preserve">x</m:t>
              </m:r>
            </m:e>
            <m:sup>
              <m:r>
                <w:rPr>
                  <w:rFonts w:ascii="Cambria Math" w:hAnsi="Cambria Math"/>
                  <w:sz w:val="22"/>
                </w:rPr>
                <m:t xml:space="preserve">S</m:t>
              </m:r>
            </m:sup>
          </m:sSup>
          <m:r>
            <w:rPr>
              <w:rFonts w:ascii="Cambria Math" w:hAnsi="Cambria Math"/>
              <w:sz w:val="22"/>
            </w:rPr>
            <m:t xml:space="preserve">(κ) = </m:t>
          </m:r>
          <m:sSup>
            <m:e>
              <m:r>
                <w:rPr>
                  <w:rFonts w:ascii="Cambria Math" w:hAnsi="Cambria Math"/>
                  <w:sz w:val="22"/>
                </w:rPr>
                <m:t xml:space="preserve">γ</m:t>
              </m:r>
            </m:e>
            <m:sup>
              <m:r>
                <w:rPr>
                  <w:rFonts w:ascii="Cambria Math" w:hAnsi="Cambria Math"/>
                  <w:sz w:val="22"/>
                </w:rPr>
                <m:t xml:space="preserve">−1</m:t>
              </m:r>
            </m:sup>
          </m:sSup>
          <m:sSup>
            <m:e>
              <m:r>
                <w:rPr>
                  <w:rFonts w:ascii="Cambria Math" w:hAnsi="Cambria Math"/>
                  <w:sz w:val="22"/>
                </w:rPr>
                <m:t xml:space="preserve">(Σ + κV)</m:t>
              </m:r>
            </m:e>
            <m:sup>
              <m:r>
                <w:rPr>
                  <w:rFonts w:ascii="Cambria Math" w:hAnsi="Cambria Math"/>
                  <w:sz w:val="22"/>
                </w:rPr>
                <m:t xml:space="preserve">−1</m:t>
              </m:r>
            </m:sup>
          </m:sSup>
          <m:r>
            <w:rPr>
              <w:rFonts w:ascii="Cambria Math" w:hAnsi="Cambria Math"/>
              <w:sz w:val="22"/>
            </w:rPr>
            <m:t xml:space="preserve">s</m:t>
          </m:r>
        </m:oMath>
      </m:oMathPara>
    </w:p>
    <w:p>
      <w:pPr>
        <w:jc w:val="both"/>
      </w:pPr>
      <w:r>
        <w:t>The heterogeneous rule maximizes this criterion. The oracle scalar knows the same true Σ, Λ, prior, and observed signal, but must choose within the scalar family. It cannot observe the sampled μ or future returns. We optimize over κ ≥ 0, including the zero-position limit as κ tends to infinity, and define:</w:t>
      </w:r>
    </w:p>
    <w:p>
      <w:pPr>
        <w:keepLines/>
        <w:spacing w:before="40" w:after="100"/>
        <w:jc w:val="center"/>
      </w:pPr>
      <m:oMathPara>
        <m:oMathParaPr>
          <m:jc m:val="center"/>
        </m:oMathParaPr>
        <m:oMath>
          <m:sSup>
            <m:e>
              <m:r>
                <w:rPr>
                  <w:rFonts w:ascii="Cambria Math" w:hAnsi="Cambria Math"/>
                  <w:sz w:val="22"/>
                </w:rPr>
                <m:t xml:space="preserve">κ</m:t>
              </m:r>
            </m:e>
            <m:sup>
              <m:r>
                <w:rPr>
                  <w:rFonts w:ascii="Cambria Math" w:hAnsi="Cambria Math"/>
                  <w:sz w:val="22"/>
                </w:rPr>
                <m:t xml:space="preserve">*</m:t>
              </m:r>
            </m:sup>
          </m:sSup>
          <m:r>
            <w:rPr>
              <w:rFonts w:ascii="Cambria Math" w:hAnsi="Cambria Math"/>
              <w:sz w:val="22"/>
            </w:rPr>
            <m:t xml:space="preserve">(s) = </m:t>
          </m:r>
          <m:sSub>
            <m:e>
              <m:r>
                <w:rPr>
                  <w:rFonts w:ascii="Cambria Math" w:hAnsi="Cambria Math"/>
                  <w:sz w:val="22"/>
                </w:rPr>
                <m:t xml:space="preserve">arg max</m:t>
              </m:r>
            </m:e>
            <m:sub>
              <m:r>
                <w:rPr>
                  <w:rFonts w:ascii="Cambria Math" w:hAnsi="Cambria Math"/>
                  <w:sz w:val="22"/>
                </w:rPr>
                <m:t xml:space="preserve">κ ≥ 0</m:t>
              </m:r>
            </m:sub>
          </m:sSub>
          <m:r>
            <w:rPr>
              <w:rFonts w:ascii="Cambria Math" w:hAnsi="Cambria Math"/>
              <w:sz w:val="22"/>
            </w:rPr>
            <m:t xml:space="preserve"> Ū(</m:t>
          </m:r>
          <m:sSup>
            <m:e>
              <m:r>
                <w:rPr>
                  <w:rFonts w:ascii="Cambria Math" w:hAnsi="Cambria Math"/>
                  <w:sz w:val="22"/>
                </w:rPr>
                <m:t xml:space="preserve">x</m:t>
              </m:r>
            </m:e>
            <m:sup>
              <m:r>
                <w:rPr>
                  <w:rFonts w:ascii="Cambria Math" w:hAnsi="Cambria Math"/>
                  <w:sz w:val="22"/>
                </w:rPr>
                <m:t xml:space="preserve">S</m:t>
              </m:r>
            </m:sup>
          </m:sSup>
          <m:r>
            <w:rPr>
              <w:rFonts w:ascii="Cambria Math" w:hAnsi="Cambria Math"/>
              <w:sz w:val="22"/>
            </w:rPr>
            <m:t xml:space="preserve">(κ) | s)</m:t>
          </m:r>
        </m:oMath>
      </m:oMathPara>
    </w:p>
    <w:p>
      <w:pPr>
        <w:keepLines/>
        <w:spacing w:before="40" w:after="100"/>
        <w:jc w:val="center"/>
      </w:pPr>
      <m:oMathPara>
        <m:oMathParaPr>
          <m:jc m:val="center"/>
        </m:oMathParaPr>
        <m:oMath>
          <m:r>
            <w:rPr>
              <w:rFonts w:ascii="Cambria Math" w:hAnsi="Cambria Math"/>
              <w:sz w:val="22"/>
            </w:rPr>
            <m:t xml:space="preserve">L(s) = Ū(</m:t>
          </m:r>
          <m:sSup>
            <m:e>
              <m:r>
                <w:rPr>
                  <w:rFonts w:ascii="Cambria Math" w:hAnsi="Cambria Math"/>
                  <w:sz w:val="22"/>
                </w:rPr>
                <m:t xml:space="preserve">x</m:t>
              </m:r>
            </m:e>
            <m:sup>
              <m:r>
                <w:rPr>
                  <w:rFonts w:ascii="Cambria Math" w:hAnsi="Cambria Math"/>
                  <w:sz w:val="22"/>
                </w:rPr>
                <m:t xml:space="preserve">H</m:t>
              </m:r>
            </m:sup>
          </m:sSup>
          <m:r>
            <w:rPr>
              <w:rFonts w:ascii="Cambria Math" w:hAnsi="Cambria Math"/>
              <w:sz w:val="22"/>
            </w:rPr>
            <m:t xml:space="preserve"> | s) − Ū(</m:t>
          </m:r>
          <m:sSup>
            <m:e>
              <m:r>
                <w:rPr>
                  <w:rFonts w:ascii="Cambria Math" w:hAnsi="Cambria Math"/>
                  <w:sz w:val="22"/>
                </w:rPr>
                <m:t xml:space="preserve">x</m:t>
              </m:r>
            </m:e>
            <m:sup>
              <m:r>
                <w:rPr>
                  <w:rFonts w:ascii="Cambria Math" w:hAnsi="Cambria Math"/>
                  <w:sz w:val="22"/>
                </w:rPr>
                <m:t xml:space="preserve">S</m:t>
              </m:r>
            </m:sup>
          </m:sSup>
          <m:r>
            <w:rPr>
              <w:rFonts w:ascii="Cambria Math" w:hAnsi="Cambria Math"/>
              <w:sz w:val="22"/>
            </w:rPr>
            <m:t xml:space="preserve">(</m:t>
          </m:r>
          <m:sSup>
            <m:e>
              <m:r>
                <w:rPr>
                  <w:rFonts w:ascii="Cambria Math" w:hAnsi="Cambria Math"/>
                  <w:sz w:val="22"/>
                </w:rPr>
                <m:t xml:space="preserve">κ</m:t>
              </m:r>
            </m:e>
            <m:sup>
              <m:r>
                <w:rPr>
                  <w:rFonts w:ascii="Cambria Math" w:hAnsi="Cambria Math"/>
                  <w:sz w:val="22"/>
                </w:rPr>
                <m:t xml:space="preserve">*</m:t>
              </m:r>
            </m:sup>
          </m:sSup>
          <m:r>
            <w:rPr>
              <w:rFonts w:ascii="Cambria Math" w:hAnsi="Cambria Math"/>
              <w:sz w:val="22"/>
            </w:rPr>
            <m:t xml:space="preserve">) | s) = (γ/2)Δx′ΣΔx ≥ 0</m:t>
          </m:r>
        </m:oMath>
      </m:oMathPara>
    </w:p>
    <w:p>
      <w:pPr>
        <w:jc w:val="both"/>
      </w:pPr>
      <w:r>
        <w:t>Here Δx is the heterogeneous allocation minus the oracle scalar allocation. This loss isolates the scalar family’s limitation. The utility gap between a mean-uncertainty scalar and the oracle measures parameter-choice loss separately. Numerical searches will check boundaries and convergence; h = 1 must yield L = 0. Realized μ is available only for researcher evaluation and Monte Carlo checks, never for choosing either rule.</w:t>
      </w:r>
    </w:p>
    <w:p>
      <w:pPr>
        <w:jc w:val="both"/>
      </w:pPr>
      <w:r>
        <w:rPr>
          <w:b/>
        </w:rPr>
        <w:t>Simulation design.</w:t>
      </w:r>
      <w:r>
        <w:t xml:space="preserve"> We retain 49 assets, monthly volatility 5%, pairwise correlation 0.3, average λᵢ = 0.1, and 1,000 paired draws per heterogeneity level. Positive lognormal profiles are normalized to a common mean, with target coefficients of variation 0, 0.5, and 1; realized dispersion is reported. Taking τ = 0.04 preserves a 1% marginal standard deviation for μ while making its covariance consistent with the prior. Each profile is fixed before generating μ and ε. All comparators share each signal realization.</w:t>
      </w:r>
    </w:p>
    <w:p>
      <w:pPr>
        <w:jc w:val="both"/>
      </w:pPr>
      <w:r>
        <w:t>The main figure plots expected L against dispersion, with Monte Carlo uncertainty. To describe exposure alignment, we stratify draws by A = ∑ᵢσᵢ²qᵢ²(hᵢ − 1)²/∑ᵢσᵢ²qᵢ², where q is the scalar allocation at κ = 0.1/τ. These are descriptive conditional comparisons. Sorting noise variances by the sampled true μ would violate the stated independent-error model, so we do not use that construction.</w:t>
      </w:r>
    </w:p>
    <w:p>
      <w:pPr>
        <w:jc w:val="both"/>
      </w:pPr>
      <w:r>
        <w:rPr>
          <w:b/>
        </w:rPr>
        <w:t>Estimator check.</w:t>
      </w:r>
      <w:r>
        <w:t xml:space="preserve"> One additional linear forecasting experiment will run the same 120-month regression and 200-resample procedure used below. With a known conditional mean and a persistent predictor, we compare empirical squared mean-estimation errors with reported bootstrap variances and examine interval coverage. This checks the implemented estimator under its model; it does not identify true forecast uncertainty in market data.</w:t>
      </w:r>
    </w:p>
    <w:p>
      <w:pPr>
        <w:pStyle w:val="Heading2"/>
        <w:pageBreakBefore/>
        <w:jc w:val="left"/>
      </w:pPr>
      <w:r>
        <w:t>Industry benchmark and feasible uncertainty estimates</w:t>
      </w:r>
    </w:p>
    <w:p>
      <w:pPr>
        <w:jc w:val="both"/>
      </w:pPr>
      <w:r>
        <w:rPr>
          <w:b/>
        </w:rPr>
        <w:t>Implementation validation.</w:t>
      </w:r>
      <w:r>
        <w:t xml:space="preserve"> We restrict replication to Equity 1 using French’s monthly value-weighted 49 Industry Portfolios and the risk-free rate, over 1942–2018 where histories permit. At month-end t, the trailing 12-month industry return is demeaned across industries and its positive and negative legs are normalized to +1 and −1. Denote this momentum score by zᵢ,ₜ; positions earn month t + 1 returns.</w:t>
      </w:r>
    </w:p>
    <w:p>
      <w:pPr>
        <w:jc w:val="both"/>
      </w:pPr>
      <w:r>
        <w:t>The preceding 60 monthly returns produce Σ̂ₜ and Vₜ = diag(Σ̂ₜ). We retain the 5% preliminary correction Qₜ = 0.95Σ̂ₜ + 0.05Vₜ. Scalar EPO uses (1 − w)Qₜ + wVₜ. We compare it with raw MVO and MVO using Qₜ, using the same momentum signal and a common 10% predicted-volatility convention for this benchmark. Each January, select w by the highest preceding 60-month candidate Sharpe ratio and freeze it for 12 months. The grid is {0, 0.25, 0.50, 0.75, 0.90, 0.95, 0.99}. This annual rolling rule is an implementation variant, so we will document differences from the published results.</w:t>
      </w:r>
    </w:p>
    <w:p>
      <w:pPr>
        <w:jc w:val="both"/>
      </w:pPr>
      <w:r>
        <w:t>Principal-component portfolios are formed at t and evaluated at t + 1. Grouping them by eigenvalue rank lets us compare predicted and realized risk and return, and MVO versus EPO exposure to the lowest-eigenvalue group. This validates the mechanism without introducing another hypothesis or additional replication samples.</w:t>
      </w:r>
    </w:p>
    <w:p>
      <w:pPr>
        <w:jc w:val="both"/>
      </w:pPr>
      <w:r>
        <w:rPr>
          <w:b/>
        </w:rPr>
        <w:t>Empirical sample and information timing.</w:t>
      </w:r>
      <w:r>
        <w:t xml:space="preserve"> The extension uses 1970–2018 for historical evaluation and 2019–2025 for a subsequent evaluation with the design frozen. We call the latter a holdout only if it has not informed design choices. An industry needs 120 consecutive completed regression pairs plus the 60-month candidate-return history required for selection. All methods use the same eligible universe; no future values fill missing observations.</w:t>
      </w:r>
    </w:p>
    <w:p>
      <w:pPr>
        <w:jc w:val="both"/>
      </w:pPr>
      <w:r>
        <w:t>Both extension portfolios use the same fitted forecast. For each eligible industry, estimate an intercept and momentum slope from the latest 120 completed pairs available at t:</w:t>
      </w:r>
    </w:p>
    <w:p>
      <w:pPr>
        <w:keepLines/>
        <w:spacing w:before="40" w:after="100"/>
        <w:jc w:val="center"/>
      </w:pPr>
      <m:oMathPara>
        <m:oMathParaPr>
          <m:jc m:val="center"/>
        </m:oMathParaPr>
        <m:oMath>
          <m:sSubSup>
            <m:e>
              <m:r>
                <w:rPr>
                  <w:rFonts w:ascii="Cambria Math" w:hAnsi="Cambria Math"/>
                  <w:sz w:val="22"/>
                </w:rPr>
                <m:t xml:space="preserve">r</m:t>
              </m:r>
            </m:e>
            <m:sub>
              <m:r>
                <w:rPr>
                  <w:rFonts w:ascii="Cambria Math" w:hAnsi="Cambria Math"/>
                  <w:sz w:val="22"/>
                </w:rPr>
                <m:t xml:space="preserve">i,u+1</m:t>
              </m:r>
            </m:sub>
            <m:sup>
              <m:r>
                <w:rPr>
                  <w:rFonts w:ascii="Cambria Math" w:hAnsi="Cambria Math"/>
                  <w:sz w:val="22"/>
                </w:rPr>
                <m:t xml:space="preserve">e</m:t>
              </m:r>
            </m:sup>
          </m:sSubSup>
          <m:r>
            <w:rPr>
              <w:rFonts w:ascii="Cambria Math" w:hAnsi="Cambria Math"/>
              <w:sz w:val="22"/>
            </w:rPr>
            <m:t xml:space="preserve"> = </m:t>
          </m:r>
          <m:sSub>
            <m:e>
              <m:r>
                <w:rPr>
                  <w:rFonts w:ascii="Cambria Math" w:hAnsi="Cambria Math"/>
                  <w:sz w:val="22"/>
                </w:rPr>
                <m:t xml:space="preserve">α</m:t>
              </m:r>
            </m:e>
            <m:sub>
              <m:r>
                <w:rPr>
                  <w:rFonts w:ascii="Cambria Math" w:hAnsi="Cambria Math"/>
                  <w:sz w:val="22"/>
                </w:rPr>
                <m:t xml:space="preserve">i,t</m:t>
              </m:r>
            </m:sub>
          </m:sSub>
          <m:r>
            <w:rPr>
              <w:rFonts w:ascii="Cambria Math" w:hAnsi="Cambria Math"/>
              <w:sz w:val="22"/>
            </w:rPr>
            <m:t xml:space="preserve"> + </m:t>
          </m:r>
          <m:sSub>
            <m:e>
              <m:r>
                <w:rPr>
                  <w:rFonts w:ascii="Cambria Math" w:hAnsi="Cambria Math"/>
                  <w:sz w:val="22"/>
                </w:rPr>
                <m:t xml:space="preserve">β</m:t>
              </m:r>
            </m:e>
            <m:sub>
              <m:r>
                <w:rPr>
                  <w:rFonts w:ascii="Cambria Math" w:hAnsi="Cambria Math"/>
                  <w:sz w:val="22"/>
                </w:rPr>
                <m:t xml:space="preserve">i,t</m:t>
              </m:r>
            </m:sub>
          </m:sSub>
          <m:sSub>
            <m:e>
              <m:r>
                <w:rPr>
                  <w:rFonts w:ascii="Cambria Math" w:hAnsi="Cambria Math"/>
                  <w:sz w:val="22"/>
                </w:rPr>
                <m:t xml:space="preserve">z</m:t>
              </m:r>
            </m:e>
            <m:sub>
              <m:r>
                <w:rPr>
                  <w:rFonts w:ascii="Cambria Math" w:hAnsi="Cambria Math"/>
                  <w:sz w:val="22"/>
                </w:rPr>
                <m:t xml:space="preserve">i,u</m:t>
              </m:r>
            </m:sub>
          </m:sSub>
          <m:r>
            <w:rPr>
              <w:rFonts w:ascii="Cambria Math" w:hAnsi="Cambria Math"/>
              <w:sz w:val="22"/>
            </w:rPr>
            <m:t xml:space="preserve"> + </m:t>
          </m:r>
          <m:sSub>
            <m:e>
              <m:r>
                <w:rPr>
                  <w:rFonts w:ascii="Cambria Math" w:hAnsi="Cambria Math"/>
                  <w:sz w:val="22"/>
                </w:rPr>
                <m:t xml:space="preserve">η</m:t>
              </m:r>
            </m:e>
            <m:sub>
              <m:r>
                <w:rPr>
                  <w:rFonts w:ascii="Cambria Math" w:hAnsi="Cambria Math"/>
                  <w:sz w:val="22"/>
                </w:rPr>
                <m:t xml:space="preserve">i,u+1</m:t>
              </m:r>
            </m:sub>
          </m:sSub>
          <m:r>
            <w:rPr>
              <w:rFonts w:ascii="Cambria Math" w:hAnsi="Cambria Math"/>
              <w:sz w:val="22"/>
            </w:rPr>
            <m:t xml:space="preserve">,     u + 1 ≤ t</m:t>
          </m:r>
        </m:oMath>
      </m:oMathPara>
    </w:p>
    <w:p>
      <w:pPr>
        <w:keepLines/>
        <w:spacing w:before="40" w:after="100"/>
        <w:jc w:val="center"/>
      </w:pPr>
      <m:oMathPara>
        <m:oMathParaPr>
          <m:jc m:val="center"/>
        </m:oMathParaPr>
        <m:oMath>
          <m:sSub>
            <m:e>
              <m:r>
                <w:rPr>
                  <w:rFonts w:ascii="Cambria Math" w:hAnsi="Cambria Math"/>
                  <w:sz w:val="22"/>
                </w:rPr>
                <m:t xml:space="preserve">s</m:t>
              </m:r>
            </m:e>
            <m:sub>
              <m:r>
                <w:rPr>
                  <w:rFonts w:ascii="Cambria Math" w:hAnsi="Cambria Math"/>
                  <w:sz w:val="22"/>
                </w:rPr>
                <m:t xml:space="preserve">i,t</m:t>
              </m:r>
            </m:sub>
          </m:sSub>
          <m:r>
            <w:rPr>
              <w:rFonts w:ascii="Cambria Math" w:hAnsi="Cambria Math"/>
              <w:sz w:val="22"/>
            </w:rPr>
            <m:t xml:space="preserve"> = </m:t>
          </m:r>
          <m:sSub>
            <m:e>
              <m:acc>
                <m:accPr>
                  <m:chr m:val="̂"/>
                </m:accPr>
                <m:e>
                  <m:r>
                    <w:rPr>
                      <w:rFonts w:ascii="Cambria Math" w:hAnsi="Cambria Math"/>
                      <w:sz w:val="22"/>
                    </w:rPr>
                    <m:t xml:space="preserve">α</m:t>
                  </m:r>
                </m:e>
              </m:acc>
            </m:e>
            <m:sub>
              <m:r>
                <w:rPr>
                  <w:rFonts w:ascii="Cambria Math" w:hAnsi="Cambria Math"/>
                  <w:sz w:val="22"/>
                </w:rPr>
                <m:t xml:space="preserve">i,t</m:t>
              </m:r>
            </m:sub>
          </m:sSub>
          <m:r>
            <w:rPr>
              <w:rFonts w:ascii="Cambria Math" w:hAnsi="Cambria Math"/>
              <w:sz w:val="22"/>
            </w:rPr>
            <m:t xml:space="preserve"> + </m:t>
          </m:r>
          <m:sSub>
            <m:e>
              <m:acc>
                <m:accPr>
                  <m:chr m:val="̂"/>
                </m:accPr>
                <m:e>
                  <m:r>
                    <w:rPr>
                      <w:rFonts w:ascii="Cambria Math" w:hAnsi="Cambria Math"/>
                      <w:sz w:val="22"/>
                    </w:rPr>
                    <m:t xml:space="preserve">β</m:t>
                  </m:r>
                </m:e>
              </m:acc>
            </m:e>
            <m:sub>
              <m:r>
                <w:rPr>
                  <w:rFonts w:ascii="Cambria Math" w:hAnsi="Cambria Math"/>
                  <w:sz w:val="22"/>
                </w:rPr>
                <m:t xml:space="preserve">i,t</m:t>
              </m:r>
            </m:sub>
          </m:sSub>
          <m:sSub>
            <m:e>
              <m:r>
                <w:rPr>
                  <w:rFonts w:ascii="Cambria Math" w:hAnsi="Cambria Math"/>
                  <w:sz w:val="22"/>
                </w:rPr>
                <m:t xml:space="preserve">z</m:t>
              </m:r>
            </m:e>
            <m:sub>
              <m:r>
                <w:rPr>
                  <w:rFonts w:ascii="Cambria Math" w:hAnsi="Cambria Math"/>
                  <w:sz w:val="22"/>
                </w:rPr>
                <m:t xml:space="preserve">i,t</m:t>
              </m:r>
            </m:sub>
          </m:sSub>
        </m:oMath>
      </m:oMathPara>
    </w:p>
    <w:p>
      <w:pPr>
        <w:jc w:val="both"/>
      </w:pPr>
      <w:r>
        <w:t>Resample completed pairs in overlapping 12-month blocks, using shared sampled calendar dates across industries, and refit 200 times. Evaluate every refit at the same current zᵢ,ₜ. Let uᵢ,ₜ be the sample variance of those forecasts. It estimates parameter uncertainty in the fitted conditional mean, not the variance of future realized returns. We do not add the regression residual variance to this proxy.</w:t>
      </w:r>
    </w:p>
    <w:p>
      <w:pPr>
        <w:jc w:val="both"/>
      </w:pPr>
      <w:r>
        <w:t>Divide uᵢ,ₜ by σᵢ,ₜ², winsorize across industries at the 5th and 95th percentiles, apply a 10⁻⁸ positive floor, and normalize to cross-sectional mean one to obtain ĥᵢ,ₜ. If all forecast variances vanish, set ĥ = 1. The diagonal specification captures relative model-based precision. Local instability, forecast bias, and cross-industry estimation-error dependence limit its interpretation; it is not an estimate of the full latent Λ.</w:t>
      </w:r>
    </w:p>
    <w:p>
      <w:pPr>
        <w:pStyle w:val="Heading2"/>
        <w:pageBreakBefore/>
        <w:jc w:val="left"/>
      </w:pPr>
      <w:r>
        <w:t>Matched out of sample comparison and interpretation</w:t>
      </w:r>
    </w:p>
    <w:p>
      <w:pPr>
        <w:jc w:val="both"/>
      </w:pPr>
      <w:r>
        <w:rPr>
          <w:b/>
        </w:rPr>
        <w:t>Allocation and common parameter selection.</w:t>
      </w:r>
      <w:r>
        <w:t xml:space="preserve"> Using the same forecasts, Qₜ, and γ = 3, the extension compares absolute positions under a zero anchor:</w:t>
      </w:r>
    </w:p>
    <w:p>
      <w:pPr>
        <w:keepLines/>
        <w:spacing w:before="40" w:after="100"/>
        <w:jc w:val="center"/>
      </w:pPr>
      <m:oMathPara>
        <m:oMathParaPr>
          <m:jc m:val="center"/>
        </m:oMathParaPr>
        <m:oMath>
          <m:sSubSup>
            <m:e>
              <m:r>
                <w:rPr>
                  <w:rFonts w:ascii="Cambria Math" w:hAnsi="Cambria Math"/>
                  <w:sz w:val="22"/>
                </w:rPr>
                <m:t xml:space="preserve">x</m:t>
              </m:r>
            </m:e>
            <m:sub>
              <m:r>
                <w:rPr>
                  <w:rFonts w:ascii="Cambria Math" w:hAnsi="Cambria Math"/>
                  <w:sz w:val="22"/>
                </w:rPr>
                <m:t xml:space="preserve">t</m:t>
              </m:r>
            </m:sub>
            <m:sup>
              <m:r>
                <w:rPr>
                  <w:rFonts w:ascii="Cambria Math" w:hAnsi="Cambria Math"/>
                  <w:sz w:val="22"/>
                </w:rPr>
                <m:t xml:space="preserve">S</m:t>
              </m:r>
            </m:sup>
          </m:sSubSup>
          <m:r>
            <w:rPr>
              <w:rFonts w:ascii="Cambria Math" w:hAnsi="Cambria Math"/>
              <w:sz w:val="22"/>
            </w:rPr>
            <m:t xml:space="preserve"> = </m:t>
          </m:r>
          <m:sSup>
            <m:e>
              <m:r>
                <w:rPr>
                  <w:rFonts w:ascii="Cambria Math" w:hAnsi="Cambria Math"/>
                  <w:sz w:val="22"/>
                </w:rPr>
                <m:t xml:space="preserve">γ</m:t>
              </m:r>
            </m:e>
            <m:sup>
              <m:r>
                <w:rPr>
                  <w:rFonts w:ascii="Cambria Math" w:hAnsi="Cambria Math"/>
                  <w:sz w:val="22"/>
                </w:rPr>
                <m:t xml:space="preserve">−1</m:t>
              </m:r>
            </m:sup>
          </m:sSup>
          <m:sSup>
            <m:e>
              <m:r>
                <w:rPr>
                  <w:rFonts w:ascii="Cambria Math" w:hAnsi="Cambria Math"/>
                  <w:sz w:val="22"/>
                </w:rPr>
                <m:t xml:space="preserve">(</m:t>
              </m:r>
              <m:sSub>
                <m:e>
                  <m:r>
                    <w:rPr>
                      <w:rFonts w:ascii="Cambria Math" w:hAnsi="Cambria Math"/>
                      <w:sz w:val="22"/>
                    </w:rPr>
                    <m:t xml:space="preserve">Q</m:t>
                  </m:r>
                </m:e>
                <m:sub>
                  <m:r>
                    <w:rPr>
                      <w:rFonts w:ascii="Cambria Math" w:hAnsi="Cambria Math"/>
                      <w:sz w:val="22"/>
                    </w:rPr>
                    <m:t xml:space="preserve">t</m:t>
                  </m:r>
                </m:sub>
              </m:sSub>
              <m:r>
                <w:rPr>
                  <w:rFonts w:ascii="Cambria Math" w:hAnsi="Cambria Math"/>
                  <w:sz w:val="22"/>
                </w:rPr>
                <m:t xml:space="preserve"> + </m:t>
              </m:r>
              <m:sSub>
                <m:e>
                  <m:r>
                    <w:rPr>
                      <w:rFonts w:ascii="Cambria Math" w:hAnsi="Cambria Math"/>
                      <w:sz w:val="22"/>
                    </w:rPr>
                    <m:t xml:space="preserve">κ</m:t>
                  </m:r>
                </m:e>
                <m:sub>
                  <m:r>
                    <w:rPr>
                      <w:rFonts w:ascii="Cambria Math" w:hAnsi="Cambria Math"/>
                      <w:sz w:val="22"/>
                    </w:rPr>
                    <m:t xml:space="preserve">t</m:t>
                  </m:r>
                </m:sub>
              </m:sSub>
              <m:sSub>
                <m:e>
                  <m:r>
                    <w:rPr>
                      <w:rFonts w:ascii="Cambria Math" w:hAnsi="Cambria Math"/>
                      <w:sz w:val="22"/>
                    </w:rPr>
                    <m:t xml:space="preserve">V</m:t>
                  </m:r>
                </m:e>
                <m:sub>
                  <m:r>
                    <w:rPr>
                      <w:rFonts w:ascii="Cambria Math" w:hAnsi="Cambria Math"/>
                      <w:sz w:val="22"/>
                    </w:rPr>
                    <m:t xml:space="preserve">t</m:t>
                  </m:r>
                </m:sub>
              </m:sSub>
              <m:r>
                <w:rPr>
                  <w:rFonts w:ascii="Cambria Math" w:hAnsi="Cambria Math"/>
                  <w:sz w:val="22"/>
                </w:rPr>
                <m:t xml:space="preserve">)</m:t>
              </m:r>
            </m:e>
            <m:sup>
              <m:r>
                <w:rPr>
                  <w:rFonts w:ascii="Cambria Math" w:hAnsi="Cambria Math"/>
                  <w:sz w:val="22"/>
                </w:rPr>
                <m:t xml:space="preserve">−1</m:t>
              </m:r>
            </m:sup>
          </m:sSup>
          <m:sSub>
            <m:e>
              <m:r>
                <w:rPr>
                  <w:rFonts w:ascii="Cambria Math" w:hAnsi="Cambria Math"/>
                  <w:sz w:val="22"/>
                </w:rPr>
                <m:t xml:space="preserve">s</m:t>
              </m:r>
            </m:e>
            <m:sub>
              <m:r>
                <w:rPr>
                  <w:rFonts w:ascii="Cambria Math" w:hAnsi="Cambria Math"/>
                  <w:sz w:val="22"/>
                </w:rPr>
                <m:t xml:space="preserve">t</m:t>
              </m:r>
            </m:sub>
          </m:sSub>
        </m:oMath>
      </m:oMathPara>
    </w:p>
    <w:p>
      <w:pPr>
        <w:keepLines/>
        <w:spacing w:before="40" w:after="100"/>
        <w:jc w:val="center"/>
      </w:pPr>
      <m:oMathPara>
        <m:oMathParaPr>
          <m:jc m:val="center"/>
        </m:oMathParaPr>
        <m:oMath>
          <m:sSubSup>
            <m:e>
              <m:r>
                <w:rPr>
                  <w:rFonts w:ascii="Cambria Math" w:hAnsi="Cambria Math"/>
                  <w:sz w:val="22"/>
                </w:rPr>
                <m:t xml:space="preserve">x</m:t>
              </m:r>
            </m:e>
            <m:sub>
              <m:r>
                <w:rPr>
                  <w:rFonts w:ascii="Cambria Math" w:hAnsi="Cambria Math"/>
                  <w:sz w:val="22"/>
                </w:rPr>
                <m:t xml:space="preserve">t</m:t>
              </m:r>
            </m:sub>
            <m:sup>
              <m:r>
                <w:rPr>
                  <w:rFonts w:ascii="Cambria Math" w:hAnsi="Cambria Math"/>
                  <w:sz w:val="22"/>
                </w:rPr>
                <m:t xml:space="preserve">H</m:t>
              </m:r>
            </m:sup>
          </m:sSubSup>
          <m:r>
            <w:rPr>
              <w:rFonts w:ascii="Cambria Math" w:hAnsi="Cambria Math"/>
              <w:sz w:val="22"/>
            </w:rPr>
            <m:t xml:space="preserve"> = </m:t>
          </m:r>
          <m:sSup>
            <m:e>
              <m:r>
                <w:rPr>
                  <w:rFonts w:ascii="Cambria Math" w:hAnsi="Cambria Math"/>
                  <w:sz w:val="22"/>
                </w:rPr>
                <m:t xml:space="preserve">γ</m:t>
              </m:r>
            </m:e>
            <m:sup>
              <m:r>
                <w:rPr>
                  <w:rFonts w:ascii="Cambria Math" w:hAnsi="Cambria Math"/>
                  <w:sz w:val="22"/>
                </w:rPr>
                <m:t xml:space="preserve">−1</m:t>
              </m:r>
            </m:sup>
          </m:sSup>
          <m:sSup>
            <m:e>
              <m:r>
                <w:rPr>
                  <w:rFonts w:ascii="Cambria Math" w:hAnsi="Cambria Math"/>
                  <w:sz w:val="22"/>
                </w:rPr>
                <m:t xml:space="preserve">[</m:t>
              </m:r>
              <m:sSub>
                <m:e>
                  <m:r>
                    <w:rPr>
                      <w:rFonts w:ascii="Cambria Math" w:hAnsi="Cambria Math"/>
                      <w:sz w:val="22"/>
                    </w:rPr>
                    <m:t xml:space="preserve">Q</m:t>
                  </m:r>
                </m:e>
                <m:sub>
                  <m:r>
                    <w:rPr>
                      <w:rFonts w:ascii="Cambria Math" w:hAnsi="Cambria Math"/>
                      <w:sz w:val="22"/>
                    </w:rPr>
                    <m:t xml:space="preserve">t</m:t>
                  </m:r>
                </m:sub>
              </m:sSub>
              <m:r>
                <w:rPr>
                  <w:rFonts w:ascii="Cambria Math" w:hAnsi="Cambria Math"/>
                  <w:sz w:val="22"/>
                </w:rPr>
                <m:t xml:space="preserve"> + </m:t>
              </m:r>
              <m:sSub>
                <m:e>
                  <m:r>
                    <w:rPr>
                      <w:rFonts w:ascii="Cambria Math" w:hAnsi="Cambria Math"/>
                      <w:sz w:val="22"/>
                    </w:rPr>
                    <m:t xml:space="preserve">κ</m:t>
                  </m:r>
                </m:e>
                <m:sub>
                  <m:r>
                    <w:rPr>
                      <w:rFonts w:ascii="Cambria Math" w:hAnsi="Cambria Math"/>
                      <w:sz w:val="22"/>
                    </w:rPr>
                    <m:t xml:space="preserve">t</m:t>
                  </m:r>
                </m:sub>
              </m:sSub>
              <m:r>
                <w:rPr>
                  <w:rFonts w:ascii="Cambria Math" w:hAnsi="Cambria Math"/>
                  <w:sz w:val="22"/>
                </w:rPr>
                <m:t xml:space="preserve"> diag(</m:t>
              </m:r>
              <m:sSubSup>
                <m:e>
                  <m:r>
                    <w:rPr>
                      <w:rFonts w:ascii="Cambria Math" w:hAnsi="Cambria Math"/>
                      <w:sz w:val="22"/>
                    </w:rPr>
                    <m:t xml:space="preserve">σ</m:t>
                  </m:r>
                </m:e>
                <m:sub>
                  <m:r>
                    <w:rPr>
                      <w:rFonts w:ascii="Cambria Math" w:hAnsi="Cambria Math"/>
                      <w:sz w:val="22"/>
                    </w:rPr>
                    <m:t xml:space="preserve">i,t</m:t>
                  </m:r>
                </m:sub>
                <m:sup>
                  <m:r>
                    <w:rPr>
                      <w:rFonts w:ascii="Cambria Math" w:hAnsi="Cambria Math"/>
                      <w:sz w:val="22"/>
                    </w:rPr>
                    <m:t xml:space="preserve">2</m:t>
                  </m:r>
                </m:sup>
              </m:sSubSup>
              <m:sSub>
                <m:e>
                  <m:acc>
                    <m:accPr>
                      <m:chr m:val="̂"/>
                    </m:accPr>
                    <m:e>
                      <m:r>
                        <w:rPr>
                          <w:rFonts w:ascii="Cambria Math" w:hAnsi="Cambria Math"/>
                          <w:sz w:val="22"/>
                        </w:rPr>
                        <m:t xml:space="preserve">h</m:t>
                      </m:r>
                    </m:e>
                  </m:acc>
                </m:e>
                <m:sub>
                  <m:r>
                    <w:rPr>
                      <w:rFonts w:ascii="Cambria Math" w:hAnsi="Cambria Math"/>
                      <w:sz w:val="22"/>
                    </w:rPr>
                    <m:t xml:space="preserve">i,t</m:t>
                  </m:r>
                </m:sub>
              </m:sSub>
              <m:r>
                <w:rPr>
                  <w:rFonts w:ascii="Cambria Math" w:hAnsi="Cambria Math"/>
                  <w:sz w:val="22"/>
                </w:rPr>
                <m:t xml:space="preserve">)]</m:t>
              </m:r>
            </m:e>
            <m:sup>
              <m:r>
                <w:rPr>
                  <w:rFonts w:ascii="Cambria Math" w:hAnsi="Cambria Math"/>
                  <w:sz w:val="22"/>
                </w:rPr>
                <m:t xml:space="preserve">−1</m:t>
              </m:r>
            </m:sup>
          </m:sSup>
          <m:sSub>
            <m:e>
              <m:r>
                <w:rPr>
                  <w:rFonts w:ascii="Cambria Math" w:hAnsi="Cambria Math"/>
                  <w:sz w:val="22"/>
                </w:rPr>
                <m:t xml:space="preserve">s</m:t>
              </m:r>
            </m:e>
            <m:sub>
              <m:r>
                <w:rPr>
                  <w:rFonts w:ascii="Cambria Math" w:hAnsi="Cambria Math"/>
                  <w:sz w:val="22"/>
                </w:rPr>
                <m:t xml:space="preserve">t</m:t>
              </m:r>
            </m:sub>
          </m:sSub>
        </m:oMath>
      </m:oMathPara>
    </w:p>
    <w:p>
      <w:pPr>
        <w:jc w:val="both"/>
      </w:pPr>
      <w:r>
        <w:t>Each January, choose w on the same grid using only scalar candidates’ net CE over the previous 60 months, with ties favoring higher w. Set κₜ = w/(1 − w) for both rules and freeze it for 12 months. Forecasts, ĥ, covariance, and weights update monthly. Every historical candidate forecast and reliability estimate uses only information available at its own formation date. The heterogeneous rule has no additional tuning parameter; it retains ĥ in full. κ is an effective penalty scale, not an identified true noise variance.</w:t>
      </w:r>
    </w:p>
    <w:p>
      <w:pPr>
        <w:jc w:val="both"/>
      </w:pPr>
      <w:r>
        <w:t>The fixed-γ allocation uses Q + κV, not the inverse of (1 − w)Q + wV at unchanged γ: those rules differ in overall scale. We therefore do not independently target volatility in the primary extension. A deployment sensitivity applies a common rule of scaling each portfolio to 10% annualized predicted volatility and then reducing gross exposure to at most 3. It reuses the main selected w. We report cap frequency and interpret this constrained comparison separately from the unconstrained theoretical loss.</w:t>
      </w:r>
    </w:p>
    <w:p>
      <w:pPr>
        <w:jc w:val="both"/>
      </w:pPr>
      <w:r>
        <w:rPr>
          <w:b/>
        </w:rPr>
        <w:t>Costs and financing.</w:t>
      </w:r>
      <w:r>
        <w:t xml:space="preserve"> Cash finances the residual net position; performance is measured in excess returns. Net returns subtract 10 basis points per dollar of turnover from drift-adjusted holdings and a 50-basis-point annual charge on short exposure, accrued monthly. Scalar selection uses the same cost convention. These are cost scenarios for industry proxies, not a claim of direct tradability. Optional trading-cost sensitivities use 0 and 25 basis points.</w:t>
      </w:r>
    </w:p>
    <w:p>
      <w:pPr>
        <w:keepLines/>
        <w:spacing w:before="40" w:after="100"/>
        <w:jc w:val="center"/>
      </w:pPr>
      <m:oMathPara>
        <m:oMathParaPr>
          <m:jc m:val="center"/>
        </m:oMathParaPr>
        <m:oMath>
          <m:r>
            <w:rPr>
              <w:rFonts w:ascii="Cambria Math" w:hAnsi="Cambria Math"/>
              <w:sz w:val="22"/>
            </w:rPr>
            <m:t xml:space="preserve">ΔCE = </m:t>
          </m:r>
          <m:sSup>
            <m:e>
              <m:r>
                <w:rPr>
                  <w:rFonts w:ascii="Cambria Math" w:hAnsi="Cambria Math"/>
                  <w:sz w:val="22"/>
                </w:rPr>
                <m:t xml:space="preserve">CE</m:t>
              </m:r>
            </m:e>
            <m:sup>
              <m:r>
                <w:rPr>
                  <w:rFonts w:ascii="Cambria Math" w:hAnsi="Cambria Math"/>
                  <w:sz w:val="22"/>
                </w:rPr>
                <m:t xml:space="preserve">H</m:t>
              </m:r>
            </m:sup>
          </m:sSup>
          <m:r>
            <w:rPr>
              <w:rFonts w:ascii="Cambria Math" w:hAnsi="Cambria Math"/>
              <w:sz w:val="22"/>
            </w:rPr>
            <m:t xml:space="preserve"> − </m:t>
          </m:r>
          <m:sSup>
            <m:e>
              <m:r>
                <w:rPr>
                  <w:rFonts w:ascii="Cambria Math" w:hAnsi="Cambria Math"/>
                  <w:sz w:val="22"/>
                </w:rPr>
                <m:t xml:space="preserve">CE</m:t>
              </m:r>
            </m:e>
            <m:sup>
              <m:r>
                <w:rPr>
                  <w:rFonts w:ascii="Cambria Math" w:hAnsi="Cambria Math"/>
                  <w:sz w:val="22"/>
                </w:rPr>
                <m:t xml:space="preserve">S</m:t>
              </m:r>
            </m:sup>
          </m:sSup>
          <m:r>
            <w:rPr>
              <w:rFonts w:ascii="Cambria Math" w:hAnsi="Cambria Math"/>
              <w:sz w:val="22"/>
            </w:rPr>
            <m:t xml:space="preserve">,     CE = 12 mean(</m:t>
          </m:r>
          <m:sSup>
            <m:e>
              <m:r>
                <w:rPr>
                  <w:rFonts w:ascii="Cambria Math" w:hAnsi="Cambria Math"/>
                  <w:sz w:val="22"/>
                </w:rPr>
                <m:t xml:space="preserve">r</m:t>
              </m:r>
            </m:e>
            <m:sup>
              <m:r>
                <w:rPr>
                  <w:rFonts w:ascii="Cambria Math" w:hAnsi="Cambria Math"/>
                  <w:sz w:val="22"/>
                </w:rPr>
                <m:t xml:space="preserve">net</m:t>
              </m:r>
            </m:sup>
          </m:sSup>
          <m:r>
            <w:rPr>
              <w:rFonts w:ascii="Cambria Math" w:hAnsi="Cambria Math"/>
              <w:sz w:val="22"/>
            </w:rPr>
            <m:t xml:space="preserve">) − (γ/2)12 Var(</m:t>
          </m:r>
          <m:sSup>
            <m:e>
              <m:r>
                <w:rPr>
                  <w:rFonts w:ascii="Cambria Math" w:hAnsi="Cambria Math"/>
                  <w:sz w:val="22"/>
                </w:rPr>
                <m:t xml:space="preserve">r</m:t>
              </m:r>
            </m:e>
            <m:sup>
              <m:r>
                <w:rPr>
                  <w:rFonts w:ascii="Cambria Math" w:hAnsi="Cambria Math"/>
                  <w:sz w:val="22"/>
                </w:rPr>
                <m:t xml:space="preserve">net</m:t>
              </m:r>
            </m:sup>
          </m:sSup>
          <m:r>
            <w:rPr>
              <w:rFonts w:ascii="Cambria Math" w:hAnsi="Cambria Math"/>
              <w:sz w:val="22"/>
            </w:rPr>
            <m:t xml:space="preserve">)</m:t>
          </m:r>
        </m:oMath>
      </m:oMathPara>
    </w:p>
    <w:p>
      <w:pPr>
        <w:jc w:val="both"/>
      </w:pPr>
      <w:r>
        <w:rPr>
          <w:b/>
        </w:rPr>
        <w:t>Evaluation.</w:t>
      </w:r>
      <w:r>
        <w:t xml:space="preserve"> Report this annualized monthly mean–variance measure in basis points, with a two-sided 95% percentile interval from 1,000 paired moving-block bootstrap samples of the two realized net-return series, using 12-month blocks (Künsch, 1989). Pairing preserves their common market history. The interval is conditional on the implemented procedure, not uncertainty over every possible redesign. Block lengths of 6 and 24 months are sensitivity checks.</w:t>
      </w:r>
    </w:p>
    <w:p>
      <w:pPr>
        <w:jc w:val="both"/>
      </w:pPr>
      <w:r>
        <w:t>A supporting table reports Sharpe ratio, volatility, 95% expected shortfall, maximum drawdown, turnover, and gross exposure. A reliability diagnostic reports dispersion and 12-month rank persistence. Factor attribution and reliability-history permutations are optional follow-ups. We interpret the economic magnitude and precision jointly; an imprecise or insignificant ΔCE does not establish economic equivalence.</w:t>
      </w:r>
    </w:p>
    <w:p>
      <w:pPr>
        <w:jc w:val="both"/>
      </w:pPr>
      <w:r>
        <w:t>Theoretical L and empirical net ΔCE answer different questions. L isolates information lost by the best scalar under a known model; ΔCE tests one feasible proxy against a scalar-selected common penalty. A positive ΔCE supports that implementable comparison, not optimality over every scalar rule. A negative result can reflect estimation error, model misspecification, or costs. The deliverables are one validation table, a mechanism figure with an estimator check, and a matched empirical performance table.</w:t>
      </w:r>
    </w:p>
    <w:p>
      <w:pPr>
        <w:pStyle w:val="Heading1"/>
        <w:pageBreakBefore/>
        <w:jc w:val="left"/>
      </w:pPr>
      <w:r>
        <w:t>3 Sources and Data</w:t>
      </w:r>
    </w:p>
    <w:p>
      <w:pPr>
        <w:jc w:val="both"/>
      </w:pPr>
      <w:r>
        <w:t>Primary data are the monthly value-weighted 49 Industry Portfolios and risk-free series from the Kenneth R. French Data Library. We record the download vintage, preserve missing-value codes as missing, convert percentages to decimals, and audit eligibility at every date. Optional factor attribution uses the monthly five factors; daily risk-model checks are outside the core design.</w:t>
      </w:r>
    </w:p>
    <w:p>
      <w:pPr>
        <w:spacing w:after="140"/>
        <w:jc w:val="both"/>
      </w:pPr>
      <w:r>
        <w:t>Data and industry definitions: mba.tuck.dartmouth.edu/pages/faculty/ken.french/data_library.html</w:t>
      </w:r>
    </w:p>
    <w:p>
      <w:pPr>
        <w:keepLines/>
        <w:ind w:left="216" w:hanging="216"/>
        <w:jc w:val="both"/>
      </w:pPr>
      <w:r>
        <w:t>Fama, E. F., &amp; French, K. R. (2015). A five-factor asset pricing model. Journal of Financial Economics, 116(1), 1–22. doi:10.1016/j.jfineco.2014.10.010.</w:t>
      </w:r>
    </w:p>
    <w:p>
      <w:pPr>
        <w:keepLines/>
        <w:ind w:left="216" w:hanging="216"/>
        <w:jc w:val="both"/>
      </w:pPr>
      <w:r>
        <w:t>Künsch, H. R. (1989). The jackknife and the bootstrap for general stationary observations. The Annals of Statistics, 17(3), 1217–1241. doi:10.1214/aos/1176347265.</w:t>
      </w:r>
    </w:p>
    <w:p>
      <w:pPr>
        <w:keepLines/>
        <w:ind w:left="216" w:hanging="216"/>
        <w:jc w:val="both"/>
      </w:pPr>
      <w:r>
        <w:t>Markowitz, H. (1952). Portfolio selection. The Journal of Finance, 7(1), 77–91. doi:10.1111/j.1540-6261.1952.tb01525.x.</w:t>
      </w:r>
    </w:p>
    <w:p>
      <w:pPr>
        <w:keepLines/>
        <w:ind w:left="216" w:hanging="216"/>
        <w:jc w:val="both"/>
      </w:pPr>
      <w:r>
        <w:t>Pedersen, L. H., Babu, A., &amp; Levine, A. (2021). Enhanced portfolio optimization. Financial Analysts Journal, 77(2), 124–151. doi:10.1080/0015198X.2020.1854543.</w:t>
      </w:r>
    </w:p>
    <w:p>
      <w:pPr>
        <w:pStyle w:val="Heading1"/>
        <w:jc w:val="left"/>
      </w:pPr>
      <w:r>
        <w:t>4 Each Group Member Proposed Contribution</w:t>
      </w:r>
    </w:p>
    <w:p>
      <w:pPr>
        <w:jc w:val="both"/>
      </w:pPr>
      <w:r>
        <w:t>Each member leads a module and its report section. The shared estimator and backtest interfaces connect the mechanism study to the feasible empirical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816"/>
        <w:gridCol w:w="2520"/>
        <w:gridCol w:w="2196"/>
      </w:tblGrid>
      <w:tr>
        <w:trPr>
          <w:cantSplit/>
          <w:tblHeader/>
        </w:trPr>
        <w:tc>
          <w:tcPr>
            <w:tcW w:type="dxa" w:w="1440"/>
            <w:vAlign w:val="center"/>
            <w:tcMar>
              <w:top w:w="85" w:type="dxa"/>
              <w:left w:w="85" w:type="dxa"/>
              <w:bottom w:w="85" w:type="dxa"/>
              <w:right w:w="85" w:type="dxa"/>
            </w:tcMar>
            <w:shd w:fill="E8EDF2"/>
          </w:tcPr>
          <w:p>
            <w:pPr>
              <w:spacing w:after="0" w:line="252" w:lineRule="auto"/>
              <w:jc w:val="center"/>
            </w:pPr>
            <w:r>
              <w:rPr>
                <w:rFonts w:ascii="Times New Roman" w:hAnsi="Times New Roman"/>
                <w:b/>
                <w:sz w:val="20"/>
              </w:rPr>
              <w:t>Member</w:t>
            </w:r>
          </w:p>
        </w:tc>
        <w:tc>
          <w:tcPr>
            <w:tcW w:type="dxa" w:w="3816"/>
            <w:vAlign w:val="center"/>
            <w:tcMar>
              <w:top w:w="85" w:type="dxa"/>
              <w:left w:w="85" w:type="dxa"/>
              <w:bottom w:w="85" w:type="dxa"/>
              <w:right w:w="85" w:type="dxa"/>
            </w:tcMar>
            <w:shd w:fill="E8EDF2"/>
          </w:tcPr>
          <w:p>
            <w:pPr>
              <w:spacing w:after="0" w:line="252" w:lineRule="auto"/>
              <w:jc w:val="center"/>
            </w:pPr>
            <w:r>
              <w:rPr>
                <w:rFonts w:ascii="Times New Roman" w:hAnsi="Times New Roman"/>
                <w:b/>
                <w:sz w:val="20"/>
              </w:rPr>
              <w:t>Lead responsibility and writing</w:t>
            </w:r>
          </w:p>
        </w:tc>
        <w:tc>
          <w:tcPr>
            <w:tcW w:type="dxa" w:w="2520"/>
            <w:vAlign w:val="center"/>
            <w:tcMar>
              <w:top w:w="85" w:type="dxa"/>
              <w:left w:w="85" w:type="dxa"/>
              <w:bottom w:w="85" w:type="dxa"/>
              <w:right w:w="85" w:type="dxa"/>
            </w:tcMar>
            <w:shd w:fill="E8EDF2"/>
          </w:tcPr>
          <w:p>
            <w:pPr>
              <w:spacing w:after="0" w:line="252" w:lineRule="auto"/>
              <w:jc w:val="center"/>
            </w:pPr>
            <w:r>
              <w:rPr>
                <w:rFonts w:ascii="Times New Roman" w:hAnsi="Times New Roman"/>
                <w:b/>
                <w:sz w:val="20"/>
              </w:rPr>
              <w:t>Required output</w:t>
            </w:r>
          </w:p>
        </w:tc>
        <w:tc>
          <w:tcPr>
            <w:tcW w:type="dxa" w:w="2196"/>
            <w:vAlign w:val="center"/>
            <w:tcMar>
              <w:top w:w="85" w:type="dxa"/>
              <w:left w:w="85" w:type="dxa"/>
              <w:bottom w:w="85" w:type="dxa"/>
              <w:right w:w="85" w:type="dxa"/>
            </w:tcMar>
            <w:shd w:fill="E8EDF2"/>
          </w:tcPr>
          <w:p>
            <w:pPr>
              <w:spacing w:after="0" w:line="252" w:lineRule="auto"/>
              <w:jc w:val="center"/>
            </w:pPr>
            <w:r>
              <w:rPr>
                <w:rFonts w:ascii="Times New Roman" w:hAnsi="Times New Roman"/>
                <w:b/>
                <w:sz w:val="20"/>
              </w:rPr>
              <w:t>Presentation</w:t>
            </w:r>
          </w:p>
        </w:tc>
      </w:tr>
      <w:tr>
        <w:trPr>
          <w:cantSplit/>
        </w:trPr>
        <w:tc>
          <w:tcPr>
            <w:tcW w:type="dxa" w:w="1440"/>
            <w:vAlign w:val="center"/>
            <w:tcMar>
              <w:top w:w="85" w:type="dxa"/>
              <w:left w:w="85" w:type="dxa"/>
              <w:bottom w:w="85" w:type="dxa"/>
              <w:right w:w="85" w:type="dxa"/>
            </w:tcMar>
          </w:tcPr>
          <w:p>
            <w:pPr>
              <w:spacing w:after="0" w:line="252" w:lineRule="auto"/>
              <w:jc w:val="center"/>
            </w:pPr>
            <w:r>
              <w:rPr>
                <w:rFonts w:ascii="Times New Roman" w:hAnsi="Times New Roman"/>
                <w:b w:val="0"/>
                <w:sz w:val="20"/>
              </w:rPr>
              <w:t>Yuzhen Chen</w:t>
              <w:br/>
              <w:t>(yc8748)</w:t>
            </w:r>
          </w:p>
        </w:tc>
        <w:tc>
          <w:tcPr>
            <w:tcW w:type="dxa" w:w="3816"/>
            <w:vAlign w:val="center"/>
            <w:tcMar>
              <w:top w:w="85" w:type="dxa"/>
              <w:left w:w="85" w:type="dxa"/>
              <w:bottom w:w="85" w:type="dxa"/>
              <w:right w:w="85" w:type="dxa"/>
            </w:tcMar>
          </w:tcPr>
          <w:p>
            <w:pPr>
              <w:spacing w:after="0" w:line="252" w:lineRule="auto"/>
              <w:jc w:val="left"/>
            </w:pPr>
            <w:r>
              <w:rPr>
                <w:rFonts w:ascii="Times New Roman" w:hAnsi="Times New Roman"/>
                <w:b w:val="0"/>
                <w:sz w:val="20"/>
              </w:rPr>
              <w:t>Industry data, momentum, MVO/EPO validation, and common rolling backtest. Draft data and replication methods.</w:t>
            </w:r>
          </w:p>
        </w:tc>
        <w:tc>
          <w:tcPr>
            <w:tcW w:type="dxa" w:w="2520"/>
            <w:vAlign w:val="center"/>
            <w:tcMar>
              <w:top w:w="85" w:type="dxa"/>
              <w:left w:w="85" w:type="dxa"/>
              <w:bottom w:w="85" w:type="dxa"/>
              <w:right w:w="85" w:type="dxa"/>
            </w:tcMar>
          </w:tcPr>
          <w:p>
            <w:pPr>
              <w:spacing w:after="0" w:line="252" w:lineRule="auto"/>
              <w:jc w:val="left"/>
            </w:pPr>
            <w:r>
              <w:rPr>
                <w:rFonts w:ascii="Times New Roman" w:hAnsi="Times New Roman"/>
                <w:b w:val="0"/>
                <w:sz w:val="20"/>
              </w:rPr>
              <w:t>Data and timing audit; validation table; historical candidate-return interface.</w:t>
            </w:r>
          </w:p>
        </w:tc>
        <w:tc>
          <w:tcPr>
            <w:tcW w:type="dxa" w:w="2196"/>
            <w:vAlign w:val="center"/>
            <w:tcMar>
              <w:top w:w="85" w:type="dxa"/>
              <w:left w:w="85" w:type="dxa"/>
              <w:bottom w:w="85" w:type="dxa"/>
              <w:right w:w="85" w:type="dxa"/>
            </w:tcMar>
          </w:tcPr>
          <w:p>
            <w:pPr>
              <w:spacing w:after="0" w:line="252" w:lineRule="auto"/>
              <w:jc w:val="left"/>
            </w:pPr>
            <w:r>
              <w:rPr>
                <w:rFonts w:ascii="Times New Roman" w:hAnsi="Times New Roman"/>
                <w:b w:val="0"/>
                <w:sz w:val="20"/>
              </w:rPr>
              <w:t>Data, mechanism validation, and backtest timing.</w:t>
            </w:r>
          </w:p>
        </w:tc>
      </w:tr>
      <w:tr>
        <w:trPr>
          <w:cantSplit/>
        </w:trPr>
        <w:tc>
          <w:tcPr>
            <w:tcW w:type="dxa" w:w="1440"/>
            <w:vAlign w:val="center"/>
            <w:tcMar>
              <w:top w:w="85" w:type="dxa"/>
              <w:left w:w="85" w:type="dxa"/>
              <w:bottom w:w="85" w:type="dxa"/>
              <w:right w:w="85" w:type="dxa"/>
            </w:tcMar>
          </w:tcPr>
          <w:p>
            <w:pPr>
              <w:spacing w:after="0" w:line="252" w:lineRule="auto"/>
              <w:jc w:val="center"/>
            </w:pPr>
            <w:r>
              <w:rPr>
                <w:rFonts w:ascii="Times New Roman" w:hAnsi="Times New Roman"/>
                <w:b w:val="0"/>
                <w:sz w:val="20"/>
              </w:rPr>
              <w:t>Yadan Zhan</w:t>
              <w:br/>
              <w:t>(yz13339)</w:t>
            </w:r>
          </w:p>
        </w:tc>
        <w:tc>
          <w:tcPr>
            <w:tcW w:type="dxa" w:w="3816"/>
            <w:vAlign w:val="center"/>
            <w:tcMar>
              <w:top w:w="85" w:type="dxa"/>
              <w:left w:w="85" w:type="dxa"/>
              <w:bottom w:w="85" w:type="dxa"/>
              <w:right w:w="85" w:type="dxa"/>
            </w:tcMar>
          </w:tcPr>
          <w:p>
            <w:pPr>
              <w:spacing w:after="0" w:line="252" w:lineRule="auto"/>
              <w:jc w:val="left"/>
            </w:pPr>
            <w:r>
              <w:rPr>
                <w:rFonts w:ascii="Times New Roman" w:hAnsi="Times New Roman"/>
                <w:b w:val="0"/>
                <w:sz w:val="20"/>
              </w:rPr>
              <w:t>Theory, oracle scalar, and main simulation. Lead estimator-check design using Shuchen’s module. Draft theory and simulation.</w:t>
            </w:r>
          </w:p>
        </w:tc>
        <w:tc>
          <w:tcPr>
            <w:tcW w:type="dxa" w:w="2520"/>
            <w:vAlign w:val="center"/>
            <w:tcMar>
              <w:top w:w="85" w:type="dxa"/>
              <w:left w:w="85" w:type="dxa"/>
              <w:bottom w:w="85" w:type="dxa"/>
              <w:right w:w="85" w:type="dxa"/>
            </w:tcMar>
          </w:tcPr>
          <w:p>
            <w:pPr>
              <w:spacing w:after="0" w:line="252" w:lineRule="auto"/>
              <w:jc w:val="left"/>
            </w:pPr>
            <w:r>
              <w:rPr>
                <w:rFonts w:ascii="Times New Roman" w:hAnsi="Times New Roman"/>
                <w:b w:val="0"/>
                <w:sz w:val="20"/>
              </w:rPr>
              <w:t>Information-consistent oracle; loss figure; estimator calibration check.</w:t>
            </w:r>
          </w:p>
        </w:tc>
        <w:tc>
          <w:tcPr>
            <w:tcW w:type="dxa" w:w="2196"/>
            <w:vAlign w:val="center"/>
            <w:tcMar>
              <w:top w:w="85" w:type="dxa"/>
              <w:left w:w="85" w:type="dxa"/>
              <w:bottom w:w="85" w:type="dxa"/>
              <w:right w:w="85" w:type="dxa"/>
            </w:tcMar>
          </w:tcPr>
          <w:p>
            <w:pPr>
              <w:spacing w:after="0" w:line="252" w:lineRule="auto"/>
              <w:jc w:val="left"/>
            </w:pPr>
            <w:r>
              <w:rPr>
                <w:rFonts w:ascii="Times New Roman" w:hAnsi="Times New Roman"/>
                <w:b w:val="0"/>
                <w:sz w:val="20"/>
              </w:rPr>
              <w:t>Scalar compression, oracle benchmark, and simulation evidence.</w:t>
            </w:r>
          </w:p>
        </w:tc>
      </w:tr>
      <w:tr>
        <w:trPr>
          <w:cantSplit/>
        </w:trPr>
        <w:tc>
          <w:tcPr>
            <w:tcW w:type="dxa" w:w="1440"/>
            <w:vAlign w:val="center"/>
            <w:tcMar>
              <w:top w:w="85" w:type="dxa"/>
              <w:left w:w="85" w:type="dxa"/>
              <w:bottom w:w="85" w:type="dxa"/>
              <w:right w:w="85" w:type="dxa"/>
            </w:tcMar>
          </w:tcPr>
          <w:p>
            <w:pPr>
              <w:spacing w:after="0" w:line="252" w:lineRule="auto"/>
              <w:jc w:val="center"/>
            </w:pPr>
            <w:r>
              <w:rPr>
                <w:rFonts w:ascii="Times New Roman" w:hAnsi="Times New Roman"/>
                <w:b w:val="0"/>
                <w:sz w:val="20"/>
              </w:rPr>
              <w:t>Shuchen Meng</w:t>
              <w:br/>
              <w:t>(sm13533)</w:t>
            </w:r>
          </w:p>
        </w:tc>
        <w:tc>
          <w:tcPr>
            <w:tcW w:type="dxa" w:w="3816"/>
            <w:vAlign w:val="center"/>
            <w:tcMar>
              <w:top w:w="85" w:type="dxa"/>
              <w:left w:w="85" w:type="dxa"/>
              <w:bottom w:w="85" w:type="dxa"/>
              <w:right w:w="85" w:type="dxa"/>
            </w:tcMar>
          </w:tcPr>
          <w:p>
            <w:pPr>
              <w:spacing w:after="0" w:line="252" w:lineRule="auto"/>
              <w:jc w:val="left"/>
            </w:pPr>
            <w:r>
              <w:rPr>
                <w:rFonts w:ascii="Times New Roman" w:hAnsi="Times New Roman"/>
                <w:b w:val="0"/>
                <w:sz w:val="20"/>
              </w:rPr>
              <w:t>Forecasts and bootstrap reliability; matched OOS portfolios, costs, and inference. Draft empirical findings and conclusions.</w:t>
            </w:r>
          </w:p>
        </w:tc>
        <w:tc>
          <w:tcPr>
            <w:tcW w:type="dxa" w:w="2520"/>
            <w:vAlign w:val="center"/>
            <w:tcMar>
              <w:top w:w="85" w:type="dxa"/>
              <w:left w:w="85" w:type="dxa"/>
              <w:bottom w:w="85" w:type="dxa"/>
              <w:right w:w="85" w:type="dxa"/>
            </w:tcMar>
          </w:tcPr>
          <w:p>
            <w:pPr>
              <w:spacing w:after="0" w:line="252" w:lineRule="auto"/>
              <w:jc w:val="left"/>
            </w:pPr>
            <w:r>
              <w:rPr>
                <w:rFonts w:ascii="Times New Roman" w:hAnsi="Times New Roman"/>
                <w:b w:val="0"/>
                <w:sz w:val="20"/>
              </w:rPr>
              <w:t>Reusable forecast/ĥ module; net ΔCE interval; risk and cost table.</w:t>
            </w:r>
          </w:p>
        </w:tc>
        <w:tc>
          <w:tcPr>
            <w:tcW w:type="dxa" w:w="2196"/>
            <w:vAlign w:val="center"/>
            <w:tcMar>
              <w:top w:w="85" w:type="dxa"/>
              <w:left w:w="85" w:type="dxa"/>
              <w:bottom w:w="85" w:type="dxa"/>
              <w:right w:w="85" w:type="dxa"/>
            </w:tcMar>
          </w:tcPr>
          <w:p>
            <w:pPr>
              <w:spacing w:after="0" w:line="252" w:lineRule="auto"/>
              <w:jc w:val="left"/>
            </w:pPr>
            <w:r>
              <w:rPr>
                <w:rFonts w:ascii="Times New Roman" w:hAnsi="Times New Roman"/>
                <w:b w:val="0"/>
                <w:sz w:val="20"/>
              </w:rPr>
              <w:t>Feasible uncertainty proxy, OOS results, and limitations.</w:t>
            </w:r>
          </w:p>
        </w:tc>
      </w:tr>
    </w:tbl>
    <w:p>
      <w:pPr>
        <w:spacing w:before="120"/>
        <w:jc w:val="both"/>
      </w:pPr>
      <w:r>
        <w:t>Shared review: Yuzhen audits timing and costs; Yadan checks utility, penalty scaling, and oracle information; Shuchen verifies matched inputs and benchmark reproducibility. All members review the final report and code.</w:t>
      </w:r>
    </w:p>
    <w:sectPr w:rsidR="00032B96" w:rsidSect="00034616">
      <w:pgSz w:w="12240" w:h="15840"/>
      <w:pgMar w:top="1247" w:right="1134" w:bottom="124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8151925">
    <w:abstractNumId w:val="8"/>
  </w:num>
  <w:num w:numId="2" w16cid:durableId="769859359">
    <w:abstractNumId w:val="6"/>
  </w:num>
  <w:num w:numId="3" w16cid:durableId="1746147971">
    <w:abstractNumId w:val="5"/>
  </w:num>
  <w:num w:numId="4" w16cid:durableId="857474789">
    <w:abstractNumId w:val="4"/>
  </w:num>
  <w:num w:numId="5" w16cid:durableId="1839229179">
    <w:abstractNumId w:val="7"/>
  </w:num>
  <w:num w:numId="6" w16cid:durableId="677775734">
    <w:abstractNumId w:val="3"/>
  </w:num>
  <w:num w:numId="7" w16cid:durableId="1192457287">
    <w:abstractNumId w:val="2"/>
  </w:num>
  <w:num w:numId="8" w16cid:durableId="928272758">
    <w:abstractNumId w:val="1"/>
  </w:num>
  <w:num w:numId="9" w16cid:durableId="207126629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B96"/>
    <w:rsid w:val="00034616"/>
    <w:rsid w:val="0006063C"/>
    <w:rsid w:val="000E7C5B"/>
    <w:rsid w:val="001368FA"/>
    <w:rsid w:val="0015074B"/>
    <w:rsid w:val="001E7C91"/>
    <w:rsid w:val="0022252B"/>
    <w:rsid w:val="00224969"/>
    <w:rsid w:val="0029001E"/>
    <w:rsid w:val="0029639D"/>
    <w:rsid w:val="00326F90"/>
    <w:rsid w:val="003B095A"/>
    <w:rsid w:val="00417CEA"/>
    <w:rsid w:val="00837741"/>
    <w:rsid w:val="008A3DB5"/>
    <w:rsid w:val="009B2759"/>
    <w:rsid w:val="00AA1D8D"/>
    <w:rsid w:val="00AA2AD2"/>
    <w:rsid w:val="00B141E3"/>
    <w:rsid w:val="00B45AE1"/>
    <w:rsid w:val="00B47730"/>
    <w:rsid w:val="00CB0664"/>
    <w:rsid w:val="00EA45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3D8666"/>
  <w14:defaultImageDpi w14:val="300"/>
  <w15:docId w15:val="{FDF72A07-44E8-B744-95CC-19500A087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spacing w:after="80" w:line="276" w:lineRule="auto"/>
    </w:pPr>
    <w:rPr>
      <w:rFonts w:ascii="Times New Roman" w:eastAsia="SimSun" w:hAnsi="Times New Roman"/>
      <w:color w:val="000000"/>
      <w:sz w:val="22"/>
    </w:rPr>
  </w:style>
  <w:style w:type="paragraph" w:styleId="Heading1">
    <w:name w:val="heading 1"/>
    <w:basedOn w:val="Normal"/>
    <w:next w:val="Normal"/>
    <w:link w:val="Heading1Char"/>
    <w:uiPriority w:val="9"/>
    <w:qFormat/>
    <w:rsid w:val="00FC693F"/>
    <w:pPr>
      <w:keepNext/>
      <w:keepLines/>
      <w:spacing w:before="200" w:after="100" w:line="240" w:lineRule="auto"/>
      <w:outlineLvl w:val="0"/>
    </w:pPr>
    <w:rPr>
      <w:rFonts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80" w:line="240" w:lineRule="auto"/>
    </w:pPr>
    <w:rPr>
      <w:rFonts w:ascii="Times New Roman" w:hAnsi="Times New Roman"/>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j.1540-6261.1952.tb01525.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1016/j.jempfin.2008.03.002" TargetMode="External"/><Relationship Id="rId12" Type="http://schemas.openxmlformats.org/officeDocument/2006/relationships/hyperlink" Target="https://mba.tuck.dartmouth.edu/pages/faculty/ken.french/Data_Library/det_49_ind_port.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16/j.jfineco.2014.10.010" TargetMode="External"/><Relationship Id="rId11" Type="http://schemas.openxmlformats.org/officeDocument/2006/relationships/hyperlink" Target="https://mba.tuck.dartmouth.edu/pages/faculty/ken.french/data_library.html" TargetMode="External"/><Relationship Id="rId5" Type="http://schemas.openxmlformats.org/officeDocument/2006/relationships/webSettings" Target="webSettings.xml"/><Relationship Id="rId10" Type="http://schemas.openxmlformats.org/officeDocument/2006/relationships/hyperlink" Target="https://doi.org/10.1080/0015198X.2020.1854543" TargetMode="External"/><Relationship Id="rId4" Type="http://schemas.openxmlformats.org/officeDocument/2006/relationships/settings" Target="settings.xml"/><Relationship Id="rId9" Type="http://schemas.openxmlformats.org/officeDocument/2006/relationships/hyperlink" Target="https://doi.org/10.1111/0022-1082.00146"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6</Pages>
  <Words>2945</Words>
  <Characters>16789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Is One Shrinkage Parameter Enough</dc:title>
  <dc:subject>Signal Uncertainty in Enhanced Portfolio Optimization</dc:subject>
  <dc:creator>Yuzhen Chen; Yadan Zhan; Shuchen Meng</dc:creator>
  <cp:keywords/>
  <dc:description/>
  <cp:lastModifiedBy>Shuchen Meng</cp:lastModifiedBy>
  <cp:revision>7</cp:revision>
  <dcterms:created xsi:type="dcterms:W3CDTF">2013-12-23T23:15:00Z</dcterms:created>
  <dcterms:modified xsi:type="dcterms:W3CDTF">2026-10-07T05:11:00Z</dcterms:modified>
  <cp:category/>
</cp:coreProperties>
</file>