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pPr w:leftFromText="180" w:rightFromText="180" w:vertAnchor="text" w:horzAnchor="page" w:tblpXSpec="center" w:tblpY="147"/>
        <w:tblOverlap w:val="never"/>
        <w:tblW w:w="8798" w:type="dxa"/>
        <w:jc w:val="center"/>
        <w:tblDescription w:val="Layout table to enter Company Name, Address, and Logo"/>
        <w:tblLayout w:type="fixed"/>
        <w:tblCellMar>
          <w:top w:w="0" w:type="dxa"/>
          <w:left w:w="0" w:type="dxa"/>
          <w:bottom w:w="288" w:type="dxa"/>
          <w:right w:w="0" w:type="dxa"/>
        </w:tblCellMar>
      </w:tblPr>
      <w:tblGrid>
        <w:gridCol w:w="4364"/>
        <w:gridCol w:w="4434"/>
      </w:tblGrid>
      <w:tr w14:paraId="3EF3A842">
        <w:tblPrEx>
          <w:tblCellMar>
            <w:top w:w="0" w:type="dxa"/>
            <w:left w:w="0" w:type="dxa"/>
            <w:bottom w:w="288" w:type="dxa"/>
            <w:right w:w="0" w:type="dxa"/>
          </w:tblCellMar>
        </w:tblPrEx>
        <w:trPr>
          <w:trHeight w:val="5403" w:hRule="atLeast"/>
          <w:jc w:val="center"/>
        </w:trPr>
        <w:tc>
          <w:tcPr>
            <w:tcW w:w="8798" w:type="dxa"/>
            <w:gridSpan w:val="2"/>
            <w:vAlign w:val="bottom"/>
          </w:tcPr>
          <w:p w14:paraId="73511086">
            <w:pPr>
              <w:pStyle w:val="9"/>
              <w:widowControl/>
              <w:spacing w:before="60" w:line="180" w:lineRule="auto"/>
              <w:ind w:left="144" w:right="144"/>
              <w:jc w:val="left"/>
              <w:rPr>
                <w:rFonts w:hint="eastAsia" w:ascii="Noto Sans SC Black" w:hAnsi="Noto Sans SC Black" w:eastAsia="Noto Sans SC Black" w:cs="Noto Sans SC Black"/>
                <w:b/>
                <w:color w:val="462AB5"/>
                <w:kern w:val="28"/>
                <w:sz w:val="72"/>
                <w:szCs w:val="52"/>
                <w:lang w:eastAsia="ja-JP"/>
              </w:rPr>
            </w:pPr>
            <w:sdt>
              <w:sdtPr>
                <w:rPr>
                  <w:sz w:val="112"/>
                  <w:szCs w:val="96"/>
                </w:rPr>
                <w:id w:val="147451190"/>
                <w:placeholder>
                  <w:docPart w:val="{f8045514-d3a7-4c5d-b12f-395f112d397c}"/>
                </w:placeholder>
                <w15:appearance w15:val="hidden"/>
              </w:sdtPr>
              <w:sdtEndPr>
                <w:rPr>
                  <w:rFonts w:hint="eastAsia" w:ascii="Noto Sans SC Black" w:hAnsi="Noto Sans SC Black" w:eastAsia="Noto Sans SC Black" w:cs="Noto Sans SC Black"/>
                  <w:b/>
                  <w:color w:val="462AB5"/>
                  <w:kern w:val="28"/>
                  <w:sz w:val="96"/>
                  <w:szCs w:val="56"/>
                  <w:lang w:eastAsia="ja-JP"/>
                </w:rPr>
              </w:sdtEndPr>
              <w:sdtContent>
                <w:sdt>
                  <w:sdtPr>
                    <w:rPr>
                      <w:sz w:val="96"/>
                      <w:szCs w:val="56"/>
                    </w:rPr>
                    <w:id w:val="147462038"/>
                    <w:placeholder>
                      <w:docPart w:val="{c5ec604e-dbc7-4488-84a2-1d119db03943}"/>
                    </w:placeholder>
                    <w15:appearance w15:val="hidden"/>
                  </w:sdtPr>
                  <w:sdtEndPr>
                    <w:rPr>
                      <w:rFonts w:hint="eastAsia" w:ascii="Noto Sans SC Black" w:hAnsi="Noto Sans SC Black" w:eastAsia="Noto Sans SC Black" w:cs="Noto Sans SC Black"/>
                      <w:b/>
                      <w:color w:val="462AB5"/>
                      <w:kern w:val="28"/>
                      <w:sz w:val="96"/>
                      <w:szCs w:val="56"/>
                      <w:lang w:eastAsia="ja-JP"/>
                    </w:rPr>
                  </w:sdtEndPr>
                  <w:sdtContent>
                    <w:r>
                      <w:rPr>
                        <w:rFonts w:hint="eastAsia" w:ascii="Noto Sans SC Black" w:hAnsi="Noto Sans SC Black" w:eastAsia="Noto Sans SC Black" w:cs="Noto Sans SC Black"/>
                        <w:b/>
                        <w:color w:val="462AB5"/>
                        <w:kern w:val="28"/>
                        <w:sz w:val="96"/>
                        <w:szCs w:val="56"/>
                        <w:lang w:eastAsia="ja-JP"/>
                      </w:rPr>
                      <w:t>Deutsche</w:t>
                    </w:r>
                    <w:r>
                      <w:rPr>
                        <w:rFonts w:hint="eastAsia" w:ascii="Noto Sans SC Black" w:hAnsi="Noto Sans SC Black" w:eastAsia="Noto Sans SC Black" w:cs="Noto Sans SC Black"/>
                        <w:b/>
                        <w:color w:val="462AB5"/>
                        <w:kern w:val="28"/>
                        <w:sz w:val="96"/>
                        <w:szCs w:val="56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Noto Sans SC Black" w:hAnsi="Noto Sans SC Black" w:eastAsia="Noto Sans SC Black" w:cs="Noto Sans SC Black"/>
                        <w:b/>
                        <w:color w:val="462AB5"/>
                        <w:kern w:val="28"/>
                        <w:sz w:val="96"/>
                        <w:szCs w:val="56"/>
                        <w:lang w:eastAsia="ja-JP"/>
                      </w:rPr>
                      <w:t>Glasfaser</w:t>
                    </w:r>
                  </w:sdtContent>
                </w:sdt>
              </w:sdtContent>
            </w:sdt>
            <w:r>
              <w:rPr>
                <w:rFonts w:hint="eastAsia" w:ascii="Noto Sans SC Black" w:hAnsi="Noto Sans SC Black" w:eastAsia="Noto Sans SC Black" w:cs="Noto Sans SC Black"/>
                <w:b/>
                <w:color w:val="462AB5"/>
                <w:kern w:val="28"/>
                <w:sz w:val="96"/>
                <w:szCs w:val="56"/>
                <w:lang w:eastAsia="ja-JP"/>
              </w:rPr>
              <w:t xml:space="preserve"> </w:t>
            </w:r>
          </w:p>
          <w:p w14:paraId="2D304D97">
            <w:pPr>
              <w:pStyle w:val="9"/>
              <w:widowControl/>
              <w:spacing w:before="60" w:line="180" w:lineRule="auto"/>
              <w:ind w:left="144" w:right="144"/>
              <w:jc w:val="left"/>
            </w:pPr>
            <w:r>
              <w:rPr>
                <w:rFonts w:hint="eastAsia" w:ascii="Noto Sans SC Black" w:hAnsi="Noto Sans SC Black" w:eastAsia="Noto Sans SC Black" w:cs="Noto Sans SC Black"/>
                <w:b/>
                <w:color w:val="462AB5"/>
                <w:kern w:val="28"/>
                <w:sz w:val="60"/>
                <w:szCs w:val="48"/>
                <w:lang w:eastAsia="ja-JP"/>
              </w:rPr>
              <w:t>Market Segmentation &amp; Customer Value Analysis Report</w:t>
            </w:r>
          </w:p>
        </w:tc>
      </w:tr>
      <w:tr w14:paraId="4A713E91">
        <w:tblPrEx>
          <w:tblCellMar>
            <w:top w:w="0" w:type="dxa"/>
            <w:left w:w="0" w:type="dxa"/>
            <w:bottom w:w="288" w:type="dxa"/>
            <w:right w:w="0" w:type="dxa"/>
          </w:tblCellMar>
        </w:tblPrEx>
        <w:trPr>
          <w:trHeight w:val="1285" w:hRule="atLeast"/>
          <w:jc w:val="center"/>
        </w:trPr>
        <w:tc>
          <w:tcPr>
            <w:tcW w:w="8798" w:type="dxa"/>
            <w:gridSpan w:val="2"/>
          </w:tcPr>
          <w:p w14:paraId="7368BCB6">
            <w:pPr>
              <w:pStyle w:val="19"/>
              <w:ind w:left="0" w:right="0"/>
              <w:rPr>
                <w:rFonts w:hint="default" w:ascii="Gill Sans MT" w:hAnsi="Gill Sans MT" w:cs="Gill Sans MT"/>
                <w:color w:val="462AB5"/>
                <w:sz w:val="28"/>
                <w:szCs w:val="22"/>
              </w:rPr>
            </w:pPr>
            <w:r>
              <w:rPr>
                <w:rFonts w:hint="default" w:ascii="Gill Sans MT" w:hAnsi="Gill Sans MT" w:cs="Gill Sans MT"/>
                <w:color w:val="462AB5"/>
                <w:sz w:val="28"/>
                <w:szCs w:val="22"/>
              </w:rPr>
              <w:t xml:space="preserve">Data-Driven Strategy for Fiber Optic Market Expansion </w:t>
            </w:r>
          </w:p>
          <w:p w14:paraId="6C1567B8">
            <w:pPr>
              <w:pStyle w:val="9"/>
              <w:spacing w:before="60"/>
              <w:ind w:left="144" w:right="144"/>
              <w:rPr>
                <w:rFonts w:hint="eastAsia"/>
                <w:color w:val="462AB5"/>
                <w:sz w:val="60"/>
                <w:szCs w:val="56"/>
              </w:rPr>
            </w:pPr>
          </w:p>
        </w:tc>
      </w:tr>
      <w:tr w14:paraId="34BD7E03">
        <w:tblPrEx>
          <w:tblCellMar>
            <w:top w:w="0" w:type="dxa"/>
            <w:left w:w="0" w:type="dxa"/>
            <w:bottom w:w="288" w:type="dxa"/>
            <w:right w:w="0" w:type="dxa"/>
          </w:tblCellMar>
        </w:tblPrEx>
        <w:trPr>
          <w:trHeight w:val="4399" w:hRule="atLeast"/>
          <w:jc w:val="center"/>
        </w:trPr>
        <w:tc>
          <w:tcPr>
            <w:tcW w:w="4364" w:type="dxa"/>
            <w:vAlign w:val="bottom"/>
          </w:tcPr>
          <w:p w14:paraId="299133FE">
            <w:pPr>
              <w:pStyle w:val="9"/>
              <w:spacing w:before="60"/>
              <w:ind w:left="144" w:right="144"/>
              <w:jc w:val="left"/>
              <w:rPr>
                <w:rFonts w:hint="eastAsia"/>
                <w:color w:val="462AB5"/>
                <w:sz w:val="60"/>
                <w:szCs w:val="56"/>
              </w:rPr>
            </w:pPr>
            <w:r>
              <w:rPr>
                <w:color w:val="462AB5"/>
                <w:lang w:val="en-AU" w:eastAsia="en-AU"/>
              </w:rPr>
              <w:drawing>
                <wp:inline distT="0" distB="0" distL="0" distR="0">
                  <wp:extent cx="2695575" cy="1727200"/>
                  <wp:effectExtent l="0" t="0" r="0" b="7620"/>
                  <wp:docPr id="397249899" name="Graphic 1" descr="Illustration of two people in a meting looing at ch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249899" name="Graphic 1" descr="Illustration of two people in a meting looing at chart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l="7617" t="11145" b="4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vAlign w:val="bottom"/>
          </w:tcPr>
          <w:p w14:paraId="624938E2">
            <w:pPr>
              <w:pStyle w:val="9"/>
              <w:spacing w:before="60"/>
              <w:ind w:right="144"/>
              <w:jc w:val="left"/>
              <w:rPr>
                <w:rFonts w:hint="default" w:ascii="Gill Sans MT" w:hAnsi="Gill Sans MT" w:cs="Gill Sans MT" w:eastAsiaTheme="majorEastAsia"/>
                <w:b w:val="0"/>
                <w:color w:val="462AB5"/>
                <w:kern w:val="0"/>
                <w:sz w:val="28"/>
                <w:szCs w:val="22"/>
                <w:lang w:val="en-AU" w:eastAsia="en-AU" w:bidi="ar-SA"/>
              </w:rPr>
            </w:pPr>
            <w:r>
              <w:rPr>
                <w:rFonts w:hint="default" w:ascii="Gill Sans MT" w:hAnsi="Gill Sans MT" w:cs="Gill Sans MT" w:eastAsiaTheme="majorEastAsia"/>
                <w:b w:val="0"/>
                <w:color w:val="462AB5"/>
                <w:kern w:val="0"/>
                <w:sz w:val="28"/>
                <w:szCs w:val="22"/>
                <w:lang w:val="en-AU" w:eastAsia="en-AU" w:bidi="ar-SA"/>
              </w:rPr>
              <w:t>Author: Chen Meng</w:t>
            </w:r>
          </w:p>
          <w:p w14:paraId="7CD087D7">
            <w:pPr>
              <w:pStyle w:val="9"/>
              <w:spacing w:before="60"/>
              <w:ind w:left="144" w:right="144"/>
              <w:jc w:val="left"/>
              <w:rPr>
                <w:rFonts w:hint="default" w:ascii="Gill Sans MT" w:hAnsi="Gill Sans MT" w:cs="Gill Sans MT" w:eastAsiaTheme="majorEastAsia"/>
                <w:b w:val="0"/>
                <w:color w:val="462AB5"/>
                <w:kern w:val="0"/>
                <w:sz w:val="28"/>
                <w:szCs w:val="22"/>
                <w:lang w:val="en-AU" w:eastAsia="en-AU" w:bidi="ar-SA"/>
              </w:rPr>
            </w:pPr>
          </w:p>
          <w:p w14:paraId="1EB38504">
            <w:pPr>
              <w:pStyle w:val="9"/>
              <w:spacing w:before="60"/>
              <w:ind w:right="144"/>
              <w:jc w:val="left"/>
              <w:rPr>
                <w:color w:val="462AB5"/>
                <w:lang w:val="en-AU" w:eastAsia="en-AU"/>
              </w:rPr>
            </w:pPr>
            <w:r>
              <w:rPr>
                <w:rFonts w:hint="default" w:ascii="Gill Sans MT" w:hAnsi="Gill Sans MT" w:cs="Gill Sans MT" w:eastAsiaTheme="majorEastAsia"/>
                <w:b w:val="0"/>
                <w:color w:val="462AB5"/>
                <w:kern w:val="0"/>
                <w:sz w:val="22"/>
                <w:szCs w:val="20"/>
                <w:lang w:val="en-AU" w:eastAsia="en-AU" w:bidi="ar-SA"/>
              </w:rPr>
              <w:t>Tools: Python (Pandas, Scikit-learn), Power BI</w:t>
            </w:r>
          </w:p>
        </w:tc>
      </w:tr>
    </w:tbl>
    <w:p w14:paraId="0C4EC7E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87" w:afterAutospacing="0" w:line="187" w:lineRule="atLeast"/>
        <w:ind w:left="0" w:right="0" w:firstLine="0"/>
        <w:jc w:val="both"/>
        <w:rPr>
          <w:rStyle w:val="13"/>
          <w:rFonts w:hint="default" w:ascii="Gill Sans MT" w:hAnsi="Gill Sans MT" w:eastAsia="Segoe UI" w:cs="Gill Sans MT"/>
          <w:i w:val="0"/>
          <w:iCs w:val="0"/>
          <w:caps w:val="0"/>
          <w:color w:val="462AB5"/>
          <w:spacing w:val="0"/>
          <w:sz w:val="48"/>
          <w:szCs w:val="48"/>
          <w:shd w:val="clear" w:fill="FFFFFF"/>
        </w:rPr>
      </w:pPr>
      <w:bookmarkStart w:id="0" w:name="_GoBack"/>
    </w:p>
    <w:bookmarkEnd w:id="0"/>
    <w:p w14:paraId="01CDA197">
      <w:pPr>
        <w:rPr>
          <w:rFonts w:hint="eastAsia"/>
          <w:b/>
          <w:bCs/>
        </w:rPr>
      </w:pPr>
      <w:r>
        <w:rPr>
          <w:rFonts w:hint="eastAsia" w:ascii="Noto Sans SC Black" w:hAnsi="Noto Sans SC Black" w:eastAsia="Noto Sans SC Black" w:cs="Noto Sans SC Black"/>
          <w:color w:val="6F55D7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-9483725</wp:posOffset>
                </wp:positionV>
                <wp:extent cx="219710" cy="10741025"/>
                <wp:effectExtent l="0" t="0" r="3175" b="698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0741025"/>
                        </a:xfrm>
                        <a:prstGeom prst="rect">
                          <a:avLst/>
                        </a:prstGeom>
                        <a:solidFill>
                          <a:srgbClr val="6F55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5pt;margin-top:-746.75pt;height:845.75pt;width:17.3pt;z-index:251662336;v-text-anchor:middle;mso-width-relative:page;mso-height-relative:page;" fillcolor="#6F55D7" filled="t" stroked="f" coordsize="21600,21600" o:gfxdata="UEsDBAoAAAAAAIdO4kAAAAAAAAAAAAAAAAAEAAAAZHJzL1BLAwQUAAAACACHTuJA+OwZzt0AAAAP&#10;AQAADwAAAGRycy9kb3ducmV2LnhtbE2PTU/DMAyG70j8h8hI3La0+2ItTXcAIVGhHRiTdk1br6nW&#10;OFWTbYVfj3eC22P51evH2Wa0nbjg4FtHCuJpBAKpcnVLjYL919tkDcIHTbXuHKGCb/Swye/vMp3W&#10;7kqfeNmFRnAJ+VQrMCH0qZS+Mmi1n7oeiXdHN1gdeBwaWQ/6yuW2k7MoWkmrW+ILRvf4YrA67c5W&#10;wcf8/fWAh7EoTZsUP7YsFttTodTjQxw9gwg4hr8w3PRZHXJ2Kt2Zai86BZP4KUk4e6PFaj0HwSHG&#10;JVOpYBYvE5B5Jv//kf8CUEsDBBQAAAAIAIdO4kBLGi3mYwIAAM8EAAAOAAAAZHJzL2Uyb0RvYy54&#10;bWytVMtu2zAQvBfoPxC8N5Jdx46NyIERw0WBoAmaFj3TFCUR4KskbTn9+g4p5dG0hxzqA72rXc3s&#10;Dnd1eXXSihyFD9Kaik7OSkqE4baWpq3o92+7DxeUhMhMzZQ1oqIPItCr9ft3l71biantrKqFJwAx&#10;YdW7inYxulVRBN4JzcKZdcIg2FivWYTr26L2rAe6VsW0LOdFb33tvOUiBDzdDkE6Ivq3ANqmkVxs&#10;LT9oYeKA6oViES2FTrpA17naphE83jZNEJGoiqLTmE+QwN6ns1hfslXrmeskH0tgbynhVU+aSQPS&#10;J6gti4wcvPwLSkvubbBNPONWF0MjWRF0MSlfaXPfMSdyL5A6uCfRw/+D5V+Od57IuqJLSgzTuPCv&#10;EI2ZVgnyMcnTu7BC1r2786MXYKZeT43X6R9dkFOW9OFJUnGKhOPhdLJcTCA2R2hSzpez+SKLXjy/&#10;7nyIn4TVJBkV9aDPUrLjTYigROpjSmILVsl6J5XKjm/318qTI8P9znfn59tFqhmv/JGmDOnBP12U&#10;qRSGqW0wLTC1Q+fBtJQw1WIdePSZ29jEAKSBe8tCN3Bk2GFqtIxYBCV1RS/K9BuZlUEBSbVBp2Tt&#10;bf0Amb0d5i84vpNo9oaFeMc8Bg5lYSXjLY5GWdRqR4uSzvpf/3qe8jEHiFLSY4DRx88D84IS9dlg&#10;QpaT2QywMTuz88UUjn8Z2b+MmIO+ttBwguV3PJspP6pHs/FW/8DmbhIrQsxwcA+Kjc51HBYLu8/F&#10;ZpPTMOWOxRtz73gCT4IauzlE28h8t8/qjKJhzvP9jTuZFumln7Oev0P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jsGc7dAAAADwEAAA8AAAAAAAAAAQAgAAAAIgAAAGRycy9kb3ducmV2LnhtbFBL&#10;AQIUABQAAAAIAIdO4kBLGi3mYwIAAM8EAAAOAAAAAAAAAAEAIAAAACw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 w14:paraId="58C6F36A">
      <w:pP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ja-JP" w:bidi="ar-SA"/>
        </w:rPr>
      </w:pPr>
      <w:r>
        <w:rPr>
          <w:rFonts w:hint="eastAsia" w:ascii="Noto Sans SC Black" w:hAnsi="Noto Sans SC Black" w:eastAsia="Noto Sans SC Black" w:cs="Noto Sans SC Black"/>
          <w:color w:val="6F55D7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-915670</wp:posOffset>
                </wp:positionV>
                <wp:extent cx="219710" cy="10694670"/>
                <wp:effectExtent l="0" t="0" r="3175" b="3810"/>
                <wp:wrapNone/>
                <wp:docPr id="5885637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0694670"/>
                        </a:xfrm>
                        <a:prstGeom prst="rect">
                          <a:avLst/>
                        </a:prstGeom>
                        <a:solidFill>
                          <a:srgbClr val="6F55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5pt;margin-top:-72.1pt;height:842.1pt;width:17.3pt;z-index:251659264;v-text-anchor:middle;mso-width-relative:page;mso-height-relative:page;" fillcolor="#6F55D7" filled="t" stroked="f" coordsize="21600,21600" o:gfxdata="UEsDBAoAAAAAAIdO4kAAAAAAAAAAAAAAAAAEAAAAZHJzL1BLAwQUAAAACACHTuJAVmiM2t0AAAAP&#10;AQAADwAAAGRycy9kb3ducmV2LnhtbE2PwU7DMBBE70j8g7VI3Fo7NC0lxOkBhESEeqAg9eokSxw1&#10;Xkex2wa+nu0JbjPap9mZfDO5XpxwDJ0nDclcgUCqfdNRq+Hz42W2BhGiocb0nlDDNwbYFNdXucka&#10;f6Z3PO1iKziEQmY02BiHTMpQW3QmzP2AxLcvPzoT2Y6tbEZz5nDXyzulVtKZjviDNQM+WawPu6PT&#10;8LZ4fd7jfior2z2UP64q0+2h1Pr2JlGPICJO8Q+GS32uDgV3qvyRmiB6DbNkrXhMvKh0cQ+CGVbL&#10;FETFdLpSS5BFLv/vKH4BUEsDBBQAAAAIAIdO4kC9QYOgawIAANcEAAAOAAAAZHJzL2Uyb0RvYy54&#10;bWytVMlu2zAQvRfoPxC8N5IcbzEiB0YMFwWCJkha9ExTlEWAW0l6Sb++j5SyNO0hh/ogz2hG7808&#10;zvDy6qQVOQgfpDU1rc5KSoThtpFmV9Pv3zaf5pSEyEzDlDWipo8i0Kvlxw+XR7cQI9tZ1QhPAGLC&#10;4uhq2sXoFkUReCc0C2fWCYNga71mEa7fFY1nR6BrVYzKclocrW+ct1yEgLfrPkgHRP8eQNu2kou1&#10;5XstTOxRvVAsoqXQSRfoMlfbtoLH27YNIhJVU3Qa8xMksLfpWSwv2WLnmeskH0pg7ynhTU+aSQPS&#10;Z6g1i4zsvfwLSkvubbBtPONWF30jWRF0UZVvtHnomBO5F0gd3LPo4f/B8q+HO09kU9PJfD6Zns/G&#10;Y0oM0zj4e4jHzE4Jcp5kOrqwQPaDu/ODF2Cmnk+t1+kf3ZBTlvbxWVpxioTj5ai6mFUQnSNUldV8&#10;Op1l8YuXz50P8bOwmiSjph70WVJ2uAkRlEh9SklswSrZbKRS2fG77bXy5MBwztPNZLKepZrxyR9p&#10;ypAj+EezMpXCML0tpgamdlAgmB0lTO2wFjz6zG1sYgBSz71moes5Mmw/PVpGLISSuqbzMv0GZmVQ&#10;QFKt1ylZW9s8Qm5v+zkMjm8kmr1hId4xj8FDWVjNeItHqyxqtYNFSWf9r3+9T/mYB0QpOWKQ0cfP&#10;PfOCEvXFYFIuqvEYsDE748lsBMe/jmxfR8xeX1toWOEScDybKT+qJ7P1Vv/ABq8SK0LMcHD3ig3O&#10;dewXDHcAF6tVTsO0OxZvzIPjCTwJauxqH20r89m+qDOIhnnP5zfsZlqo137OermP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miM2t0AAAAPAQAADwAAAAAAAAABACAAAAAiAAAAZHJzL2Rvd25y&#10;ZXYueG1sUEsBAhQAFAAAAAgAh07iQL1Bg6BrAgAA1w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ja-JP" w:bidi="ar-SA"/>
        </w:rPr>
        <w:t>Executive Summary</w:t>
      </w:r>
    </w:p>
    <w:tbl>
      <w:tblPr>
        <w:tblStyle w:val="11"/>
        <w:tblpPr w:leftFromText="180" w:rightFromText="180" w:vertAnchor="text" w:horzAnchor="page" w:tblpX="1879" w:tblpY="2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 w14:paraId="00C6FB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8313" w:type="dxa"/>
            <w:shd w:val="clear" w:color="auto" w:fill="E7E6E6" w:themeFill="background2"/>
          </w:tcPr>
          <w:p w14:paraId="73AFDF71">
            <w:pP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Objective:</w:t>
            </w:r>
          </w:p>
          <w:p w14:paraId="5BA15A8D">
            <w:pP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Identify high-potential customer segments through data-driven methods to optimize marketing resource allocation.</w:t>
            </w:r>
          </w:p>
        </w:tc>
      </w:tr>
      <w:tr w14:paraId="259AB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8313" w:type="dxa"/>
            <w:shd w:val="clear" w:color="auto" w:fill="E7E6E6" w:themeFill="background2"/>
          </w:tcPr>
          <w:p w14:paraId="0F6BCC8F">
            <w:pPr>
              <w:tabs>
                <w:tab w:val="left" w:pos="1470"/>
              </w:tabs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Key Findings:</w:t>
            </w:r>
          </w:p>
          <w:p w14:paraId="55F33B23">
            <w:pPr>
              <w:numPr>
                <w:ilvl w:val="0"/>
                <w:numId w:val="1"/>
              </w:numPr>
              <w:ind w:left="195" w:leftChars="0" w:hanging="195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Rural SMEs and remote workers exhibit significant unmet demand (25% gap in fiber adoption rate).</w:t>
            </w:r>
          </w:p>
          <w:p w14:paraId="12B561EA">
            <w:pPr>
              <w:numPr>
                <w:ilvl w:val="0"/>
                <w:numId w:val="1"/>
              </w:numPr>
              <w:ind w:left="195" w:leftChars="0" w:hanging="195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Among four core customer clusters, Cluster 3 ("High Usage-Low Spend") offers the best cross-selling potential (+30% revenue uplift).</w:t>
            </w:r>
          </w:p>
          <w:p w14:paraId="1652D5FD">
            <w:pPr>
              <w:numPr>
                <w:ilvl w:val="0"/>
                <w:numId w:val="1"/>
              </w:numPr>
              <w:ind w:left="195" w:leftChars="0" w:hanging="195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Rural regions like Saxony-Anhalt show the largest gap between fiber coverage and adoption (priority for expansion).</w:t>
            </w:r>
          </w:p>
        </w:tc>
      </w:tr>
    </w:tbl>
    <w:p w14:paraId="64830420">
      <w:pPr>
        <w:rPr>
          <w:rFonts w:hint="eastAsia"/>
          <w:b/>
          <w:bCs/>
        </w:rPr>
      </w:pPr>
    </w:p>
    <w:p w14:paraId="1659CC3B">
      <w:pPr>
        <w:rPr>
          <w:rFonts w:hint="eastAsia"/>
          <w:b/>
          <w:bCs/>
        </w:rPr>
      </w:pPr>
    </w:p>
    <w:p w14:paraId="733D447D">
      <w:pPr>
        <w:rPr>
          <w:rFonts w:hint="eastAsia"/>
          <w:b/>
          <w:bCs/>
        </w:rPr>
      </w:pPr>
    </w:p>
    <w:p w14:paraId="0A60A689">
      <w:pP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ja-JP" w:bidi="ar-SA"/>
        </w:rPr>
      </w:pPr>
      <w: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ja-JP" w:bidi="ar-SA"/>
        </w:rPr>
        <w:t>Data &amp; Methodology</w:t>
      </w:r>
    </w:p>
    <w:tbl>
      <w:tblPr>
        <w:tblStyle w:val="11"/>
        <w:tblpPr w:leftFromText="180" w:rightFromText="180" w:vertAnchor="text" w:horzAnchor="page" w:tblpX="1879" w:tblpY="2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 w14:paraId="5ED70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8313" w:type="dxa"/>
            <w:shd w:val="clear" w:color="auto" w:fill="E7E6E6" w:themeFill="background2"/>
          </w:tcPr>
          <w:p w14:paraId="05CE427D">
            <w:pP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Data Sources:</w:t>
            </w:r>
          </w:p>
          <w:p w14:paraId="3414E854">
            <w:pPr>
              <w:numPr>
                <w:ilvl w:val="0"/>
                <w:numId w:val="1"/>
              </w:numPr>
              <w:ind w:left="195" w:leftChars="0" w:hanging="195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Simulated customer data: 1,000 records with fields including location, age, occupation, current ISP, and monthly spend (generated based on real coverage data).</w:t>
            </w:r>
          </w:p>
          <w:p w14:paraId="269AD964">
            <w:pPr>
              <w:numPr>
                <w:ilvl w:val="0"/>
                <w:numId w:val="1"/>
              </w:numPr>
              <w:ind w:left="195" w:leftChars="0" w:hanging="195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Real coverage data: FTTH (Fiber-to-the-Home) coverage by German state (sourced from Glasfaser.xlsx).</w:t>
            </w:r>
          </w:p>
        </w:tc>
      </w:tr>
      <w:tr w14:paraId="42CF3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4" w:hRule="atLeast"/>
        </w:trPr>
        <w:tc>
          <w:tcPr>
            <w:tcW w:w="8313" w:type="dxa"/>
            <w:shd w:val="clear" w:color="auto" w:fill="E7E6E6" w:themeFill="background2"/>
          </w:tcPr>
          <w:p w14:paraId="2A4DC107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Analytical Workflow:</w:t>
            </w:r>
          </w:p>
          <w:p w14:paraId="7D2E9C9A">
            <w:pPr>
              <w:numPr>
                <w:ilvl w:val="0"/>
                <w:numId w:val="2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Data Cleaning (2.data_cleansing.py):</w:t>
            </w:r>
          </w:p>
          <w:p w14:paraId="6CB7BC9F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Handle missing values.</w:t>
            </w:r>
          </w:p>
          <w:p w14:paraId="448B8315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Flag high-potential customers (potential_upsell=1).</w:t>
            </w:r>
          </w:p>
          <w:p w14:paraId="2B25BB47">
            <w:pPr>
              <w:numPr>
                <w:ilvl w:val="0"/>
                <w:numId w:val="3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Exploratory Analysis (3.EDA.py):</w:t>
            </w:r>
          </w:p>
          <w:p w14:paraId="1CB3F6E6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Geographic disparities in fiber adoption (urban vs. rural).</w:t>
            </w:r>
          </w:p>
          <w:p w14:paraId="17FB0325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Customer feature distributions (age, spend vs. usage correlation).</w:t>
            </w:r>
          </w:p>
          <w:p w14:paraId="05F597C6"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RFM + K-Means Clustering (4.RFM+K-Means.py):</w:t>
            </w:r>
          </w:p>
          <w:p w14:paraId="6C5FAD86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Segment customers into 4 clusters using Recency (Age), Frequency (Usage), and Monetary (Spend).</w:t>
            </w:r>
          </w:p>
        </w:tc>
      </w:tr>
    </w:tbl>
    <w:p w14:paraId="159F535E">
      <w:pPr>
        <w:rPr>
          <w:rFonts w:hint="eastAsia"/>
        </w:rPr>
      </w:pPr>
    </w:p>
    <w:p w14:paraId="142DB2FB">
      <w:pPr>
        <w:rPr>
          <w:rFonts w:hint="eastAsia"/>
        </w:rPr>
      </w:pPr>
    </w:p>
    <w:p w14:paraId="5B7080C1">
      <w:pPr>
        <w:rPr>
          <w:rFonts w:hint="eastAsia"/>
        </w:rPr>
      </w:pPr>
    </w:p>
    <w:p w14:paraId="3BB4A3E7">
      <w:pPr>
        <w:rPr>
          <w:rFonts w:hint="default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8"/>
          <w:szCs w:val="10"/>
          <w:lang w:val="en-US" w:eastAsia="ja-JP" w:bidi="ar-SA"/>
          <w14:textFill>
            <w14:solidFill>
              <w14:schemeClr w14:val="tx1"/>
            </w14:solidFill>
          </w14:textFill>
        </w:rPr>
      </w:pPr>
      <w: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ja-JP" w:bidi="ar-SA"/>
        </w:rPr>
        <w:t>Customer Segmentation &amp; Strategic Recommendations</w:t>
      </w:r>
    </w:p>
    <w:p w14:paraId="3F92618D">
      <w:pPr>
        <w:numPr>
          <w:ilvl w:val="0"/>
          <w:numId w:val="0"/>
        </w:numPr>
        <w:ind w:leftChars="0"/>
        <w:rPr>
          <w:rFonts w:hint="default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2BF7B54A">
      <w:pPr>
        <w:numPr>
          <w:ilvl w:val="0"/>
          <w:numId w:val="4"/>
        </w:numPr>
        <w:ind w:leftChars="0"/>
        <w:rPr>
          <w:rFonts w:hint="default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  <w:t>Cluster Visualization</w:t>
      </w:r>
    </w:p>
    <w:p w14:paraId="1ECC6FE6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</w:p>
    <w:p w14:paraId="60EB35F3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</w:p>
    <w:p w14:paraId="0EC1A0FC"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2410" cy="2425700"/>
            <wp:effectExtent l="0" t="0" r="2540" b="127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Noto Sans SC Black" w:hAnsi="Noto Sans SC Black" w:eastAsia="Noto Sans SC Black" w:cs="Noto Sans SC Black"/>
          <w:color w:val="6F55D7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-912495</wp:posOffset>
                </wp:positionV>
                <wp:extent cx="219710" cy="10694670"/>
                <wp:effectExtent l="0" t="0" r="3175" b="381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0694670"/>
                        </a:xfrm>
                        <a:prstGeom prst="rect">
                          <a:avLst/>
                        </a:prstGeom>
                        <a:solidFill>
                          <a:srgbClr val="6F55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0pt;margin-top:-71.85pt;height:842.1pt;width:17.3pt;z-index:251660288;v-text-anchor:middle;mso-width-relative:page;mso-height-relative:page;" fillcolor="#6F55D7" filled="t" stroked="f" coordsize="21600,21600" o:gfxdata="UEsDBAoAAAAAAIdO4kAAAAAAAAAAAAAAAAAEAAAAZHJzL1BLAwQUAAAACACHTuJA6w1gKdwAAAAP&#10;AQAADwAAAGRycy9kb3ducmV2LnhtbE2PwU7DMBBE70j8g7VI3Fo7NIES4vQAQiJCHChIvTrJEkeN&#10;11HstoGvZ3uC24z2aXam2MxuEEecQu9JQ7JUIJAa3/bUafj8eF6sQYRoqDWDJ9TwjQE25eVFYfLW&#10;n+gdj9vYCQ6hkBsNNsYxlzI0Fp0JSz8i8e3LT85EtlMn28mcONwN8kapW+lMT/zBmhEfLTb77cFp&#10;eF29PO1wN1e17e+rH1dX6du+0vr6KlEPICLO8Q+Gc32uDiV3qv2B2iAGDYtkrXhMPKt0dQeCGVZZ&#10;CqJmOktVBrIs5P8d5S9QSwMEFAAAAAgAh07iQGwUTNZjAgAAzwQAAA4AAABkcnMvZTJvRG9jLnht&#10;bK1Uy27bMBC8F+g/ELw3kl3HTozIgRHDRYGgMZoWPdMUJRHgqyRtOf36Dinl0bSHHOoDvatdzewO&#10;d3V1fdKKHIUP0pqKTs5KSoThtpamrej3b9sPF5SEyEzNlDWiog8i0OvV+3dXvVuKqe2sqoUnADFh&#10;2buKdjG6ZVEE3gnNwpl1wiDYWK9ZhOvbovasB7pWxbQs50Vvfe285SIEPN0MQToi+rcA2qaRXGws&#10;P2hh4oDqhWIRLYVOukBXudqmETzeNU0QkaiKotOYT5DA3qezWF2xZeuZ6yQfS2BvKeFVT5pJA9In&#10;qA2LjBy8/AtKS+5tsE0841YXQyNZEXQxKV9pc98xJ3IvkDq4J9HD/4PlX447T2Rd0QUlhmlc+FeI&#10;xkyrBPmY5OldWCLr3u386AWYqddT43X6RxfklCV9eJJUnCLheDidXC4mEJsjNCnnl7P5IotePL/u&#10;fIifhNUkGRX1oM9SsuNtiKBE6mNKYgtWyXorlcqOb/c3ypMjw/3Ot+fnm0WqGa/8kaYM6cE/XZSp&#10;FIapbTAtMLVD58G0lDDVYh149Jnb2MQApIF7w0I3cGTYYWq0jFgEJXVFL8r0G5mVQQFJtUGnZO1t&#10;/QCZvR3mLzi+lWj2loW4Yx4Dh7KwkvEOR6MsarWjRUln/a9/PU/5mANEKekxwOjj54F5QYn6bDAh&#10;l5PZDLAxO7PzxRSOfxnZv4yYg76x0HCC5Xc8myk/qkez8Vb/wOauEytCzHBwD4qNzk0cFgu7z8V6&#10;ndMw5Y7FW3PveAJPghq7PkTbyHy3z+qMomHO8/2NO5kW6aWfs56/Q6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w1gKdwAAAAPAQAADwAAAAAAAAABACAAAAAiAAAAZHJzL2Rvd25yZXYueG1sUEsB&#10;AhQAFAAAAAgAh07iQGwUTNZjAgAAzwQAAA4AAAAAAAAAAQAgAAAAK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7"/>
        <w:tblpPr w:leftFromText="180" w:rightFromText="180" w:vertAnchor="text" w:horzAnchor="page" w:tblpX="1553" w:tblpY="313"/>
        <w:tblOverlap w:val="never"/>
        <w:tblW w:w="8977" w:type="dxa"/>
        <w:tblDescription w:val="Enter Item description, Number of resources, Hourly Rate, and Number of Hours in this table"/>
        <w:tblInd w:w="0" w:type="dxa"/>
        <w:tblBorders>
          <w:top w:val="single" w:color="6F55D7" w:sz="4" w:space="0"/>
          <w:left w:val="single" w:color="6F55D7" w:sz="4" w:space="0"/>
          <w:bottom w:val="single" w:color="6F55D7" w:sz="4" w:space="0"/>
          <w:right w:val="single" w:color="6F55D7" w:sz="4" w:space="0"/>
          <w:insideH w:val="single" w:color="6F55D7" w:sz="4" w:space="0"/>
          <w:insideV w:val="single" w:color="6F5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344"/>
        <w:gridCol w:w="938"/>
        <w:gridCol w:w="3711"/>
      </w:tblGrid>
      <w:tr w14:paraId="4FCB6496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tblHeader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50C9FFD7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</w:rPr>
              <w:t>Cluster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068AF19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</w:rPr>
              <w:t>Characteristics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B1243AC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</w:rPr>
              <w:t>Share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06BB056A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</w:rPr>
              <w:t>Strategy</w:t>
            </w:r>
          </w:p>
        </w:tc>
      </w:tr>
      <w:tr w14:paraId="0ACAFF4D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" w:type="dxa"/>
            <w:tcBorders>
              <w:top w:val="nil"/>
            </w:tcBorders>
            <w:vAlign w:val="center"/>
          </w:tcPr>
          <w:p w14:paraId="48DEA75B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Cluster 0</w:t>
            </w:r>
          </w:p>
        </w:tc>
        <w:tc>
          <w:tcPr>
            <w:tcW w:w="3344" w:type="dxa"/>
            <w:tcBorders>
              <w:top w:val="nil"/>
            </w:tcBorders>
            <w:vAlign w:val="center"/>
          </w:tcPr>
          <w:p w14:paraId="20C7383C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Low Usage, Low Spend (Seniors)</w:t>
            </w:r>
          </w:p>
        </w:tc>
        <w:tc>
          <w:tcPr>
            <w:tcW w:w="938" w:type="dxa"/>
            <w:tcBorders>
              <w:top w:val="nil"/>
            </w:tcBorders>
            <w:vAlign w:val="center"/>
          </w:tcPr>
          <w:p w14:paraId="15C51809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15%</w:t>
            </w:r>
          </w:p>
        </w:tc>
        <w:tc>
          <w:tcPr>
            <w:tcW w:w="3711" w:type="dxa"/>
            <w:tcBorders>
              <w:top w:val="nil"/>
            </w:tcBorders>
            <w:vAlign w:val="center"/>
          </w:tcPr>
          <w:p w14:paraId="4537DAA0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Promote basic bundles + TV packages.</w:t>
            </w:r>
          </w:p>
        </w:tc>
      </w:tr>
      <w:tr w14:paraId="4312E497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84" w:type="dxa"/>
            <w:vAlign w:val="center"/>
          </w:tcPr>
          <w:p w14:paraId="7059AF8F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Cluster 1</w:t>
            </w:r>
          </w:p>
        </w:tc>
        <w:tc>
          <w:tcPr>
            <w:tcW w:w="3344" w:type="dxa"/>
            <w:vAlign w:val="center"/>
          </w:tcPr>
          <w:p w14:paraId="183C0CCB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Moderate Usage, Moderate Spend</w:t>
            </w:r>
          </w:p>
        </w:tc>
        <w:tc>
          <w:tcPr>
            <w:tcW w:w="938" w:type="dxa"/>
            <w:vAlign w:val="center"/>
          </w:tcPr>
          <w:p w14:paraId="0EF8F1F8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35%</w:t>
            </w:r>
          </w:p>
        </w:tc>
        <w:tc>
          <w:tcPr>
            <w:tcW w:w="3711" w:type="dxa"/>
            <w:vAlign w:val="center"/>
          </w:tcPr>
          <w:p w14:paraId="070DE4EC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Offer free speed upgrade trials.</w:t>
            </w:r>
          </w:p>
        </w:tc>
      </w:tr>
      <w:tr w14:paraId="1F27692B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984" w:type="dxa"/>
            <w:vAlign w:val="center"/>
          </w:tcPr>
          <w:p w14:paraId="2845D80C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Cluster 2</w:t>
            </w:r>
          </w:p>
        </w:tc>
        <w:tc>
          <w:tcPr>
            <w:tcW w:w="3344" w:type="dxa"/>
            <w:vAlign w:val="center"/>
          </w:tcPr>
          <w:p w14:paraId="553511BB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High Usage, High Spend (Enterprises)</w:t>
            </w:r>
          </w:p>
        </w:tc>
        <w:tc>
          <w:tcPr>
            <w:tcW w:w="938" w:type="dxa"/>
            <w:vAlign w:val="center"/>
          </w:tcPr>
          <w:p w14:paraId="3D9B96BE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25%</w:t>
            </w:r>
          </w:p>
        </w:tc>
        <w:tc>
          <w:tcPr>
            <w:tcW w:w="3711" w:type="dxa"/>
            <w:vAlign w:val="center"/>
          </w:tcPr>
          <w:p w14:paraId="083887A9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Customize enterprise plans (static IP, high SLA).</w:t>
            </w:r>
          </w:p>
        </w:tc>
      </w:tr>
      <w:tr w14:paraId="0D069C01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84" w:type="dxa"/>
            <w:vAlign w:val="center"/>
          </w:tcPr>
          <w:p w14:paraId="72DAD138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Cluster 3</w:t>
            </w:r>
          </w:p>
        </w:tc>
        <w:tc>
          <w:tcPr>
            <w:tcW w:w="3344" w:type="dxa"/>
            <w:vAlign w:val="center"/>
          </w:tcPr>
          <w:p w14:paraId="2271C68A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High Usage, Low Spend (High Potential)</w:t>
            </w:r>
          </w:p>
        </w:tc>
        <w:tc>
          <w:tcPr>
            <w:tcW w:w="938" w:type="dxa"/>
            <w:vAlign w:val="center"/>
          </w:tcPr>
          <w:p w14:paraId="01DA6F62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25%</w:t>
            </w:r>
          </w:p>
        </w:tc>
        <w:tc>
          <w:tcPr>
            <w:tcW w:w="3711" w:type="dxa"/>
            <w:vAlign w:val="center"/>
          </w:tcPr>
          <w:p w14:paraId="33EFAE83">
            <w:pPr>
              <w:keepNext w:val="0"/>
              <w:keepLines w:val="0"/>
              <w:widowControl/>
              <w:suppressLineNumbers w:val="0"/>
              <w:spacing w:line="7" w:lineRule="atLeast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Target with premium plans (emphasize cost efficiency).</w:t>
            </w:r>
          </w:p>
        </w:tc>
      </w:tr>
    </w:tbl>
    <w:p w14:paraId="7C68FCFB">
      <w:pPr>
        <w:numPr>
          <w:numId w:val="0"/>
        </w:numPr>
        <w:rPr>
          <w:rFonts w:hint="default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73E9BCB6">
      <w:pPr>
        <w:numPr>
          <w:numId w:val="0"/>
        </w:numPr>
        <w:rPr>
          <w:rFonts w:hint="default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3893C7C8">
      <w:pPr>
        <w:numPr>
          <w:ilvl w:val="0"/>
          <w:numId w:val="4"/>
        </w:numPr>
        <w:ind w:leftChars="0"/>
        <w:rPr>
          <w:rFonts w:hint="default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Geographic Priority</w:t>
      </w:r>
      <w:r>
        <w:rPr>
          <w:rFonts w:hint="default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:</w:t>
      </w:r>
    </w:p>
    <w:p w14:paraId="1406BEE6">
      <w:pPr>
        <w:numPr>
          <w:numId w:val="0"/>
        </w:numPr>
        <w:rPr>
          <w:rFonts w:hint="default" w:eastAsia="宋体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73FB9759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49625" cy="2512060"/>
            <wp:effectExtent l="0" t="0" r="1905" b="5715"/>
            <wp:docPr id="3" name="图片 3" descr="top5_gap_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p5_gap_regio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pPr w:leftFromText="180" w:rightFromText="180" w:vertAnchor="text" w:horzAnchor="page" w:tblpX="1553" w:tblpY="313"/>
        <w:tblOverlap w:val="never"/>
        <w:tblW w:w="9000" w:type="dxa"/>
        <w:tblDescription w:val="Enter Item description, Number of resources, Hourly Rate, and Number of Hours in this table"/>
        <w:tblInd w:w="0" w:type="dxa"/>
        <w:tblBorders>
          <w:top w:val="single" w:color="6F55D7" w:sz="4" w:space="0"/>
          <w:left w:val="single" w:color="6F55D7" w:sz="4" w:space="0"/>
          <w:bottom w:val="single" w:color="6F55D7" w:sz="4" w:space="0"/>
          <w:right w:val="single" w:color="6F55D7" w:sz="4" w:space="0"/>
          <w:insideH w:val="single" w:color="6F55D7" w:sz="4" w:space="0"/>
          <w:insideV w:val="single" w:color="6F5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1106"/>
        <w:gridCol w:w="1547"/>
        <w:gridCol w:w="887"/>
        <w:gridCol w:w="3186"/>
      </w:tblGrid>
      <w:tr w14:paraId="336E0B00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tblHeader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4F28D649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4CF9BB8D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Coverage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2D34968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Adoption Rate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F689F15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Gap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07424078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</w:pPr>
            <w:r>
              <w:rPr>
                <w:rFonts w:hint="default" w:asciiTheme="majorAscii" w:hAnsiTheme="majorAscii"/>
                <w:sz w:val="18"/>
                <w:szCs w:val="18"/>
              </w:rPr>
              <w:t>Action</w:t>
            </w:r>
          </w:p>
        </w:tc>
      </w:tr>
      <w:tr w14:paraId="4E088078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274" w:type="dxa"/>
            <w:tcBorders>
              <w:top w:val="nil"/>
            </w:tcBorders>
            <w:vAlign w:val="center"/>
          </w:tcPr>
          <w:p w14:paraId="7AC47E92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Saxony-Anhalt</w:t>
            </w:r>
          </w:p>
        </w:tc>
        <w:tc>
          <w:tcPr>
            <w:tcW w:w="1106" w:type="dxa"/>
            <w:tcBorders>
              <w:top w:val="nil"/>
            </w:tcBorders>
            <w:vAlign w:val="center"/>
          </w:tcPr>
          <w:p w14:paraId="7DD9AD3B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45%</w:t>
            </w:r>
          </w:p>
        </w:tc>
        <w:tc>
          <w:tcPr>
            <w:tcW w:w="1547" w:type="dxa"/>
            <w:tcBorders>
              <w:top w:val="nil"/>
            </w:tcBorders>
            <w:vAlign w:val="center"/>
          </w:tcPr>
          <w:p w14:paraId="534B88D0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20%</w:t>
            </w:r>
          </w:p>
        </w:tc>
        <w:tc>
          <w:tcPr>
            <w:tcW w:w="887" w:type="dxa"/>
            <w:tcBorders>
              <w:top w:val="nil"/>
            </w:tcBorders>
            <w:vAlign w:val="center"/>
          </w:tcPr>
          <w:p w14:paraId="7B628BF2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25%</w:t>
            </w:r>
          </w:p>
        </w:tc>
        <w:tc>
          <w:tcPr>
            <w:tcW w:w="3186" w:type="dxa"/>
            <w:tcBorders>
              <w:top w:val="nil"/>
            </w:tcBorders>
            <w:vAlign w:val="center"/>
          </w:tcPr>
          <w:p w14:paraId="564FD013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Launch joint promotions with local governments.</w:t>
            </w:r>
          </w:p>
        </w:tc>
      </w:tr>
      <w:tr w14:paraId="77F57E63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274" w:type="dxa"/>
            <w:vAlign w:val="center"/>
          </w:tcPr>
          <w:p w14:paraId="7F2C64F3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Mecklenburg-Vorpommern</w:t>
            </w:r>
          </w:p>
        </w:tc>
        <w:tc>
          <w:tcPr>
            <w:tcW w:w="1106" w:type="dxa"/>
            <w:vAlign w:val="center"/>
          </w:tcPr>
          <w:p w14:paraId="099C12F4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  <w:tc>
          <w:tcPr>
            <w:tcW w:w="1547" w:type="dxa"/>
            <w:vAlign w:val="center"/>
          </w:tcPr>
          <w:p w14:paraId="45D770D9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28%</w:t>
            </w:r>
          </w:p>
        </w:tc>
        <w:tc>
          <w:tcPr>
            <w:tcW w:w="887" w:type="dxa"/>
            <w:vAlign w:val="center"/>
          </w:tcPr>
          <w:p w14:paraId="45E398C4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22%</w:t>
            </w:r>
          </w:p>
        </w:tc>
        <w:tc>
          <w:tcPr>
            <w:tcW w:w="3186" w:type="dxa"/>
            <w:vAlign w:val="center"/>
          </w:tcPr>
          <w:p w14:paraId="3FF30242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Develop tailored packages for fishing cooperatives.</w:t>
            </w:r>
          </w:p>
        </w:tc>
      </w:tr>
    </w:tbl>
    <w:p w14:paraId="2B2F7572">
      <w:pPr>
        <w:rPr>
          <w:rFonts w:hint="eastAsia" w:eastAsiaTheme="minorEastAsia"/>
          <w:lang w:eastAsia="zh-CN"/>
        </w:rPr>
      </w:pPr>
      <w: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zh-CN" w:bidi="ar-SA"/>
        </w:rPr>
        <w:t>Automated Marketing Campaigns</w:t>
      </w:r>
      <w:r>
        <w:rPr>
          <w:rFonts w:hint="eastAsia" w:ascii="Noto Sans SC Black" w:hAnsi="Noto Sans SC Black" w:eastAsia="Noto Sans SC Black" w:cs="Noto Sans SC Black"/>
          <w:color w:val="6F55D7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-1377315</wp:posOffset>
                </wp:positionV>
                <wp:extent cx="219710" cy="11231880"/>
                <wp:effectExtent l="0" t="0" r="3175" b="3175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1231880"/>
                        </a:xfrm>
                        <a:prstGeom prst="rect">
                          <a:avLst/>
                        </a:prstGeom>
                        <a:solidFill>
                          <a:srgbClr val="6F55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0pt;margin-top:-108.45pt;height:884.4pt;width:17.3pt;z-index:251661312;v-text-anchor:middle;mso-width-relative:page;mso-height-relative:page;" fillcolor="#6F55D7" filled="t" stroked="f" coordsize="21600,21600" o:gfxdata="UEsDBAoAAAAAAIdO4kAAAAAAAAAAAAAAAAAEAAAAZHJzL1BLAwQUAAAACACHTuJAN0UIfd0AAAAP&#10;AQAADwAAAGRycy9kb3ducmV2LnhtbE2PwU7DMAyG70i8Q2Qkbl1S2qGtNN0BhEQ1cWAg7Zo2pqnW&#10;OFWTbYWnJ2gHuNnyp9/fX25mO7ATTr53JCFdCGBIrdM9dRI+3p+TFTAfFGk1OEIJX+hhU11flarQ&#10;7kxveNqFjsUQ8oWSYEIYC859a9Aqv3AjUrx9usmqENep43pS5xhuB34nxD23qqf4wagRHw22h93R&#10;SthmL0973M91Y/p1/W2bOn891FLe3qTiAVjAOfzB8Ksf1aGKTo07kvZskJCkKxHLhMu0BhaZJM2X&#10;ObAm0kuRZcCrkv/vUf0AUEsDBBQAAAAIAIdO4kDtwQiEYgIAAM8EAAAOAAAAZHJzL2Uyb0RvYy54&#10;bWytVMtu2zAQvBfoPxC8N5Jcx26MyIERw0WBoA2aFj3TFCUR4KskbTn9+g4p5dG0hxzqA72rXc3s&#10;Dnd1eXXSihyFD9KamlZnJSXCcNtI09X0+7fduw+UhMhMw5Q1oqb3ItCr9ds3l4NbiZntrWqEJwAx&#10;YTW4mvYxulVRBN4LzcKZdcIg2FqvWYTru6LxbAC6VsWsLBfFYH3jvOUiBDzdjkE6IfrXANq2lVxs&#10;LT9oYeKI6oViES2FXrpA17nathU8fmnbICJRNUWnMZ8ggb1PZ7G+ZKvOM9dLPpXAXlPCi540kwak&#10;j1BbFhk5ePkXlJbc22DbeMatLsZGsiLooipfaHPXMydyL5A6uEfRw/+D5Z+Pt57Ipqa4dsM0Lvwr&#10;RGOmU4K8T/IMLqyQdedu/eQFmKnXU+t1+kcX5JQlvX+UVJwi4Xg4qy6WFcTmCFXl4mK+WGbRi6fX&#10;nQ/xo7CaJKOmHvRZSna8CRGUSH1ISWzBKtnspFLZ8d3+WnlyZLjfxe78fLtMNeOVP9KUIQP4Z8sy&#10;lcIwtS2mBaZ26DyYjhKmOqwDjz5zG5sYgDRyb1noR44MO06NlhGLoKSGdmX6TczKoICk2qhTsva2&#10;uYfM3o7zFxzfSTR7w0K8ZR4Dh7KwkvELjlZZ1Goni5Le+l//ep7yMQeIUjJggNHHzwPzghL1yWBC&#10;Lqr5HLAxO/Pz5QyOfx7ZP4+Yg7620LDC8juezZQf1YPZeqt/YHM3iRUhZji4R8Um5zqOi4Xd52Kz&#10;yWmYcsfijblzPIEnQY3dHKJtZb7bJ3Um0TDn+f6mnUyL9NzPWU/fof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0UIfd0AAAAPAQAADwAAAAAAAAABACAAAAAiAAAAZHJzL2Rvd25yZXYueG1sUEsB&#10;AhQAFAAAAAgAh07iQO3BCIRiAgAAzwQAAA4AAAAAAAAAAQAgAAAAL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1"/>
        <w:tblpPr w:leftFromText="180" w:rightFromText="180" w:vertAnchor="text" w:horzAnchor="page" w:tblpX="1879" w:tblpY="2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 w14:paraId="69086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</w:trPr>
        <w:tc>
          <w:tcPr>
            <w:tcW w:w="8313" w:type="dxa"/>
            <w:shd w:val="clear" w:color="auto" w:fill="E7E6E6" w:themeFill="background2"/>
          </w:tcPr>
          <w:p w14:paraId="4C6F5756">
            <w:pPr>
              <w:numPr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Trigger-Based Scenarios:</w:t>
            </w:r>
          </w:p>
          <w:p w14:paraId="09A656EE">
            <w:pPr>
              <w:numPr>
                <w:ilvl w:val="0"/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Scenario 1: Customer searches "slow internet" → Send "Free Fiber Upgrade Trial" email.</w:t>
            </w:r>
          </w:p>
          <w:p w14:paraId="04E66F79">
            <w:pPr>
              <w:numPr>
                <w:ilvl w:val="0"/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Scenario 2: Cluster 3 customers exceed 50GB/month → Push "Business Plan Discount" via app.</w:t>
            </w:r>
          </w:p>
        </w:tc>
      </w:tr>
    </w:tbl>
    <w:p w14:paraId="57A3E0EE">
      <w:pPr>
        <w:rPr>
          <w:rFonts w:hint="eastAsia" w:eastAsiaTheme="minorEastAsia"/>
          <w:lang w:eastAsia="zh-CN"/>
        </w:rPr>
      </w:pPr>
    </w:p>
    <w:p w14:paraId="7A3A5675">
      <w:pPr>
        <w:numPr>
          <w:ilvl w:val="0"/>
          <w:numId w:val="0"/>
        </w:numPr>
        <w:ind w:leftChars="0"/>
        <w:rPr>
          <w:rFonts w:hint="eastAsia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Microsoft JhengHei Light" w:cs="Microsoft JhengHei Light" w:asciiTheme="majorAscii" w:hAnsiTheme="majorAscii"/>
          <w:b/>
          <w:bCs/>
          <w:caps w:val="0"/>
          <w:color w:val="000000" w:themeColor="text1"/>
          <w:spacing w:val="10"/>
          <w:kern w:val="0"/>
          <w:sz w:val="24"/>
          <w:szCs w:val="28"/>
          <w:lang w:val="en-US" w:eastAsia="ja-JP" w:bidi="ar-SA"/>
          <w14:textFill>
            <w14:solidFill>
              <w14:schemeClr w14:val="tx1"/>
            </w14:solidFill>
          </w14:textFill>
        </w:rPr>
        <w:t>A/B Testing Framework:</w:t>
      </w:r>
    </w:p>
    <w:tbl>
      <w:tblPr>
        <w:tblStyle w:val="17"/>
        <w:tblpPr w:leftFromText="180" w:rightFromText="180" w:vertAnchor="text" w:horzAnchor="page" w:tblpX="1887" w:tblpY="313"/>
        <w:tblOverlap w:val="never"/>
        <w:tblW w:w="8300" w:type="dxa"/>
        <w:tblDescription w:val="Enter Item description, Number of resources, Hourly Rate, and Number of Hours in this table"/>
        <w:tblInd w:w="0" w:type="dxa"/>
        <w:tblBorders>
          <w:top w:val="single" w:color="6F55D7" w:sz="4" w:space="0"/>
          <w:left w:val="single" w:color="6F55D7" w:sz="4" w:space="0"/>
          <w:bottom w:val="single" w:color="6F55D7" w:sz="4" w:space="0"/>
          <w:right w:val="single" w:color="6F55D7" w:sz="4" w:space="0"/>
          <w:insideH w:val="single" w:color="6F55D7" w:sz="4" w:space="0"/>
          <w:insideV w:val="single" w:color="6F55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2334"/>
        <w:gridCol w:w="2326"/>
        <w:gridCol w:w="1980"/>
      </w:tblGrid>
      <w:tr w14:paraId="7E90DA7F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tblHeader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45B27636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Variable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544BC5FF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Group A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E5E9E4C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Group 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shd w:val="clear" w:color="auto" w:fill="E2DDF7"/>
            <w:vAlign w:val="center"/>
          </w:tcPr>
          <w:p w14:paraId="7873F65F">
            <w:pPr>
              <w:pStyle w:val="16"/>
              <w:jc w:val="center"/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</w:pPr>
            <w:r>
              <w:rPr>
                <w:rFonts w:hint="default" w:asciiTheme="majorAscii" w:hAnsiTheme="majorAscii"/>
                <w:sz w:val="18"/>
                <w:szCs w:val="18"/>
                <w:lang w:val="en-US" w:eastAsia="zh-CN"/>
              </w:rPr>
              <w:t>Metric</w:t>
            </w:r>
          </w:p>
        </w:tc>
      </w:tr>
      <w:tr w14:paraId="319E1C5B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0" w:type="dxa"/>
            <w:tcBorders>
              <w:top w:val="nil"/>
            </w:tcBorders>
            <w:vAlign w:val="center"/>
          </w:tcPr>
          <w:p w14:paraId="68034B63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Email Subject Line</w:t>
            </w:r>
          </w:p>
        </w:tc>
        <w:tc>
          <w:tcPr>
            <w:tcW w:w="2334" w:type="dxa"/>
            <w:tcBorders>
              <w:top w:val="nil"/>
            </w:tcBorders>
            <w:vAlign w:val="center"/>
          </w:tcPr>
          <w:p w14:paraId="2C54FDE0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"Boost Your Speed Now!"</w:t>
            </w:r>
          </w:p>
        </w:tc>
        <w:tc>
          <w:tcPr>
            <w:tcW w:w="2326" w:type="dxa"/>
            <w:tcBorders>
              <w:top w:val="nil"/>
            </w:tcBorders>
            <w:vAlign w:val="center"/>
          </w:tcPr>
          <w:p w14:paraId="4B02CE62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"Say Goodbye to Lag!"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7DBD0F60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Click-through Rate (CTR)</w:t>
            </w:r>
          </w:p>
        </w:tc>
      </w:tr>
      <w:tr w14:paraId="248D1972">
        <w:tblPrEx>
          <w:tblBorders>
            <w:top w:val="single" w:color="6F55D7" w:sz="4" w:space="0"/>
            <w:left w:val="single" w:color="6F55D7" w:sz="4" w:space="0"/>
            <w:bottom w:val="single" w:color="6F55D7" w:sz="4" w:space="0"/>
            <w:right w:val="single" w:color="6F55D7" w:sz="4" w:space="0"/>
            <w:insideH w:val="single" w:color="6F55D7" w:sz="4" w:space="0"/>
            <w:insideV w:val="single" w:color="6F55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60" w:type="dxa"/>
            <w:vAlign w:val="center"/>
          </w:tcPr>
          <w:p w14:paraId="45F7B793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Offer Content</w:t>
            </w:r>
          </w:p>
        </w:tc>
        <w:tc>
          <w:tcPr>
            <w:tcW w:w="2334" w:type="dxa"/>
            <w:vAlign w:val="center"/>
          </w:tcPr>
          <w:p w14:paraId="299977C2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1-month free speed upgrade</w:t>
            </w:r>
          </w:p>
        </w:tc>
        <w:tc>
          <w:tcPr>
            <w:tcW w:w="2326" w:type="dxa"/>
            <w:vAlign w:val="center"/>
          </w:tcPr>
          <w:p w14:paraId="7B41BDDE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10% direct discount</w:t>
            </w:r>
          </w:p>
        </w:tc>
        <w:tc>
          <w:tcPr>
            <w:tcW w:w="1980" w:type="dxa"/>
            <w:vAlign w:val="center"/>
          </w:tcPr>
          <w:p w14:paraId="4D306C1A">
            <w:pPr>
              <w:pStyle w:val="16"/>
              <w:jc w:val="center"/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Segoe UI" w:cs="Segoe UI" w:asciiTheme="majorAscii" w:hAnsiTheme="majorAsci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Conversion Rate (CVR)</w:t>
            </w:r>
          </w:p>
        </w:tc>
      </w:tr>
    </w:tbl>
    <w:p w14:paraId="32B79F10">
      <w:pPr>
        <w:rPr>
          <w:rFonts w:hint="eastAsia" w:eastAsiaTheme="minorEastAsia"/>
          <w:lang w:eastAsia="zh-CN"/>
        </w:rPr>
      </w:pPr>
    </w:p>
    <w:p w14:paraId="331696A0">
      <w:pPr>
        <w:rPr>
          <w:rFonts w:hint="eastAsia" w:eastAsiaTheme="minorEastAsia"/>
          <w:lang w:eastAsia="zh-CN"/>
        </w:rPr>
      </w:pPr>
    </w:p>
    <w:p w14:paraId="54D34B13">
      <w:pPr>
        <w:rPr>
          <w:rFonts w:hint="eastAsia" w:eastAsiaTheme="minorEastAsia"/>
          <w:lang w:eastAsia="zh-CN"/>
        </w:rPr>
      </w:pPr>
    </w:p>
    <w:p w14:paraId="68CB898D">
      <w:pPr>
        <w:rPr>
          <w:rFonts w:hint="eastAsia" w:eastAsiaTheme="minorEastAsia"/>
          <w:lang w:eastAsia="zh-CN"/>
        </w:rPr>
      </w:pPr>
    </w:p>
    <w:p w14:paraId="13C36A20">
      <w:pPr>
        <w:rPr>
          <w:rFonts w:hint="eastAsia"/>
          <w:lang w:val="en-US" w:eastAsia="zh-CN"/>
        </w:rPr>
      </w:pPr>
      <w: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zh-CN" w:bidi="ar-SA"/>
        </w:rPr>
        <w:t>Technical Appendix</w:t>
      </w:r>
    </w:p>
    <w:tbl>
      <w:tblPr>
        <w:tblStyle w:val="11"/>
        <w:tblpPr w:leftFromText="180" w:rightFromText="180" w:vertAnchor="text" w:horzAnchor="page" w:tblpX="1879" w:tblpY="2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 w14:paraId="7B6BE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8313" w:type="dxa"/>
            <w:shd w:val="clear" w:color="auto" w:fill="E7E6E6" w:themeFill="background2"/>
          </w:tcPr>
          <w:p w14:paraId="103B1192">
            <w:pPr>
              <w:numPr>
                <w:ilvl w:val="0"/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24"/>
                <w:szCs w:val="28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Code &amp; Data:</w:t>
            </w:r>
          </w:p>
          <w:p w14:paraId="4596702A">
            <w:pPr>
              <w:numPr>
                <w:ilvl w:val="0"/>
                <w:numId w:val="0"/>
              </w:numPr>
              <w:ind w:left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22"/>
                <w:szCs w:val="24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 xml:space="preserve">GitHub Repository: </w: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  <w:fldChar w:fldCharType="begin"/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  <w:instrText xml:space="preserve"> HYPERLINK "https://github.com/mengmiaosha/Deutsche-Glasfaser-Market-Segmentation-Analysis/edit/main/README.md" </w:instrTex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  <w:fldChar w:fldCharType="separate"/>
            </w:r>
            <w:r>
              <w:rPr>
                <w:rStyle w:val="14"/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  <w:t>Deutsche-Glasfaser-Market-Segmentation-Analysis</w: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6F55D7"/>
                <w:spacing w:val="10"/>
                <w:kern w:val="0"/>
                <w:sz w:val="22"/>
                <w:szCs w:val="24"/>
                <w:lang w:val="en-US" w:eastAsia="ja-JP" w:bidi="ar-SA"/>
              </w:rPr>
              <w:fldChar w:fldCharType="end"/>
            </w:r>
          </w:p>
          <w:p w14:paraId="4842E155"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22"/>
                <w:szCs w:val="24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22"/>
                <w:szCs w:val="24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Includes full code for data generation, cleaning, and analysis.</w:t>
            </w:r>
          </w:p>
          <w:p w14:paraId="0D008980"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22"/>
                <w:szCs w:val="24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Simulated data can be replaced with real-world data (non-sensitive).</w:t>
            </w:r>
          </w:p>
        </w:tc>
      </w:tr>
    </w:tbl>
    <w:p w14:paraId="426C93BD">
      <w:pPr>
        <w:bidi w:val="0"/>
        <w:jc w:val="left"/>
        <w:rPr>
          <w:rFonts w:hint="eastAsia"/>
          <w:lang w:val="en-US" w:eastAsia="zh-CN"/>
        </w:rPr>
      </w:pPr>
    </w:p>
    <w:p w14:paraId="7DF1922B">
      <w:pPr>
        <w:bidi w:val="0"/>
        <w:jc w:val="left"/>
        <w:rPr>
          <w:rFonts w:hint="eastAsia"/>
          <w:lang w:val="en-US" w:eastAsia="zh-CN"/>
        </w:rPr>
      </w:pPr>
    </w:p>
    <w:p w14:paraId="052A0F6F">
      <w:pPr>
        <w:bidi w:val="0"/>
        <w:jc w:val="left"/>
        <w:rPr>
          <w:rFonts w:hint="eastAsia"/>
          <w:lang w:val="en-US" w:eastAsia="zh-CN"/>
        </w:rPr>
      </w:pPr>
    </w:p>
    <w:p w14:paraId="3AFB84AA">
      <w:pPr>
        <w:rPr>
          <w:rFonts w:hint="eastAsia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zh-CN" w:bidi="ar-SA"/>
        </w:rPr>
      </w:pPr>
      <w:r>
        <w:rPr>
          <w:rFonts w:hint="default" w:ascii="Noto Sans SC Black" w:hAnsi="Noto Sans SC Black" w:eastAsia="Noto Sans SC Black" w:cs="Noto Sans SC Black"/>
          <w:b/>
          <w:bCs/>
          <w:caps w:val="0"/>
          <w:color w:val="6F55D7"/>
          <w:spacing w:val="10"/>
          <w:kern w:val="0"/>
          <w:sz w:val="32"/>
          <w:szCs w:val="36"/>
          <w:lang w:val="en-US" w:eastAsia="zh-CN" w:bidi="ar-SA"/>
        </w:rPr>
        <w:t>Next Steps</w:t>
      </w:r>
    </w:p>
    <w:tbl>
      <w:tblPr>
        <w:tblStyle w:val="11"/>
        <w:tblpPr w:leftFromText="180" w:rightFromText="180" w:vertAnchor="text" w:horzAnchor="page" w:tblpX="1879" w:tblpY="2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 w14:paraId="52973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8313" w:type="dxa"/>
            <w:shd w:val="clear" w:color="auto" w:fill="E7E6E6" w:themeFill="background2"/>
          </w:tcPr>
          <w:p w14:paraId="2650C58C">
            <w:pPr>
              <w:numPr>
                <w:ilvl w:val="0"/>
                <w:numId w:val="0"/>
              </w:numP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 xml:space="preserve">Data Validation: </w: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Collaborate with sales teams to refine cluster labels (e.g., interviews with Cluster 2 customers).</w:t>
            </w:r>
          </w:p>
          <w:p w14:paraId="5C68B210">
            <w:pPr>
              <w:numPr>
                <w:ilvl w:val="0"/>
                <w:numId w:val="0"/>
              </w:numP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 xml:space="preserve">Pilot Campaign: </w: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Launch targeted promotions for rural SMEs in Saxony-Anhalt.</w:t>
            </w:r>
          </w:p>
          <w:p w14:paraId="6F5AC286">
            <w:pPr>
              <w:numPr>
                <w:ilvl w:val="0"/>
                <w:numId w:val="0"/>
              </w:numP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Microsoft JhengHei Light" w:cs="Microsoft JhengHei Light" w:asciiTheme="majorAscii" w:hAnsiTheme="majorAscii"/>
                <w:b/>
                <w:bCs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 xml:space="preserve">System Integration: </w:t>
            </w:r>
            <w:r>
              <w:rPr>
                <w:rFonts w:hint="default" w:eastAsia="Microsoft JhengHei Light" w:cs="Microsoft JhengHei Light" w:asciiTheme="majorAscii" w:hAnsiTheme="majorAscii"/>
                <w:b w:val="0"/>
                <w:bCs w:val="0"/>
                <w:caps w:val="0"/>
                <w:color w:val="000000" w:themeColor="text1"/>
                <w:spacing w:val="10"/>
                <w:kern w:val="0"/>
                <w:sz w:val="18"/>
                <w:szCs w:val="20"/>
                <w:lang w:val="en-US" w:eastAsia="ja-JP" w:bidi="ar-SA"/>
                <w14:textFill>
                  <w14:solidFill>
                    <w14:schemeClr w14:val="tx1"/>
                  </w14:solidFill>
                </w14:textFill>
              </w:rPr>
              <w:t>Embed RFM model into CRM (e.g., Salesforce) for real-time customer segmentation.</w:t>
            </w:r>
          </w:p>
        </w:tc>
      </w:tr>
    </w:tbl>
    <w:p w14:paraId="608E1842"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ingsoft Symbol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armonyOS Sans SC">
    <w:panose1 w:val="00000500000000000000"/>
    <w:charset w:val="86"/>
    <w:family w:val="auto"/>
    <w:pitch w:val="default"/>
    <w:sig w:usb0="00000001" w:usb1="08000000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518B8"/>
    <w:multiLevelType w:val="singleLevel"/>
    <w:tmpl w:val="C6C518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0ECACE"/>
    <w:multiLevelType w:val="singleLevel"/>
    <w:tmpl w:val="C80ECAC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DE41668"/>
    <w:multiLevelType w:val="singleLevel"/>
    <w:tmpl w:val="0DE41668"/>
    <w:lvl w:ilvl="0" w:tentative="0">
      <w:start w:val="1"/>
      <w:numFmt w:val="bullet"/>
      <w:lvlText w:val=""/>
      <w:lvlJc w:val="left"/>
      <w:pPr>
        <w:ind w:left="195" w:leftChars="0" w:hanging="195" w:firstLineChars="0"/>
      </w:pPr>
      <w:rPr>
        <w:rFonts w:hint="default" w:ascii="Wingdings" w:hAnsi="Wingdings"/>
        <w:color w:val="808080" w:themeColor="text1" w:themeTint="80"/>
        <w:sz w:val="13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2F3D95E7"/>
    <w:multiLevelType w:val="singleLevel"/>
    <w:tmpl w:val="2F3D95E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279C9"/>
    <w:rsid w:val="12EE5A97"/>
    <w:rsid w:val="3E9D1A4C"/>
    <w:rsid w:val="71E82C35"/>
    <w:rsid w:val="7817394F"/>
    <w:rsid w:val="7EB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720"/>
      <w:outlineLvl w:val="0"/>
    </w:pPr>
    <w:rPr>
      <w:rFonts w:cs="Segoe UI" w:asciiTheme="majorHAnsi" w:hAnsiTheme="majorHAnsi" w:eastAsiaTheme="majorEastAsia"/>
      <w:caps/>
      <w:color w:val="4874CB" w:themeColor="accent1"/>
      <w:spacing w:val="20"/>
      <w:sz w:val="72"/>
      <w:szCs w:val="7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6"/>
      <w:szCs w:val="26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2"/>
    <w:next w:val="1"/>
    <w:qFormat/>
    <w:uiPriority w:val="11"/>
    <w:pPr>
      <w:spacing w:line="240" w:lineRule="auto"/>
      <w:jc w:val="left"/>
    </w:pPr>
  </w:style>
  <w:style w:type="paragraph" w:styleId="8">
    <w:name w:val="Normal (Web)"/>
    <w:basedOn w:val="1"/>
    <w:qFormat/>
    <w:uiPriority w:val="0"/>
    <w:rPr>
      <w:sz w:val="24"/>
    </w:rPr>
  </w:style>
  <w:style w:type="paragraph" w:styleId="9">
    <w:name w:val="Title"/>
    <w:basedOn w:val="1"/>
    <w:next w:val="1"/>
    <w:qFormat/>
    <w:uiPriority w:val="10"/>
    <w:pPr>
      <w:spacing w:after="0"/>
    </w:pPr>
    <w:rPr>
      <w:sz w:val="130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paragraph" w:customStyle="1" w:styleId="16">
    <w:name w:val="Table Header"/>
    <w:basedOn w:val="1"/>
    <w:qFormat/>
    <w:uiPriority w:val="0"/>
    <w:pPr>
      <w:spacing w:before="60" w:after="60" w:line="240" w:lineRule="auto"/>
    </w:pPr>
    <w:rPr>
      <w:rFonts w:cs="Times New Roman (Body CS)" w:asciiTheme="majorHAnsi" w:hAnsiTheme="majorHAnsi"/>
      <w:caps/>
      <w:spacing w:val="10"/>
    </w:rPr>
  </w:style>
  <w:style w:type="table" w:customStyle="1" w:styleId="17">
    <w:name w:val="SOW Table"/>
    <w:basedOn w:val="10"/>
    <w:qFormat/>
    <w:uiPriority w:val="99"/>
    <w:pPr>
      <w:spacing w:before="60" w:after="60" w:line="240" w:lineRule="auto"/>
    </w:pPr>
    <w:tblPr>
      <w:tblBorders>
        <w:top w:val="single" w:color="ADB9CA" w:themeColor="text2" w:themeTint="66" w:sz="4" w:space="0"/>
        <w:left w:val="single" w:color="ADB9CA" w:themeColor="text2" w:themeTint="66" w:sz="4" w:space="0"/>
        <w:bottom w:val="single" w:color="ADB9CA" w:themeColor="text2" w:themeTint="66" w:sz="4" w:space="0"/>
        <w:right w:val="single" w:color="ADB9CA" w:themeColor="text2" w:themeTint="66" w:sz="4" w:space="0"/>
        <w:insideV w:val="single" w:color="ADB9CA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D54A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4874CB" w:themeColor="accent1"/>
        <w:sz w:val="16"/>
        <w14:textFill>
          <w14:solidFill>
            <w14:schemeClr w14:val="accent1"/>
          </w14:solidFill>
        </w14:textFill>
      </w:rPr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cPr>
        <w:shd w:val="clear" w:color="auto" w:fill="D6DCE4" w:themeFill="text2" w:themeFillTint="33"/>
      </w:tcPr>
    </w:tblStylePr>
  </w:style>
  <w:style w:type="table" w:customStyle="1" w:styleId="18">
    <w:name w:val="Layout Table"/>
    <w:basedOn w:val="10"/>
    <w:qFormat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19">
    <w:name w:val="Name"/>
    <w:basedOn w:val="1"/>
    <w:semiHidden/>
    <w:qFormat/>
    <w:uiPriority w:val="2"/>
    <w:pPr>
      <w:spacing w:before="240" w:after="120" w:line="240" w:lineRule="auto"/>
    </w:pPr>
    <w:rPr>
      <w:rFonts w:asciiTheme="majorHAnsi" w:hAnsiTheme="majorHAnsi" w:eastAsiaTheme="majorEastAsia" w:cstheme="majorBidi"/>
      <w:color w:val="2E54A1" w:themeColor="accent1" w:themeShade="BF"/>
      <w:sz w:val="4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8045514-d3a7-4c5d-b12f-395f112d397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45514-d3a7-4c5d-b12f-395f112d397c}"/>
      </w:docPartPr>
      <w:docPartBody>
        <w:p w14:paraId="2851AD5B">
          <w:r>
            <w:t>Statement of work</w:t>
          </w:r>
        </w:p>
      </w:docPartBody>
    </w:docPart>
    <w:docPart>
      <w:docPartPr>
        <w:name w:val="{c5ec604e-dbc7-4488-84a2-1d119db0394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ec604e-dbc7-4488-84a2-1d119db03943}"/>
      </w:docPartPr>
      <w:docPartBody>
        <w:p w14:paraId="3ABF3917">
          <w:r>
            <w:t>product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">
    <w:name w:val="1638CF1F78057045B7EE7036041118EB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">
    <w:name w:val="5183F7C8889B8B40A4BB571118011B38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">
    <w:name w:val="162C0B74D5686E40BB60766B16E1D0C2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5">
    <w:name w:val="E9897F209B7BD141B06C06412F67E9EE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409</Words>
  <Characters>2712</Characters>
  <Lines>0</Lines>
  <Paragraphs>0</Paragraphs>
  <TotalTime>2</TotalTime>
  <ScaleCrop>false</ScaleCrop>
  <LinksUpToDate>false</LinksUpToDate>
  <CharactersWithSpaces>3089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2025-05-05T11:42:00Z</dcterms:created>
  <dc:creator>81069</dc:creator>
  <cp:lastModifiedBy>孟描纱</cp:lastModifiedBy>
  <dcterms:modified xsi:type="dcterms:W3CDTF">2025-05-05T21:55:51Z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eyJoZGlkIjoiOTc3M2Y5NzIzMDFlZjAyY2Q4Njk5ODkyYjFjNzBiNTQiLCJ1c2VySWQiOiIyNzI0MTQ3OTYifQ==</vt:lpwstr>
  </property>
  <property fmtid="{D5CDD505-2E9C-101B-9397-08002B2CF9AE}" pid="4" name="ICV">
    <vt:lpwstr>009870D08E6848F3A63B21566CED5B46_12</vt:lpwstr>
  </property>
</Properties>
</file>