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前期调研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一、宽基品类候选池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 xml:space="preserve">国外 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785"/>
        <w:gridCol w:w="2775"/>
        <w:gridCol w:w="277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市场区域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指数名称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实验关注点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🇺🇸 美国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标普500 (S&amp;P 500)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美股大盘蓝筹代表，行业分布均衡，历史数据极长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估值数据最透明，最适合验证PE百分位策略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纳斯达克100 (Nasdaq 100)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科技股集中营，高成长、高波动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验证高波动环境下，定投策略的适应性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A股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870"/>
        <w:gridCol w:w="2700"/>
        <w:gridCol w:w="360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指数名称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实验关注点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超大盘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上证50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沪市最大50只，金融、消费龙头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观察极大规模指数的估值稳定性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沪深300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A股核心资产，行业均衡，数据最完整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基准对照组，用于和其他指数做效果对比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中证500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中盘成长股，工业、信息技术为主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验证中盘股在定投策略中的超额收益潜力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小盘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中证1000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小盘股，弹性大，波动剧烈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观察小盘股在低估定投框架下的表现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创业板指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新能源、医药、科技，成长性强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验证高PE板块在百分位策略下的有效性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硬科技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科创50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半导体、AI等硬科技，波动最大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测试极限波动下的心理承受与策略纪律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新一代均衡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中证A500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行业均衡选龙头，新一代A股标杆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观察新编制方法是否能优化定投收益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红利类（防守）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中证红利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A股100只高股息股，银行、煤炭为主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验证“低估值+高分红”策略在熊市的抗跌性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红利低波100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高分红+低波动，走势最稳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观察“稳稳的幸福”在定投中的复利效果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港股通高股息 (港股红利)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港股高股息，股息率通常比A股更高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对比A/H股红利指数的定投性价比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质量/成长（进攻）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中证质量成长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高ROE、高增长，质量因子选股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验证“好公司”策略在定投框架下是否有效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大盘均衡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MSCI中国A50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互联互通A股中选50只，行业中性分配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与沪深300对比，观察行业均衡编制的效果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港股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785"/>
        <w:gridCol w:w="2775"/>
        <w:gridCol w:w="2775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市场区域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指数名称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实验关注点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恒生指数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香港蓝筹股代表，金融、地产、科技混合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可观察离岸中国资产的估值波动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恒生科技指数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港股科技30强，中国新经济代表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高成长+高波动，验证极端估值下的定投纪律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港股通科技指数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港股通范围内的“科技精选”，最多50支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二、实验计划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实验框架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实验总框架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输入：  N个宽基指数（沪深300、中证500、创业板指、中证红利等）│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M组参数组合（通过网格搜索生成）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输出：  每个指数 × 每组参数 → 一套回测结果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│  </w:t>
      </w:r>
      <w:r>
        <w:rPr>
          <w:rFonts w:eastAsia="等线" w:ascii="Arial" w:cs="Arial" w:hAnsi="Arial"/>
          <w:sz w:val="22"/>
        </w:rPr>
        <w:t>目标：  为每个指数选出最优的1-3组参数</w:t>
      </w:r>
      <w:r>
        <w:rPr>
          <w:rFonts w:eastAsia="等线" w:ascii="Arial" w:cs="Arial" w:hAnsi="Arial"/>
          <w:sz w:val="22"/>
        </w:rPr>
        <w:t xml:space="preserve">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┌───────────────────┼───────────────────┐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▼                   ▼                   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┌───────────────┐   ┌───────────────┐   ┌───────────────┐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沪深300      │   │  中证500      │   │  创业板指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参数组合1    │   │  参数组合1    │   │  参数组合1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参数组合2    │   │  参数组合2    │   │  参数组合2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参数组合3    │   │  参数组合3    │   │  参数组合3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...          │   │  ...          │   │  ...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选出最优     │   │  选出最优     │   │  选出最优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└───────────────┘   └───────────────┘   └───────────────┘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核心指标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PE（市盈率）及其历史百分位（你的核心锚点）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这是你策略的基石。PE = 价格（P） ÷ 每股盈利（E）。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历史百分位怎么算？</w:t>
        <w:br/>
        <w:t>不是简单的“当前PE在历史上排第几名”，而是“当前PE值比过去N年（如5年/10年）中多少天的PE值要低”。</w:t>
        <w:br/>
      </w:r>
      <w:r>
        <w:rPr>
          <w:rFonts w:eastAsia="等线" w:ascii="Arial" w:cs="Arial" w:hAnsi="Arial"/>
          <w:sz w:val="22"/>
        </w:rPr>
        <w:t>百分位=当前PE排名历史总样本数×100%百分位=历史总样本数当前</w:t>
      </w:r>
      <w:r>
        <w:rPr>
          <w:rFonts w:eastAsia="等线" w:ascii="Arial" w:cs="Arial" w:hAnsi="Arial"/>
          <w:i w:val="true"/>
          <w:sz w:val="22"/>
        </w:rPr>
        <w:t>PE</w:t>
      </w:r>
      <w:r>
        <w:rPr>
          <w:rFonts w:eastAsia="等线" w:ascii="Arial" w:cs="Arial" w:hAnsi="Arial"/>
          <w:sz w:val="22"/>
        </w:rPr>
        <w:t>排名×100%</w:t>
        <w:br/>
      </w:r>
      <w:r>
        <w:rPr>
          <w:rFonts w:eastAsia="等线" w:ascii="Arial" w:cs="Arial" w:hAnsi="Arial"/>
          <w:sz w:val="22"/>
        </w:rPr>
        <w:t>如果结果是 20%，意味着历史上只有20%的时间比现在便宜，即低估；如果是 80%，则高估。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适用场景：盈利稳定的成熟宽基（如沪深300、标普500）。因为这些指数的盈利（E）相对平滑，PE波动主要由价格（P）驱动，能真实反映情绪和估值。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致命缺陷（你务必要注意）：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E”的突然坍塌：当经济危机或突发事件（如2020年疫情）导致企业盈利（E）骤降时，即使价格（P）暴跌，PE反而会因为分母变小而急剧飙升。此时PE百分位显示“极度高估”，但实际上是“黄金坑”。这就是著名的“分母陷阱”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估值中枢永久性下移：A股在2007年沪深300 PE能到50倍，但现在很难超过20倍。如果你的历史窗口包含2007年，那当前PE永远处于低位，你会一直买买买，永远等不到止盈信号。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 PB（市净率）——PE的“消防员”（弥补PE缺陷）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PB = 价格（P） ÷ 每股净资产（B）。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为什么必须加它？</w:t>
        <w:br/>
      </w:r>
      <w:r>
        <w:rPr>
          <w:rFonts w:eastAsia="等线" w:ascii="Arial" w:cs="Arial" w:hAnsi="Arial"/>
          <w:sz w:val="22"/>
        </w:rPr>
        <w:t>净资产（B）的波动远小于盈利（E），极其稳定。当PE因“分母陷阱”失效时，PB就是你的“照妖镜”。如果PE显示高估，但PB显示在历史低位，说明是盈利下滑导致的“虚假高估”，此时应该坚持买入，而非止盈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适用场景：强周期或重资产宽基（如中证红利、金融地产占比较大的上证50）。对于这类指数，看PB比看PE更靠谱。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系统建议：在你的系统里设定一个“双因子过滤”逻辑：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买入条件 = （PE百分位 &lt; 30% 且 PB百分位 &lt; 30%）。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只有两个同时满足，才触发大额加仓信号。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 xml:space="preserve"> 股债性价比（FED模型）——估值的“绝对标尺”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这是专业机构最看重的宏观择时指标，它能帮你避开“历史百分位”的相对陷阱。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计算公式：</w:t>
        <w:br/>
      </w:r>
      <w:r>
        <w:rPr>
          <w:rFonts w:eastAsia="等线" w:ascii="Arial" w:cs="Arial" w:hAnsi="Arial"/>
          <w:sz w:val="22"/>
        </w:rPr>
        <w:t>股债性价比=1PE−十年期国债收益率股债性价比=</w:t>
      </w:r>
      <w:r>
        <w:rPr>
          <w:rFonts w:eastAsia="等线" w:ascii="Arial" w:cs="Arial" w:hAnsi="Arial"/>
          <w:i w:val="true"/>
          <w:sz w:val="22"/>
        </w:rPr>
        <w:t>PE</w:t>
      </w:r>
      <w:r>
        <w:rPr>
          <w:rFonts w:eastAsia="等线" w:ascii="Arial" w:cs="Arial" w:hAnsi="Arial"/>
          <w:sz w:val="22"/>
        </w:rPr>
        <w:t>1−十年期国债收益率</w:t>
        <w:br/>
      </w:r>
      <w:r>
        <w:rPr>
          <w:rFonts w:eastAsia="等线" w:ascii="Arial" w:cs="Arial" w:hAnsi="Arial"/>
          <w:sz w:val="22"/>
        </w:rPr>
        <w:t>其中，1/PE 也叫“股市盈利收益率”，代表你买股票每年能赚取的潜在回报率。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</w:t>
        <w:br/>
      </w:r>
      <w:r>
        <w:rPr>
          <w:rFonts w:eastAsia="等线" w:ascii="Arial" w:cs="Arial" w:hAnsi="Arial"/>
          <w:sz w:val="22"/>
        </w:rPr>
        <w:t>它比较的是“买股票比买国债每年多赚多少百分比”。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如果差值 &gt; 历史均值+1个标准差：说明股票极度便宜，债券太贵，强烈买入。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如果差值 &lt; 历史均值-1个标准差：说明股票太贵，债券性价比更高，准备止盈。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为什么要用它替代纯PE百分位？</w:t>
        <w:br/>
      </w:r>
      <w:r>
        <w:rPr>
          <w:rFonts w:eastAsia="等线" w:ascii="Arial" w:cs="Arial" w:hAnsi="Arial"/>
          <w:sz w:val="22"/>
        </w:rPr>
        <w:t>PE百分位是“和自己过去比”，而股债性价比是“和当下的无风险利率比”。当市场利率大幅下降时（如降息周期），股票的合理PE本就应该上升。此时如果死守PE百分位（比如40%），你会过早卖出，错失牛市。股债性价比能自动适应利率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实验变量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第一层：全局时间参数（所有因子共享）</w:t>
      </w:r>
      <w:bookmarkEnd w:id="1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第二层：买入条件参数（6个）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12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第三层：止盈条件参数（5个）</w:t>
      </w:r>
      <w:bookmarkEnd w:id="13"/>
    </w:p>
    <w:p>
      <w:pPr>
        <w:spacing w:before="120" w:after="120" w:line="288" w:lineRule="auto"/>
        <w:ind w:left="0"/>
      </w:pPr>
      <w:r>
        <w:object>
          <v:shape id="_x0000_i1027" style="width:414pt;height:17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2.4 实验结果分析标准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层面一：策略结果在不同窗口下的稳定性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同一个参数组合（比如PE买低=20%、止盈起始=70%），在 3年、5年、8年、10年 四种滚动窗口下，跑出来的年化收益率、夏普比率、最大回撤是否差异很大？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如果差异很小（比如年化收益都在12%-14%之间）→ 说明你的策略对窗口选择不敏感，这是个好事情，参数鲁棒性高。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如果差异很大（比如3年窗口年化收益18%，10年窗口只有6%）→ 说明策略极度依赖窗口选择，你选对了就赚，选错了就亏，这种策略风险很高。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层面二：策略在不同市场环境下的一致性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滚动窗口实际上改变了“历史参照系”：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3年窗口：只参考近3年的估值，对短期变化敏感，容易追涨杀跌。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10年窗口：参考了完整的牛熊周期，估值中枢更稳定，但可能过于迟钝。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通过对比多个窗口的表现，你可以看出策略是偏短线还是偏长线，以及它在不同市场阶段（牛市、熊市、震荡市）的适应性。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关键点1：必须加入“策略失效”判定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判定标准（建议）：</w:t>
      </w:r>
    </w:p>
    <w:p>
      <w:pPr>
        <w:spacing w:before="120" w:after="120" w:line="288" w:lineRule="auto"/>
        <w:ind w:left="0"/>
      </w:pPr>
      <w:r>
        <w:object>
          <v:shape id="_x0000_i1028" style="width:414pt;height:131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关键点2：每个指数的最优参数可能不止一组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回测完成后，对于每个指数，你可能会发现：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参数组合A：年化收益最高（但回撤大，夏普低）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参数组合B：夏普比率最高（收益中等，但回撤小）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参数组合C：卡玛比率最高（回撤极小，收益尚可）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这三组都是“最优”，只是对应不同的投资偏好。你的实验报告里，应该为每个指数输出 “三种风格的最优参数”，让使用者根据自己的风险偏好选择。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实验结果输出(每个指数独立呈现)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每个宽基指数的最终输出应该是一个独立的数据看板，包含以下内容：</w:t>
      </w:r>
    </w:p>
    <w:p>
      <w:pPr>
        <w:spacing w:before="120" w:after="120" w:line="288" w:lineRule="auto"/>
        <w:ind w:left="0"/>
      </w:pPr>
      <w:r>
        <w:object>
          <v:shape id="_x0000_i1029" style="width:414pt;height:109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0664">
    <w:lvl>
      <w:numFmt w:val="bullet"/>
      <w:suff w:val="tab"/>
      <w:lvlText w:val="•"/>
      <w:rPr>
        <w:color w:val="3370ff"/>
      </w:rPr>
    </w:lvl>
  </w:abstractNum>
  <w:abstractNum w:abstractNumId="80665">
    <w:lvl>
      <w:numFmt w:val="bullet"/>
      <w:suff w:val="tab"/>
      <w:lvlText w:val="•"/>
      <w:rPr>
        <w:color w:val="3370ff"/>
      </w:rPr>
    </w:lvl>
  </w:abstractNum>
  <w:abstractNum w:abstractNumId="80666">
    <w:lvl>
      <w:numFmt w:val="bullet"/>
      <w:suff w:val="tab"/>
      <w:lvlText w:val="•"/>
      <w:rPr>
        <w:color w:val="3370ff"/>
      </w:rPr>
    </w:lvl>
  </w:abstractNum>
  <w:abstractNum w:abstractNumId="80667">
    <w:lvl>
      <w:numFmt w:val="bullet"/>
      <w:suff w:val="tab"/>
      <w:lvlText w:val="￮"/>
      <w:rPr>
        <w:color w:val="3370ff"/>
      </w:rPr>
    </w:lvl>
  </w:abstractNum>
  <w:abstractNum w:abstractNumId="80668">
    <w:lvl>
      <w:numFmt w:val="bullet"/>
      <w:suff w:val="tab"/>
      <w:lvlText w:val="￮"/>
      <w:rPr>
        <w:color w:val="3370ff"/>
      </w:rPr>
    </w:lvl>
  </w:abstractNum>
  <w:abstractNum w:abstractNumId="80669">
    <w:lvl>
      <w:numFmt w:val="bullet"/>
      <w:suff w:val="tab"/>
      <w:lvlText w:val="•"/>
      <w:rPr>
        <w:color w:val="3370ff"/>
      </w:rPr>
    </w:lvl>
  </w:abstractNum>
  <w:abstractNum w:abstractNumId="80670">
    <w:lvl>
      <w:numFmt w:val="bullet"/>
      <w:suff w:val="tab"/>
      <w:lvlText w:val="•"/>
      <w:rPr>
        <w:color w:val="3370ff"/>
      </w:rPr>
    </w:lvl>
  </w:abstractNum>
  <w:abstractNum w:abstractNumId="80671">
    <w:lvl>
      <w:numFmt w:val="bullet"/>
      <w:suff w:val="tab"/>
      <w:lvlText w:val="•"/>
      <w:rPr>
        <w:color w:val="3370ff"/>
      </w:rPr>
    </w:lvl>
  </w:abstractNum>
  <w:abstractNum w:abstractNumId="80672">
    <w:lvl>
      <w:numFmt w:val="bullet"/>
      <w:suff w:val="tab"/>
      <w:lvlText w:val="•"/>
      <w:rPr>
        <w:color w:val="3370ff"/>
      </w:rPr>
    </w:lvl>
  </w:abstractNum>
  <w:abstractNum w:abstractNumId="80673">
    <w:lvl>
      <w:numFmt w:val="bullet"/>
      <w:suff w:val="tab"/>
      <w:lvlText w:val="•"/>
      <w:rPr>
        <w:color w:val="3370ff"/>
      </w:rPr>
    </w:lvl>
  </w:abstractNum>
  <w:abstractNum w:abstractNumId="80674">
    <w:lvl>
      <w:numFmt w:val="bullet"/>
      <w:suff w:val="tab"/>
      <w:lvlText w:val="•"/>
      <w:rPr>
        <w:color w:val="3370ff"/>
      </w:rPr>
    </w:lvl>
  </w:abstractNum>
  <w:abstractNum w:abstractNumId="80675">
    <w:lvl>
      <w:numFmt w:val="bullet"/>
      <w:suff w:val="tab"/>
      <w:lvlText w:val="￮"/>
      <w:rPr>
        <w:color w:val="3370ff"/>
      </w:rPr>
    </w:lvl>
  </w:abstractNum>
  <w:abstractNum w:abstractNumId="80676">
    <w:lvl>
      <w:numFmt w:val="bullet"/>
      <w:suff w:val="tab"/>
      <w:lvlText w:val="￮"/>
      <w:rPr>
        <w:color w:val="3370ff"/>
      </w:rPr>
    </w:lvl>
  </w:abstractNum>
  <w:abstractNum w:abstractNumId="80677">
    <w:lvl>
      <w:numFmt w:val="bullet"/>
      <w:suff w:val="tab"/>
      <w:lvlText w:val="•"/>
      <w:rPr>
        <w:color w:val="3370ff"/>
      </w:rPr>
    </w:lvl>
  </w:abstractNum>
  <w:abstractNum w:abstractNumId="80678">
    <w:lvl>
      <w:numFmt w:val="bullet"/>
      <w:suff w:val="tab"/>
      <w:lvlText w:val="•"/>
      <w:rPr>
        <w:color w:val="3370ff"/>
      </w:rPr>
    </w:lvl>
  </w:abstractNum>
  <w:abstractNum w:abstractNumId="80679">
    <w:lvl>
      <w:numFmt w:val="bullet"/>
      <w:suff w:val="tab"/>
      <w:lvlText w:val="•"/>
      <w:rPr>
        <w:color w:val="3370ff"/>
      </w:rPr>
    </w:lvl>
  </w:abstractNum>
  <w:abstractNum w:abstractNumId="80680">
    <w:lvl>
      <w:numFmt w:val="bullet"/>
      <w:suff w:val="tab"/>
      <w:lvlText w:val="•"/>
      <w:rPr>
        <w:color w:val="3370ff"/>
      </w:rPr>
    </w:lvl>
  </w:abstractNum>
  <w:abstractNum w:abstractNumId="80681">
    <w:lvl>
      <w:numFmt w:val="bullet"/>
      <w:suff w:val="tab"/>
      <w:lvlText w:val="•"/>
      <w:rPr>
        <w:color w:val="3370ff"/>
      </w:rPr>
    </w:lvl>
  </w:abstractNum>
  <w:abstractNum w:abstractNumId="80682">
    <w:lvl>
      <w:numFmt w:val="bullet"/>
      <w:suff w:val="tab"/>
      <w:lvlText w:val="•"/>
      <w:rPr>
        <w:color w:val="3370ff"/>
      </w:rPr>
    </w:lvl>
  </w:abstractNum>
  <w:num w:numId="1">
    <w:abstractNumId w:val="80664"/>
  </w:num>
  <w:num w:numId="2">
    <w:abstractNumId w:val="80665"/>
  </w:num>
  <w:num w:numId="3">
    <w:abstractNumId w:val="80666"/>
  </w:num>
  <w:num w:numId="4">
    <w:abstractNumId w:val="80667"/>
  </w:num>
  <w:num w:numId="5">
    <w:abstractNumId w:val="80668"/>
  </w:num>
  <w:num w:numId="6">
    <w:abstractNumId w:val="80669"/>
  </w:num>
  <w:num w:numId="7">
    <w:abstractNumId w:val="80670"/>
  </w:num>
  <w:num w:numId="8">
    <w:abstractNumId w:val="80671"/>
  </w:num>
  <w:num w:numId="9">
    <w:abstractNumId w:val="80672"/>
  </w:num>
  <w:num w:numId="10">
    <w:abstractNumId w:val="80673"/>
  </w:num>
  <w:num w:numId="11">
    <w:abstractNumId w:val="80674"/>
  </w:num>
  <w:num w:numId="12">
    <w:abstractNumId w:val="80675"/>
  </w:num>
  <w:num w:numId="13">
    <w:abstractNumId w:val="80676"/>
  </w:num>
  <w:num w:numId="14">
    <w:abstractNumId w:val="80677"/>
  </w:num>
  <w:num w:numId="15">
    <w:abstractNumId w:val="80678"/>
  </w:num>
  <w:num w:numId="16">
    <w:abstractNumId w:val="80679"/>
  </w:num>
  <w:num w:numId="17">
    <w:abstractNumId w:val="80680"/>
  </w:num>
  <w:num w:numId="18">
    <w:abstractNumId w:val="80681"/>
  </w:num>
  <w:num w:numId="19">
    <w:abstractNumId w:val="806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2026-08-06T06:21:24Z</dcterms:created>
  <dc:creator>Apache POI</dc:creator>
</cp:coreProperties>
</file>