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11.16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11.19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11.21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26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11.30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12.1-12.5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12.6-12.10</w:t>
      </w:r>
      <w:r>
        <w:rPr>
          <w:rFonts w:hint="eastAsia"/>
          <w:sz w:val="28"/>
          <w:szCs w:val="28"/>
        </w:rPr>
        <w:t>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12.11-12.15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</w:t>
      </w:r>
      <w:r>
        <w:rPr>
          <w:rFonts w:hint="eastAsia"/>
          <w:sz w:val="28"/>
          <w:szCs w:val="28"/>
          <w:lang w:val="en-US" w:eastAsia="zh-CN"/>
        </w:rPr>
        <w:t>客户</w:t>
      </w:r>
      <w:r>
        <w:rPr>
          <w:rFonts w:hint="eastAsia"/>
          <w:sz w:val="28"/>
          <w:szCs w:val="28"/>
        </w:rPr>
        <w:t>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8734E"/>
    <w:rsid w:val="1AA22036"/>
    <w:rsid w:val="1DA8734E"/>
    <w:rsid w:val="7465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2020-11-16T06:19:00Z</dcterms:created>
  <dc:creator>huawei</dc:creator>
  <cp:lastModifiedBy>抽</cp:lastModifiedBy>
  <dcterms:modified xsi:type="dcterms:W3CDTF">2020-11-18T00:31:00Z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