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60"/>
        <w:pBdr>
          <w:bottom w:val="single" w:sz="14" w:space="7" w:color="2E74B5"/>
        </w:pBdr>
      </w:pPr>
      <w:r>
        <w:rPr>
          <w:rFonts w:ascii="PingFang SC" w:hAnsi="PingFang SC" w:eastAsia="PingFang SC"/>
          <w:b/>
          <w:color w:val="1F4D78"/>
          <w:sz w:val="46"/>
        </w:rPr>
        <w:t>案件导入二期设计说明</w:t>
      </w:r>
    </w:p>
    <w:p>
      <w:pPr>
        <w:spacing w:after="100"/>
      </w:pPr>
      <w:r>
        <w:rPr>
          <w:rFonts w:ascii="PingFang SC" w:hAnsi="PingFang SC" w:eastAsia="PingFang SC"/>
          <w:b/>
          <w:color w:val="243142"/>
          <w:sz w:val="21"/>
        </w:rPr>
        <w:t>版本</w:t>
      </w:r>
      <w:r>
        <w:rPr>
          <w:rFonts w:ascii="PingFang SC" w:hAnsi="PingFang SC" w:eastAsia="PingFang SC"/>
          <w:b w:val="0"/>
          <w:color w:val="243142"/>
          <w:sz w:val="21"/>
        </w:rPr>
        <w:t>：V2.0</w:t>
      </w:r>
    </w:p>
    <w:p>
      <w:pPr>
        <w:spacing w:after="100"/>
      </w:pPr>
      <w:r>
        <w:rPr>
          <w:rFonts w:ascii="PingFang SC" w:hAnsi="PingFang SC" w:eastAsia="PingFang SC"/>
          <w:b/>
          <w:color w:val="243142"/>
          <w:sz w:val="21"/>
        </w:rPr>
        <w:t>更新日期</w:t>
      </w:r>
      <w:r>
        <w:rPr>
          <w:rFonts w:ascii="PingFang SC" w:hAnsi="PingFang SC" w:eastAsia="PingFang SC"/>
          <w:b w:val="0"/>
          <w:color w:val="243142"/>
          <w:sz w:val="21"/>
        </w:rPr>
        <w:t>：2026-07-22</w:t>
      </w:r>
    </w:p>
    <w:p>
      <w:pPr>
        <w:spacing w:after="100"/>
      </w:pPr>
      <w:r>
        <w:rPr>
          <w:rFonts w:ascii="PingFang SC" w:hAnsi="PingFang SC" w:eastAsia="PingFang SC"/>
          <w:b/>
          <w:color w:val="243142"/>
          <w:sz w:val="21"/>
        </w:rPr>
        <w:t>适用范围</w:t>
      </w:r>
      <w:r>
        <w:rPr>
          <w:rFonts w:ascii="PingFang SC" w:hAnsi="PingFang SC" w:eastAsia="PingFang SC"/>
          <w:b w:val="0"/>
          <w:color w:val="243142"/>
          <w:sz w:val="21"/>
        </w:rPr>
        <w:t>：案件导入二期目标态原型</w:t>
      </w:r>
    </w:p>
    <w:p>
      <w:pPr>
        <w:spacing w:after="100"/>
      </w:pPr>
      <w:r>
        <w:rPr>
          <w:rFonts w:ascii="PingFang SC" w:hAnsi="PingFang SC" w:eastAsia="PingFang SC"/>
          <w:b/>
          <w:color w:val="243142"/>
          <w:sz w:val="21"/>
        </w:rPr>
        <w:t>一期边界</w:t>
      </w:r>
      <w:r>
        <w:rPr>
          <w:rFonts w:ascii="PingFang SC" w:hAnsi="PingFang SC" w:eastAsia="PingFang SC"/>
          <w:b w:val="0"/>
          <w:color w:val="243142"/>
          <w:sz w:val="21"/>
        </w:rPr>
        <w:t>：一期 Excel 导入逻辑与已生效案件不回退、不改造原有后续法诉流程。</w:t>
      </w:r>
    </w:p>
    <w:p>
      <w:pPr>
        <w:pStyle w:val="Heading1"/>
      </w:pPr>
      <w:r>
        <w:t>一、建设目标</w:t>
      </w:r>
    </w:p>
    <w:p>
      <w:pPr>
        <w:spacing w:after="100"/>
      </w:pPr>
      <w:r>
        <w:rPr>
          <w:rFonts w:ascii="PingFang SC" w:hAnsi="PingFang SC" w:eastAsia="PingFang SC"/>
          <w:b w:val="0"/>
          <w:color w:val="243142"/>
          <w:sz w:val="21"/>
        </w:rPr>
        <w:t>二期在一期“仅 Excel 导入、字段校验通过即生成并生效案件”的基础上，补齐材料包上传、材料解析、材料补传、导入规则配置、批次级附件和完整处理明细能力。</w:t>
      </w:r>
    </w:p>
    <w:p>
      <w:pPr>
        <w:spacing w:after="100"/>
      </w:pPr>
      <w:r>
        <w:rPr>
          <w:rFonts w:ascii="PingFang SC" w:hAnsi="PingFang SC" w:eastAsia="PingFang SC"/>
          <w:b w:val="0"/>
          <w:color w:val="243142"/>
          <w:sz w:val="21"/>
        </w:rPr>
        <w:t>核心目标如下：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新批次在导入时同时完成订单数据和材料包处理，材料结果决定案件是否进入待委外。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同一资产采购批次支持分次上传订单 Excel 和材料包，每次订单 Excel 最多 500 条，统一归属同一导入批次追溯。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一期历史已生效案件可在二期补充材料，但不因材料缺失回退案件状态，也不影响待委外及后续法诉流程。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运营通过导入处理详情闭环处理订单失败、待补材料和异常文件，无人工绑定、单文件上传或逐条重试入口。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技术可按导入规则、规则快照和下载明细完成字段映射、材料识别和问题排查。</w:t>
      </w:r>
    </w:p>
    <w:p>
      <w:pPr>
        <w:pStyle w:val="Heading1"/>
      </w:pPr>
      <w:r>
        <w:t>二、范围与不做事项</w:t>
      </w:r>
    </w:p>
    <w:p>
      <w:pPr>
        <w:pStyle w:val="Heading2"/>
      </w:pPr>
      <w:r>
        <w:t>2.1 二期范围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模块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二期能力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案件导入管理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批次筛选、案件结果汇总、材料处理状态、编辑、下载明细、历史材料补充入口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新建导入批次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导入规则、资产明细、材料包、草稿、异步导入提示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导入处理详情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订单结果、待补材料、异常文件三个页签；批量补传和当前筛选明细导出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导入规则配置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Excel 字段映射、字段启用和必填、材料类别、材料名称及匹配模式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编辑批次信息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批次基础信息、批次附件、历史上传文件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状态机说明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批次、案件、材料状态口径及一期历史批次补材流程</w:t>
            </w:r>
          </w:p>
        </w:tc>
      </w:tr>
    </w:tbl>
    <w:p>
      <w:pPr>
        <w:spacing w:after="40"/>
      </w:pPr>
    </w:p>
    <w:p>
      <w:pPr>
        <w:pStyle w:val="Heading2"/>
      </w:pPr>
      <w:r>
        <w:t>2.2 不做事项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不在案件导入模块新增“导出法诉材料”入口。材料齐全后仍由法诉材料模块沿用现有能力导出。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不支持人工绑定订单、重新绑定、单个材料文件上传或异常文件逐条重试。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不支持不同批次的重复订单覆盖。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不对一期历史案件补材前的案件状态、待委外归属、委外和后续法诉流程做回退或重置。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批次附件不参与订单材料解析、材料完整度校验或法诉材料自动归类。</w:t>
      </w:r>
    </w:p>
    <w:p>
      <w:pPr>
        <w:pStyle w:val="Heading1"/>
      </w:pPr>
      <w:r>
        <w:t>三、核心数据与状态口径</w:t>
      </w:r>
    </w:p>
    <w:p>
      <w:pPr>
        <w:pStyle w:val="Heading2"/>
      </w:pPr>
      <w:r>
        <w:t>3.1 三层状态</w:t>
      </w:r>
    </w:p>
    <w:p>
      <w:pPr>
        <w:spacing w:after="100"/>
      </w:pPr>
      <w:r>
        <w:rPr>
          <w:rFonts w:ascii="PingFang SC" w:hAnsi="PingFang SC" w:eastAsia="PingFang SC"/>
          <w:b w:val="0"/>
          <w:color w:val="243142"/>
          <w:sz w:val="21"/>
        </w:rPr>
        <w:t>列表拆分展示三个维度，避免将批次处理、案件可用性和材料完整度混为一个状态。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900"/>
        <w:gridCol w:w="2750"/>
        <w:gridCol w:w="471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维度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枚举</w:t>
            </w:r>
          </w:p>
        </w:tc>
        <w:tc>
          <w:tcPr>
            <w:tcW w:type="dxa" w:w="4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含义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导入状态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草稿、导入中、导入完成、导入失败、已取消</w:t>
            </w:r>
          </w:p>
        </w:tc>
        <w:tc>
          <w:tcPr>
            <w:tcW w:type="dxa" w:w="4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批次任务的进度；不等同于订单案件状态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案件结果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已生效、待材料激活、导入失败</w:t>
            </w:r>
          </w:p>
        </w:tc>
        <w:tc>
          <w:tcPr>
            <w:tcW w:type="dxa" w:w="4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按订单编号去重后的案件处理结果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材料处理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未处理、未生成、材料处理中、材料齐全、待补必填、待补非必填、待初始化（一期）</w:t>
            </w:r>
          </w:p>
        </w:tc>
        <w:tc>
          <w:tcPr>
            <w:tcW w:type="dxa" w:w="4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当前批次或订单的材料处理结果及下一步</w:t>
            </w:r>
          </w:p>
        </w:tc>
      </w:tr>
    </w:tbl>
    <w:p>
      <w:pPr>
        <w:spacing w:after="40"/>
      </w:pPr>
    </w:p>
    <w:p>
      <w:pPr>
        <w:pStyle w:val="Heading2"/>
      </w:pPr>
      <w:r>
        <w:t>3.2 二期新批次案件规则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700"/>
        <w:gridCol w:w="2350"/>
        <w:gridCol w:w="3180"/>
        <w:gridCol w:w="213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场景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案件结果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材料处理</w:t>
            </w:r>
          </w:p>
        </w:tc>
        <w:tc>
          <w:tcPr>
            <w:tcW w:type="dxa" w:w="2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是否进入待委外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字段、金额、主续关系或不可覆盖重复订单校验失败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导入失败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未生成</w:t>
            </w:r>
          </w:p>
        </w:tc>
        <w:tc>
          <w:tcPr>
            <w:tcW w:type="dxa" w:w="2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否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字段校验通过，必填材料齐全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已生效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材料齐全</w:t>
            </w:r>
          </w:p>
        </w:tc>
        <w:tc>
          <w:tcPr>
            <w:tcW w:type="dxa" w:w="2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是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字段校验通过，缺少必填材料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待材料激活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待补必填</w:t>
            </w:r>
          </w:p>
        </w:tc>
        <w:tc>
          <w:tcPr>
            <w:tcW w:type="dxa" w:w="2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否；补齐并复核通过后自动生效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字段校验通过，仅缺非必填材料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已生效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待补非必填</w:t>
            </w:r>
          </w:p>
        </w:tc>
        <w:tc>
          <w:tcPr>
            <w:tcW w:type="dxa" w:w="2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是；可后续补传</w:t>
            </w:r>
          </w:p>
        </w:tc>
      </w:tr>
    </w:tbl>
    <w:p>
      <w:pPr>
        <w:spacing w:after="40"/>
      </w:pPr>
    </w:p>
    <w:p>
      <w:pPr>
        <w:pStyle w:val="Heading2"/>
      </w:pPr>
      <w:r>
        <w:t>3.3 一期历史案件兼容规则</w:t>
      </w:r>
    </w:p>
    <w:p>
      <w:pPr>
        <w:spacing w:after="100"/>
      </w:pPr>
      <w:r>
        <w:rPr>
          <w:rFonts w:ascii="PingFang SC" w:hAnsi="PingFang SC" w:eastAsia="PingFang SC"/>
          <w:b w:val="0"/>
          <w:color w:val="243142"/>
          <w:sz w:val="21"/>
        </w:rPr>
        <w:t>一期历史批次的案件已按一期口径生效。二期补材只建立材料处理链路，不改变案件结果和导入状态。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700"/>
        <w:gridCol w:w="2350"/>
        <w:gridCol w:w="3180"/>
        <w:gridCol w:w="213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历史材料状态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进入条件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列表更新</w:t>
            </w:r>
          </w:p>
        </w:tc>
        <w:tc>
          <w:tcPr>
            <w:tcW w:type="dxa" w:w="2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案件与导入状态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待初始化（一期）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二期上线后，尚未补充历史材料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操作显示补充历史材料、编辑、下载明细</w:t>
            </w:r>
          </w:p>
        </w:tc>
        <w:tc>
          <w:tcPr>
            <w:tcW w:type="dxa" w:w="2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案件保持已生效；导入状态保持导入完成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材料处理中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上传材料包并提交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固化历史材料规则快照；操作改为处理详情、编辑、下载明细</w:t>
            </w:r>
          </w:p>
        </w:tc>
        <w:tc>
          <w:tcPr>
            <w:tcW w:type="dxa" w:w="2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案件保持已生效；导入状态保持导入完成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材料齐全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异步解析完成且材料满足规则快照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材料处理更新为材料齐全；处理详情、批次处理明细同步更新</w:t>
            </w:r>
          </w:p>
        </w:tc>
        <w:tc>
          <w:tcPr>
            <w:tcW w:type="dxa" w:w="2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案件保持已生效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待补必填 / 待补非必填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异步解析完成，存在缺失或异常材料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缺失项、异常文件写入处理详情和批次处理明细</w:t>
            </w:r>
          </w:p>
        </w:tc>
        <w:tc>
          <w:tcPr>
            <w:tcW w:type="dxa" w:w="2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一期历史案件仍保持已生效；在处理详情继续批量补传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PingFang SC" w:hAnsi="PingFang SC" w:eastAsia="PingFang SC"/>
          <w:b w:val="0"/>
          <w:color w:val="243142"/>
          <w:sz w:val="21"/>
        </w:rPr>
        <w:t xml:space="preserve">首次补充历史材料仅上传材料包，格式支持 </w:t>
      </w:r>
      <w:r>
        <w:rPr>
          <w:rFonts w:ascii="Consolas" w:hAnsi="Consolas" w:eastAsia="Consolas"/>
          <w:b w:val="0"/>
          <w:color w:val="243142"/>
          <w:sz w:val="21"/>
        </w:rPr>
        <w:t>zip</w:t>
      </w:r>
      <w:r>
        <w:rPr>
          <w:rFonts w:ascii="PingFang SC" w:hAnsi="PingFang SC" w:eastAsia="PingFang SC"/>
          <w:b w:val="0"/>
          <w:color w:val="243142"/>
          <w:sz w:val="21"/>
        </w:rPr>
        <w:t>、</w:t>
      </w:r>
      <w:r>
        <w:rPr>
          <w:rFonts w:ascii="Consolas" w:hAnsi="Consolas" w:eastAsia="Consolas"/>
          <w:b w:val="0"/>
          <w:color w:val="243142"/>
          <w:sz w:val="21"/>
        </w:rPr>
        <w:t>rar</w:t>
      </w:r>
      <w:r>
        <w:rPr>
          <w:rFonts w:ascii="PingFang SC" w:hAnsi="PingFang SC" w:eastAsia="PingFang SC"/>
          <w:b w:val="0"/>
          <w:color w:val="243142"/>
          <w:sz w:val="21"/>
        </w:rPr>
        <w:t>、</w:t>
      </w:r>
      <w:r>
        <w:rPr>
          <w:rFonts w:ascii="Consolas" w:hAnsi="Consolas" w:eastAsia="Consolas"/>
          <w:b w:val="0"/>
          <w:color w:val="243142"/>
          <w:sz w:val="21"/>
        </w:rPr>
        <w:t>7z</w:t>
      </w:r>
      <w:r>
        <w:rPr>
          <w:rFonts w:ascii="PingFang SC" w:hAnsi="PingFang SC" w:eastAsia="PingFang SC"/>
          <w:b w:val="0"/>
          <w:color w:val="243142"/>
          <w:sz w:val="21"/>
        </w:rPr>
        <w:t>。由于此前没有材料识别结果，不展示“同步重新识别本批次历史异常文件”。</w:t>
      </w:r>
    </w:p>
    <w:p>
      <w:pPr>
        <w:pStyle w:val="Heading1"/>
      </w:pPr>
      <w:r>
        <w:t>四、页面设计</w:t>
      </w:r>
    </w:p>
    <w:p>
      <w:pPr>
        <w:pStyle w:val="Heading2"/>
      </w:pPr>
      <w:r>
        <w:t>4.1 案件导入管理</w:t>
      </w:r>
    </w:p>
    <w:p>
      <w:pPr>
        <w:pStyle w:val="Heading3"/>
      </w:pPr>
      <w:r>
        <w:t>查询条件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900"/>
        <w:gridCol w:w="2750"/>
        <w:gridCol w:w="471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匹配方式</w:t>
            </w:r>
          </w:p>
        </w:tc>
        <w:tc>
          <w:tcPr>
            <w:tcW w:type="dxa" w:w="4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导入批次号、批次名称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模糊查询</w:t>
            </w:r>
          </w:p>
        </w:tc>
        <w:tc>
          <w:tcPr>
            <w:tcW w:type="dxa" w:w="4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最多 50 字符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订单号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精确查询</w:t>
            </w:r>
          </w:p>
        </w:tc>
        <w:tc>
          <w:tcPr>
            <w:tcW w:type="dxa" w:w="4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命中批次内任一订单即返回所属完整批次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债权出让主体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模糊查询</w:t>
            </w:r>
          </w:p>
        </w:tc>
        <w:tc>
          <w:tcPr>
            <w:tcW w:type="dxa" w:w="4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取批次基础信息中的文本值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外部资产方、业务类型、导入状态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枚举筛选</w:t>
            </w:r>
          </w:p>
        </w:tc>
        <w:tc>
          <w:tcPr>
            <w:tcW w:type="dxa" w:w="4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业务类型当前仅租赁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首次导入时间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时间范围</w:t>
            </w:r>
          </w:p>
        </w:tc>
        <w:tc>
          <w:tcPr>
            <w:tcW w:type="dxa" w:w="4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取批次首次创建导入任务时间，后续补传不覆盖</w:t>
            </w:r>
          </w:p>
        </w:tc>
      </w:tr>
    </w:tbl>
    <w:p>
      <w:pPr>
        <w:spacing w:after="40"/>
      </w:pPr>
    </w:p>
    <w:p>
      <w:pPr>
        <w:pStyle w:val="Heading3"/>
      </w:pPr>
      <w:r>
        <w:t>重点列与操作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案件结果按订单编号去重，分别展示已生效、待材料激活、导入失败数量。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材料处理仅表达材料下一步，不替代案件结果。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非草稿批次操作采用两行展示：第一行“处理详情 + 编辑”，第二行“下载明细”。一期历史批次在待初始化时第一行展示“补充历史材料 + 编辑”；提交历史材料包后切换为“处理详情 + 编辑”。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草稿仅展示继续编辑、取消；导入中不可编辑。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下载明细下载“批次处理明细”，按订单处理、材料处理、异常文件和任务级异常记录当前批次的最新结果。</w:t>
      </w:r>
    </w:p>
    <w:p>
      <w:pPr>
        <w:pStyle w:val="Heading2"/>
      </w:pPr>
      <w:r>
        <w:t>4.2 新建导入批次</w:t>
      </w:r>
    </w:p>
    <w:p>
      <w:pPr>
        <w:spacing w:after="100"/>
      </w:pPr>
      <w:r>
        <w:rPr>
          <w:rFonts w:ascii="PingFang SC" w:hAnsi="PingFang SC" w:eastAsia="PingFang SC"/>
          <w:b w:val="0"/>
          <w:color w:val="243142"/>
          <w:sz w:val="21"/>
        </w:rPr>
        <w:t>头部字段除备注外均必填：批次名称、外部资产方、业务类型、导入规则、债权接收主体、债权出让主体、债权总额、债权对价。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规则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债权出让主体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文本输入，最多 50 字符；用于批次级债权关系追溯和查询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债权接收主体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系统下拉，取债权主体配置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债权总额、债权对价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数字且不可为负；允许输入 0；债权对价不可大于债权总额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资产明细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 xml:space="preserve">必传，支持 </w:t>
            </w:r>
            <w:r>
              <w:rPr>
                <w:rFonts w:ascii="Consolas" w:hAnsi="Consolas" w:eastAsia="Consolas"/>
                <w:b w:val="0"/>
                <w:color w:val="243142"/>
                <w:sz w:val="19"/>
              </w:rPr>
              <w:t>xlsx</w:t>
            </w:r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color w:val="243142"/>
                <w:sz w:val="19"/>
              </w:rPr>
              <w:t>xls</w:t>
            </w:r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，单次最多 500 条订单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材料包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 xml:space="preserve">必传，支持 </w:t>
            </w:r>
            <w:r>
              <w:rPr>
                <w:rFonts w:ascii="Consolas" w:hAnsi="Consolas" w:eastAsia="Consolas"/>
                <w:b w:val="0"/>
                <w:color w:val="243142"/>
                <w:sz w:val="19"/>
              </w:rPr>
              <w:t>zip</w:t>
            </w:r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color w:val="243142"/>
                <w:sz w:val="19"/>
              </w:rPr>
              <w:t>rar</w:t>
            </w:r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color w:val="243142"/>
                <w:sz w:val="19"/>
              </w:rPr>
              <w:t>7z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备注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非必填，最多 200 字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PingFang SC" w:hAnsi="PingFang SC" w:eastAsia="PingFang SC"/>
          <w:b w:val="0"/>
          <w:color w:val="243142"/>
          <w:sz w:val="21"/>
        </w:rPr>
        <w:t>提交导入时，页面必填、金额、规则状态、Excel 和材料包通过前置校验后创建异步任务。弹出“导入处理中”提示，显示：处理阶段为“异步处理中”、页面提示为“导入中”；确认后返回案件导入管理列表查看任务进度，不自动下载明细。</w:t>
      </w:r>
    </w:p>
    <w:p>
      <w:pPr>
        <w:spacing w:after="100"/>
      </w:pPr>
      <w:r>
        <w:rPr>
          <w:rFonts w:ascii="PingFang SC" w:hAnsi="PingFang SC" w:eastAsia="PingFang SC"/>
          <w:b w:val="0"/>
          <w:color w:val="243142"/>
          <w:sz w:val="21"/>
        </w:rPr>
        <w:t>保存草稿仅保存批次基础信息和临时文件，不解析、不生成案件。批次提交时固化导入规则快照，后续规则变化不回写已提交批次。</w:t>
      </w:r>
    </w:p>
    <w:p>
      <w:pPr>
        <w:pStyle w:val="Heading2"/>
      </w:pPr>
      <w:r>
        <w:t>4.3 编辑批次信息</w:t>
      </w:r>
    </w:p>
    <w:p>
      <w:pPr>
        <w:spacing w:after="100"/>
      </w:pPr>
      <w:r>
        <w:rPr>
          <w:rFonts w:ascii="PingFang SC" w:hAnsi="PingFang SC" w:eastAsia="PingFang SC"/>
          <w:b w:val="0"/>
          <w:color w:val="243142"/>
          <w:sz w:val="21"/>
        </w:rPr>
        <w:t>可修改：批次名称、债权出让主体、债权总额、债权对价、备注。不可修改：外部资产方、业务类型、导入规则、债权接收主体。</w:t>
      </w:r>
    </w:p>
    <w:p>
      <w:pPr>
        <w:spacing w:after="100"/>
      </w:pPr>
      <w:r>
        <w:rPr>
          <w:rFonts w:ascii="PingFang SC" w:hAnsi="PingFang SC" w:eastAsia="PingFang SC"/>
          <w:b w:val="0"/>
          <w:color w:val="243142"/>
          <w:sz w:val="21"/>
        </w:rPr>
        <w:t>编辑弹框包含以下信息：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历史上传文件：资产明细、材料包、失败重传文件的文件名、上传时间和处理结果。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 xml:space="preserve">批次附件：用于债权转让协议、转账回单、补充协议等凭证；每批次最多 10 个，支持 </w:t>
      </w:r>
      <w:r>
        <w:rPr>
          <w:rFonts w:ascii="Consolas" w:hAnsi="Consolas" w:eastAsia="Consolas"/>
          <w:b w:val="0"/>
          <w:color w:val="243142"/>
          <w:sz w:val="21"/>
        </w:rPr>
        <w:t>pdf</w:t>
      </w:r>
      <w:r>
        <w:rPr>
          <w:rFonts w:ascii="PingFang SC" w:hAnsi="PingFang SC" w:eastAsia="PingFang SC"/>
          <w:b w:val="0"/>
          <w:color w:val="243142"/>
          <w:sz w:val="21"/>
        </w:rPr>
        <w:t>、图片、</w:t>
      </w:r>
      <w:r>
        <w:rPr>
          <w:rFonts w:ascii="Consolas" w:hAnsi="Consolas" w:eastAsia="Consolas"/>
          <w:b w:val="0"/>
          <w:color w:val="243142"/>
          <w:sz w:val="21"/>
        </w:rPr>
        <w:t>xlsx</w:t>
      </w:r>
      <w:r>
        <w:rPr>
          <w:rFonts w:ascii="PingFang SC" w:hAnsi="PingFang SC" w:eastAsia="PingFang SC"/>
          <w:b w:val="0"/>
          <w:color w:val="243142"/>
          <w:sz w:val="21"/>
        </w:rPr>
        <w:t>、</w:t>
      </w:r>
      <w:r>
        <w:rPr>
          <w:rFonts w:ascii="Consolas" w:hAnsi="Consolas" w:eastAsia="Consolas"/>
          <w:b w:val="0"/>
          <w:color w:val="243142"/>
          <w:sz w:val="21"/>
        </w:rPr>
        <w:t>xls</w:t>
      </w:r>
      <w:r>
        <w:rPr>
          <w:rFonts w:ascii="PingFang SC" w:hAnsi="PingFang SC" w:eastAsia="PingFang SC"/>
          <w:b w:val="0"/>
          <w:color w:val="243142"/>
          <w:sz w:val="21"/>
        </w:rPr>
        <w:t>、</w:t>
      </w:r>
      <w:r>
        <w:rPr>
          <w:rFonts w:ascii="Consolas" w:hAnsi="Consolas" w:eastAsia="Consolas"/>
          <w:b w:val="0"/>
          <w:color w:val="243142"/>
          <w:sz w:val="21"/>
        </w:rPr>
        <w:t>zip</w:t>
      </w:r>
      <w:r>
        <w:rPr>
          <w:rFonts w:ascii="PingFang SC" w:hAnsi="PingFang SC" w:eastAsia="PingFang SC"/>
          <w:b w:val="0"/>
          <w:color w:val="243142"/>
          <w:sz w:val="21"/>
        </w:rPr>
        <w:t>、</w:t>
      </w:r>
      <w:r>
        <w:rPr>
          <w:rFonts w:ascii="Consolas" w:hAnsi="Consolas" w:eastAsia="Consolas"/>
          <w:b w:val="0"/>
          <w:color w:val="243142"/>
          <w:sz w:val="21"/>
        </w:rPr>
        <w:t>7z</w:t>
      </w:r>
      <w:r>
        <w:rPr>
          <w:rFonts w:ascii="PingFang SC" w:hAnsi="PingFang SC" w:eastAsia="PingFang SC"/>
          <w:b w:val="0"/>
          <w:color w:val="243142"/>
          <w:sz w:val="21"/>
        </w:rPr>
        <w:t>、</w:t>
      </w:r>
      <w:r>
        <w:rPr>
          <w:rFonts w:ascii="Consolas" w:hAnsi="Consolas" w:eastAsia="Consolas"/>
          <w:b w:val="0"/>
          <w:color w:val="243142"/>
          <w:sz w:val="21"/>
        </w:rPr>
        <w:t>rar</w:t>
      </w:r>
      <w:r>
        <w:rPr>
          <w:rFonts w:ascii="PingFang SC" w:hAnsi="PingFang SC" w:eastAsia="PingFang SC"/>
          <w:b w:val="0"/>
          <w:color w:val="243142"/>
          <w:sz w:val="21"/>
        </w:rPr>
        <w:t>；支持下载、删除。替换附件时先删除旧附件，再通过“上传附件”新增。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批次附件只作为批次凭证，不参与订单材料解析、材料完整度校验或材料类别匹配。</w:t>
      </w:r>
    </w:p>
    <w:p>
      <w:pPr>
        <w:pStyle w:val="Heading2"/>
      </w:pPr>
      <w:r>
        <w:t>4.4 导入处理详情</w:t>
      </w:r>
    </w:p>
    <w:p>
      <w:pPr>
        <w:spacing w:after="100"/>
      </w:pPr>
      <w:r>
        <w:rPr>
          <w:rFonts w:ascii="PingFang SC" w:hAnsi="PingFang SC" w:eastAsia="PingFang SC"/>
          <w:b w:val="0"/>
          <w:color w:val="243142"/>
          <w:sz w:val="21"/>
        </w:rPr>
        <w:t>导入处理详情作为当前批次的统一工作台，固定三个页签：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900"/>
        <w:gridCol w:w="2750"/>
        <w:gridCol w:w="471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页签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展示内容</w:t>
            </w:r>
          </w:p>
        </w:tc>
        <w:tc>
          <w:tcPr>
            <w:tcW w:type="dxa" w:w="4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可操作项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订单结果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已生效、待材料激活、导入失败、自动覆盖和重复待处理订单</w:t>
            </w:r>
          </w:p>
        </w:tc>
        <w:tc>
          <w:tcPr>
            <w:tcW w:type="dxa" w:w="4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查看解析、失败原因、查看覆盖记录、批量补传、导出当前筛选订单明细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待补材料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缺失的必填或非必填材料</w:t>
            </w:r>
          </w:p>
        </w:tc>
        <w:tc>
          <w:tcPr>
            <w:tcW w:type="dxa" w:w="4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勾选范围、批量补传、导出当前筛选待补材料明细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异常文件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无法识别订单归属或材料类别的文件</w:t>
            </w:r>
          </w:p>
        </w:tc>
        <w:tc>
          <w:tcPr>
            <w:tcW w:type="dxa" w:w="4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预览/下载、批量补传、按需同步重新识别、导出当前筛选异常文件明细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PingFang SC" w:hAnsi="PingFang SC" w:eastAsia="PingFang SC"/>
          <w:b w:val="0"/>
          <w:color w:val="243142"/>
          <w:sz w:val="21"/>
        </w:rPr>
        <w:t>批量补传为同一批次的统一增量入口：可仅上传订单 Excel、仅上传材料包，或两者同时上传；至少上传一个文件。订单 Excel 用于新增本批次订单、重传失败订单或补充异常文件识别所需订单信息；材料包用于补齐材料或重新提交规范材料包。</w:t>
      </w:r>
    </w:p>
    <w:p>
      <w:pPr>
        <w:pStyle w:val="Heading2"/>
      </w:pPr>
      <w:r>
        <w:t>4.5 导入规则配置</w:t>
      </w:r>
    </w:p>
    <w:p>
      <w:pPr>
        <w:spacing w:after="100"/>
      </w:pPr>
      <w:r>
        <w:rPr>
          <w:rFonts w:ascii="PingFang SC" w:hAnsi="PingFang SC" w:eastAsia="PingFang SC"/>
          <w:b w:val="0"/>
          <w:color w:val="243142"/>
          <w:sz w:val="21"/>
        </w:rPr>
        <w:t>规则按“外部资产方 + 业务类型（租赁）”维护。规则包含：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Excel 模板字段配置：展示模板中文字段、对应表名与字段名、是否启用、是否必填；用于确认数据库字段映射。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材料规则配置：标准材料类别、资产方材料名称、必填/非必填、匹配模式（精确/包含）。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首租和续租共用一套 Excel 字段配置，仅在材料规则中切换和维护不同的必填材料范围。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规则变化仅影响新批次；已提交批次使用规则快照，历史补材使用历史材料规则快照。</w:t>
      </w:r>
    </w:p>
    <w:p>
      <w:pPr>
        <w:pStyle w:val="Heading1"/>
      </w:pPr>
      <w:r>
        <w:t>五、材料识别与补传规则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材料包按订单编号、资产方材料名称、匹配模式和标准材料类别自动识别。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能识别材料类别但不能识别订单，或订单不存在/已结清的文件进入异常文件页签。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已生效订单仅允许补传当前规则中配置为非必填的材料；待材料激活订单可补必填和非必填材料。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补齐必填材料并复核通过后，二期新批次的待材料激活案件自动生效。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一期历史案件无论补材结果如何均保持已生效；材料状态用于补材待办和法诉材料完备性管理。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一期历史材料首次上传不展示“同步重新识别历史异常文件”；该功能仅用于已有异常文件的二期批量补传。</w:t>
      </w:r>
    </w:p>
    <w:p>
      <w:pPr>
        <w:pStyle w:val="Heading1"/>
      </w:pPr>
      <w:r>
        <w:t>六、重复订单与主续订单</w:t>
      </w:r>
    </w:p>
    <w:p>
      <w:pPr>
        <w:pStyle w:val="Heading2"/>
      </w:pPr>
      <w:r>
        <w:t>6.1 重复订单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同一 Excel 内出现重复订单编号：上传阶段阻断整份文件，不创建导入任务，提示“模板中有重复订单，请修正后重新上传。”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不同批次中同一外部资产方、同一订单编号：直接阻断，提示已存在批次号，不进入覆盖判断。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同一批次再次导入时，只有案件未分配且未流转的订单可自动覆盖：更新订单字段、替换同名文件、自动补充不同名文件。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已分配或已流转订单不可覆盖，写入批次处理明细并展示当前流转状态。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自动覆盖完成后提供“查看覆盖记录”。该入口只读展示覆盖批次、覆盖时间、覆盖条件、字段覆盖前后差异、同名文件替换和不同名文件补充结果，不会再次执行覆盖或修改案件。</w:t>
      </w:r>
    </w:p>
    <w:p>
      <w:pPr>
        <w:pStyle w:val="Heading2"/>
      </w:pPr>
      <w:r>
        <w:t>6.2 主续订单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首次导入续租订单时，关联主订单必须同批导入、主订单为已结清状态且客户证件号一致。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主订单仅保留历史订单数据，不生成债权金额、已还金额、剩余未还、违约日、逾期天数等法诉债权字段。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主订单已在法诉系统形成案件后，再导入对应续租订单时阻断，提示：</w:t>
      </w:r>
      <w:r>
        <w:rPr>
          <w:rFonts w:ascii="Consolas" w:hAnsi="Consolas" w:eastAsia="Consolas"/>
          <w:b w:val="0"/>
          <w:color w:val="243142"/>
          <w:sz w:val="21"/>
        </w:rPr>
        <w:t>续租订单关联的主订单【{父订单编号}】已在法诉系统形成案件，不符合续租订单导入条件。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首次导入主订单后，不允许再导入对应续租订单；创新主订单债权金额口径为“主订单剩余未还租金 + 主订单到期买断金”。</w:t>
      </w:r>
    </w:p>
    <w:p>
      <w:pPr>
        <w:pStyle w:val="Heading1"/>
      </w:pPr>
      <w:r>
        <w:t>七、下载明细与导出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批次列表“下载明细”下载批次处理明细，反映当前批次多次导入后的最新处理结果。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导入处理详情的导出按钮随页签变化：订单结果导出订单处理明细，待补材料导出待补材料明细，异常文件导出异常文件明细。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有勾选记录时导出勾选记录；未勾选时导出当前页签、当前筛选结果。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任务级异常在详情顶部提示，并写入批次处理明细；不单独增加页签。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所有以上导出均不是“导出法诉材料”。法诉材料导出仍由法诉材料模块承接；一期历史案件在二期补充并解析材料后，可按该模块现有能力导出。</w:t>
      </w:r>
    </w:p>
    <w:p>
      <w:pPr>
        <w:pStyle w:val="Heading1"/>
      </w:pPr>
      <w:r>
        <w:t>八、一期历史批次补材状态机</w:t>
      </w:r>
    </w:p>
    <w:p>
      <w:pPr>
        <w:spacing w:before="160" w:after="120"/>
      </w:pPr>
      <w:r>
        <w:rPr>
          <w:rFonts w:ascii="PingFang SC" w:hAnsi="PingFang SC" w:eastAsia="PingFang SC"/>
          <w:b/>
          <w:color w:val="1F4D78"/>
          <w:sz w:val="22"/>
        </w:rPr>
        <w:t>一期历史批次补材流程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B"/>
          </w:tcPr>
          <w:p>
            <w:pPr>
              <w:spacing w:after="0"/>
              <w:jc w:val="center"/>
            </w:pPr>
            <w:r/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待初始化（一期）</w:t>
              <w:br/>
            </w:r>
            <w:r>
              <w:rPr>
                <w:rFonts w:ascii="PingFang SC" w:hAnsi="PingFang SC" w:eastAsia="PingFang SC"/>
                <w:b w:val="0"/>
                <w:color w:val="1F4D78"/>
                <w:sz w:val="18"/>
              </w:rPr>
              <w:t>案件已生效</w:t>
              <w:br/>
            </w:r>
            <w:r>
              <w:rPr>
                <w:rFonts w:ascii="PingFang SC" w:hAnsi="PingFang SC" w:eastAsia="PingFang SC"/>
                <w:b w:val="0"/>
                <w:color w:val="1F4D78"/>
                <w:sz w:val="18"/>
              </w:rPr>
              <w:t>导入完成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B"/>
          </w:tcPr>
          <w:p>
            <w:pPr>
              <w:spacing w:after="0"/>
              <w:jc w:val="center"/>
            </w:pPr>
            <w:r/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补充历史材料</w:t>
              <w:br/>
            </w:r>
            <w:r>
              <w:rPr>
                <w:rFonts w:ascii="PingFang SC" w:hAnsi="PingFang SC" w:eastAsia="PingFang SC"/>
                <w:b w:val="0"/>
                <w:color w:val="1F4D78"/>
                <w:sz w:val="18"/>
              </w:rPr>
              <w:t>上传材料包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B"/>
          </w:tcPr>
          <w:p>
            <w:pPr>
              <w:spacing w:after="0"/>
              <w:jc w:val="center"/>
            </w:pPr>
            <w:r/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材料处理中</w:t>
              <w:br/>
            </w:r>
            <w:r>
              <w:rPr>
                <w:rFonts w:ascii="PingFang SC" w:hAnsi="PingFang SC" w:eastAsia="PingFang SC"/>
                <w:b w:val="0"/>
                <w:color w:val="1F4D78"/>
                <w:sz w:val="18"/>
              </w:rPr>
              <w:t>固化规则快照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B"/>
          </w:tcPr>
          <w:p>
            <w:pPr>
              <w:spacing w:after="0"/>
              <w:jc w:val="center"/>
            </w:pPr>
            <w:r/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材料齐全</w:t>
              <w:br/>
            </w:r>
            <w:r>
              <w:rPr>
                <w:rFonts w:ascii="PingFang SC" w:hAnsi="PingFang SC" w:eastAsia="PingFang SC"/>
                <w:b w:val="0"/>
                <w:color w:val="1F4D78"/>
                <w:sz w:val="18"/>
              </w:rPr>
              <w:t>处理详情查看解析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B"/>
          </w:tcPr>
          <w:p>
            <w:pPr>
              <w:spacing w:after="0"/>
              <w:jc w:val="center"/>
            </w:pPr>
            <w:r/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待补必填 / 待补非必填</w:t>
              <w:br/>
            </w:r>
            <w:r>
              <w:rPr>
                <w:rFonts w:ascii="PingFang SC" w:hAnsi="PingFang SC" w:eastAsia="PingFang SC"/>
                <w:b w:val="0"/>
                <w:color w:val="1F4D78"/>
                <w:sz w:val="18"/>
              </w:rPr>
              <w:t>处理详情批量补传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B"/>
          </w:tcPr>
          <w:p>
            <w:pPr>
              <w:spacing w:after="0"/>
              <w:jc w:val="center"/>
            </w:pPr>
            <w:r/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案件继续已生效</w:t>
              <w:br/>
            </w:r>
            <w:r>
              <w:rPr>
                <w:rFonts w:ascii="PingFang SC" w:hAnsi="PingFang SC" w:eastAsia="PingFang SC"/>
                <w:b w:val="0"/>
                <w:color w:val="1F4D78"/>
                <w:sz w:val="18"/>
              </w:rPr>
              <w:t>导入完成不变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PingFang SC" w:hAnsi="PingFang SC" w:eastAsia="PingFang SC"/>
          <w:b w:val="0"/>
          <w:color w:val="243142"/>
          <w:sz w:val="21"/>
        </w:rPr>
        <w:t>页面回写规则：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700"/>
        <w:gridCol w:w="2350"/>
        <w:gridCol w:w="3180"/>
        <w:gridCol w:w="213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动作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材料处理更新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操作区更新</w:t>
            </w:r>
          </w:p>
        </w:tc>
        <w:tc>
          <w:tcPr>
            <w:tcW w:type="dxa" w:w="2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/>
                <w:color w:val="1F4D78"/>
                <w:sz w:val="19"/>
              </w:rPr>
              <w:t>不变项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点击补充历史材料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不变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打开仅含材料包的补充弹框</w:t>
            </w:r>
          </w:p>
        </w:tc>
        <w:tc>
          <w:tcPr>
            <w:tcW w:type="dxa" w:w="2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案件已生效、导入完成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上传并提交材料包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待初始化（一期）→材料处理中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补充历史材料→处理详情；保留编辑、下载明细</w:t>
            </w:r>
          </w:p>
        </w:tc>
        <w:tc>
          <w:tcPr>
            <w:tcW w:type="dxa" w:w="2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E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案件结果、导入状态、待委外及后续流程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异步解析完成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材料齐全或待补必填/待补非必填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继续通过处理详情和批量补传处理</w:t>
            </w:r>
          </w:p>
        </w:tc>
        <w:tc>
          <w:tcPr>
            <w:tcW w:type="dxa" w:w="2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 w:val="0"/>
                <w:color w:val="243142"/>
                <w:sz w:val="19"/>
              </w:rPr>
              <w:t>案件结果保持已生效；导入状态保持导入完成</w:t>
            </w:r>
          </w:p>
        </w:tc>
      </w:tr>
    </w:tbl>
    <w:p>
      <w:pPr>
        <w:spacing w:after="40"/>
      </w:pPr>
    </w:p>
    <w:p>
      <w:pPr>
        <w:pStyle w:val="Heading1"/>
      </w:pPr>
      <w:r>
        <w:t>九、验收要点</w:t>
      </w:r>
    </w:p>
    <w:p>
      <w:pPr>
        <w:pStyle w:val="Heading2"/>
      </w:pPr>
      <w:r>
        <w:t>9.1 新批次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□ 未上传资产明细或材料包时，整批阻断，不创建导入任务。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□ 提交成功后展示异步处理中和导入中，不自动下载明细。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□ 必填材料缺失时订单为待材料激活；补齐并复核后自动生效。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□ 同批次分次上传的订单按订单编号去重统计，单次 Excel 不超过 500 条。</w:t>
      </w:r>
    </w:p>
    <w:p>
      <w:pPr>
        <w:pStyle w:val="Heading2"/>
      </w:pPr>
      <w:r>
        <w:t>9.2 一期历史批次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□ 初始材料状态为待初始化（一期），案件结果为已生效，导入状态为导入完成。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□ 首次补充历史材料仅允许上传材料包，不展示同步重新识别历史异常文件。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□ 提交材料包后材料状态变为材料处理中，操作区切换为处理详情、编辑、下载明细。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□ 历史材料解析出待补必填时，案件仍保持已生效，不影响后续法诉流程。</w:t>
      </w:r>
    </w:p>
    <w:p>
      <w:pPr>
        <w:pStyle w:val="Heading2"/>
      </w:pPr>
      <w:r>
        <w:t>9.3 处理与追溯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□ 三个详情页签均支持导出当前筛选结果，导出字段与当前页签口径一致。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□ 不可覆盖重复订单不可修改已有案件；可自动覆盖订单仅有查看覆盖记录入口。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□ 查看覆盖记录不产生覆盖副作用，只展示审计明细。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□ 批次附件最多 10 个，仅支持规定格式，支持下载、删除，不参与材料解析。</w:t>
      </w:r>
    </w:p>
    <w:p>
      <w:pPr>
        <w:pStyle w:val="Heading1"/>
      </w:pPr>
      <w:r>
        <w:t>十、关联材料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二期原型：[案件导入原型主页](../../../index.html)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Excel 模板：[法诉案件导入 Excel 模板及文件格式说明 0702 最终版](../../../法诉案件导入_Excel模板及文件格式说明0702_最终版.xlsx)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color w:val="243142"/>
          <w:sz w:val="21"/>
        </w:rPr>
        <w:t>批次处理明细：[法诉案件导入批次处理明细](../../../法诉案件导入_批次处理明细.xlsx)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/>
        <w:color w:val="5F6B7A"/>
        <w:sz w:val="17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PingFang SC" w:hAnsi="PingFang SC"/>
        <w:color w:val="5F6B7A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ingFang SC" w:hAnsi="PingFang SC" w:eastAsia="PingFang SC"/>
        <w:color w:val="5F6B7A"/>
        <w:sz w:val="17"/>
      </w:rPr>
      <w:t>案件导入二期设计说明 |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PingFang SC" w:hAnsi="PingFang SC" w:eastAsia="PingFang SC"/>
      <w:color w:val="2431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