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60"/>
        <w:pBdr>
          <w:bottom w:val="single" w:sz="14" w:space="7" w:color="2E74B5"/>
        </w:pBdr>
      </w:pPr>
      <w:r>
        <w:rPr>
          <w:rFonts w:ascii="PingFang SC" w:hAnsi="PingFang SC" w:eastAsia="PingFang SC"/>
          <w:b/>
          <w:color w:val="1F4D78"/>
          <w:sz w:val="46"/>
        </w:rPr>
        <w:t>案件导入二期设计说明</w:t>
      </w:r>
    </w:p>
    <w:p>
      <w:pPr>
        <w:spacing w:after="100"/>
      </w:pPr>
      <w:r>
        <w:rPr>
          <w:rFonts w:ascii="PingFang SC" w:hAnsi="PingFang SC" w:eastAsia="PingFang SC"/>
          <w:b/>
          <w:color w:val="243142"/>
          <w:sz w:val="21"/>
        </w:rPr>
        <w:t>版本</w:t>
      </w:r>
      <w:r>
        <w:rPr>
          <w:rFonts w:ascii="PingFang SC" w:hAnsi="PingFang SC" w:eastAsia="PingFang SC"/>
          <w:b w:val="0"/>
          <w:color w:val="243142"/>
          <w:sz w:val="21"/>
        </w:rPr>
        <w:t>：V2.0</w:t>
      </w:r>
    </w:p>
    <w:p>
      <w:pPr>
        <w:spacing w:after="100"/>
      </w:pPr>
      <w:r>
        <w:rPr>
          <w:rFonts w:ascii="PingFang SC" w:hAnsi="PingFang SC" w:eastAsia="PingFang SC"/>
          <w:b/>
          <w:color w:val="243142"/>
          <w:sz w:val="21"/>
        </w:rPr>
        <w:t>更新日期</w:t>
      </w:r>
      <w:r>
        <w:rPr>
          <w:rFonts w:ascii="PingFang SC" w:hAnsi="PingFang SC" w:eastAsia="PingFang SC"/>
          <w:b w:val="0"/>
          <w:color w:val="243142"/>
          <w:sz w:val="21"/>
        </w:rPr>
        <w:t>：2026-07-22</w:t>
      </w:r>
    </w:p>
    <w:p>
      <w:pPr>
        <w:spacing w:after="100"/>
      </w:pPr>
      <w:r>
        <w:rPr>
          <w:rFonts w:ascii="PingFang SC" w:hAnsi="PingFang SC" w:eastAsia="PingFang SC"/>
          <w:b/>
          <w:color w:val="243142"/>
          <w:sz w:val="21"/>
        </w:rPr>
        <w:t>适用范围</w:t>
      </w:r>
      <w:r>
        <w:rPr>
          <w:rFonts w:ascii="PingFang SC" w:hAnsi="PingFang SC" w:eastAsia="PingFang SC"/>
          <w:b w:val="0"/>
          <w:color w:val="243142"/>
          <w:sz w:val="21"/>
        </w:rPr>
        <w:t>：案件导入二期目标态原型</w:t>
      </w:r>
    </w:p>
    <w:p>
      <w:pPr>
        <w:spacing w:after="100"/>
      </w:pPr>
      <w:r>
        <w:rPr>
          <w:rFonts w:ascii="PingFang SC" w:hAnsi="PingFang SC" w:eastAsia="PingFang SC"/>
          <w:b/>
          <w:color w:val="243142"/>
          <w:sz w:val="21"/>
        </w:rPr>
        <w:t>一期边界</w:t>
      </w:r>
      <w:r>
        <w:rPr>
          <w:rFonts w:ascii="PingFang SC" w:hAnsi="PingFang SC" w:eastAsia="PingFang SC"/>
          <w:b w:val="0"/>
          <w:color w:val="243142"/>
          <w:sz w:val="21"/>
        </w:rPr>
        <w:t>：一期 Excel 导入逻辑与已生效案件不回退、不改造原有后续法诉流程。</w:t>
      </w:r>
    </w:p>
    <w:p>
      <w:pPr>
        <w:pStyle w:val="Heading1"/>
      </w:pPr>
      <w:r>
        <w:t>一、建设目标</w:t>
      </w: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二期在一期“仅 Excel 导入、字段校验通过即生成并生效案件”的基础上，补齐材料包上传、材料解析、材料补传、导入规则配置、批次级附件和完整处理明细能力。</w:t>
      </w: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核心目标如下：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新批次在导入时同时完成订单数据和材料包处理，材料结果决定案件是否进入待委外。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同一资产采购批次支持分次上传订单 Excel 和材料包，每次订单 Excel 最多 500 条，统一归属同一导入批次追溯。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一期历史已生效案件可在二期补充材料，但不因材料缺失回退案件状态，也不影响待委外及后续法诉流程。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运营通过导入处理详情闭环处理订单失败、待补材料和异常文件，无人工绑定、单文件上传或逐条重试入口。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技术可按导入规则、规则快照和下载明细完成字段映射、材料识别和问题排查。</w:t>
      </w:r>
    </w:p>
    <w:p>
      <w:pPr>
        <w:pStyle w:val="Heading1"/>
      </w:pPr>
      <w:r>
        <w:t>二、范围与不做事项</w:t>
      </w:r>
    </w:p>
    <w:p>
      <w:pPr>
        <w:pStyle w:val="Heading2"/>
      </w:pPr>
      <w:r>
        <w:t>2.1 二期范围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模块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二期能力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案件导入管理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批次筛选、案件结果汇总、材料处理状态、编辑、下载明细、历史材料补充入口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新建导入批次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导入规则、资产明细、材料包、草稿、异步导入提示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导入处理详情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订单结果、待补材料、异常文件三个页签；批量补传和订单结果统一明细导出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导入规则配置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Excel 字段映射、字段启用和必填、材料类别、材料名称及匹配模式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编辑批次信息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批次基础信息、批次附件、历史上传文件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状态机说明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批次、案件、材料状态口径及一期历史批次补材流程</w:t>
            </w:r>
          </w:p>
        </w:tc>
      </w:tr>
    </w:tbl>
    <w:p>
      <w:pPr>
        <w:spacing w:after="40"/>
      </w:pPr>
    </w:p>
    <w:p>
      <w:pPr>
        <w:pStyle w:val="Heading2"/>
      </w:pPr>
      <w:r>
        <w:t>2.2 不做事项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不在案件导入模块新增“导出法诉材料”入口。材料齐全后仍由法诉材料模块沿用现有能力导出。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不支持人工绑定订单、重新绑定、单个材料文件上传或异常文件逐条重试。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不支持不同批次的重复订单覆盖。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不对一期历史案件补材前的案件状态、待委外归属、委外和后续法诉流程做回退或重置。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批次附件不参与订单材料解析、材料完整度校验或法诉材料自动归类。</w:t>
      </w:r>
    </w:p>
    <w:p>
      <w:pPr>
        <w:pStyle w:val="Heading1"/>
      </w:pPr>
      <w:r>
        <w:t>三、核心数据与状态口径</w:t>
      </w:r>
    </w:p>
    <w:p>
      <w:pPr>
        <w:pStyle w:val="Heading2"/>
      </w:pPr>
      <w:r>
        <w:t>3.1 三层状态</w:t>
      </w: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列表拆分展示三个维度，避免将批次处理、案件可用性和材料完整度混为一个状态。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900"/>
        <w:gridCol w:w="2750"/>
        <w:gridCol w:w="4710"/>
      </w:tblGrid>
      <w:tr>
        <w:trPr>
          <w:tblHeader w:val="true"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维度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枚举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含义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导入状态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草稿、导入中、导入完成、导入失败、已取消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批次任务的进度；不等同于订单案件状态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案件结果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已生效、待材料激活、导入失败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按订单编号去重后的案件处理结果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材料处理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未处理、未生成、材料处理中、材料齐全、待补必填、待补非必填、待初始化（一期）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当前批次或订单的材料处理结果及下一步</w:t>
            </w:r>
          </w:p>
        </w:tc>
      </w:tr>
    </w:tbl>
    <w:p>
      <w:pPr>
        <w:spacing w:after="40"/>
      </w:pPr>
    </w:p>
    <w:p>
      <w:pPr>
        <w:pStyle w:val="Heading2"/>
      </w:pPr>
      <w:r>
        <w:t>3.2 二期新批次案件规则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700"/>
        <w:gridCol w:w="2350"/>
        <w:gridCol w:w="3180"/>
        <w:gridCol w:w="2130"/>
      </w:tblGrid>
      <w:tr>
        <w:trPr>
          <w:tblHeader w:val="true"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场景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案件结果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材料处理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是否进入待委外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字段、金额、主续关系或不可覆盖重复订单校验失败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导入失败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未生成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否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字段校验通过，必填材料齐全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已生效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材料齐全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是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字段校验通过，缺少必填材料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待材料激活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待补必填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否；补齐并复核通过后自动生效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字段校验通过，仅缺非必填材料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已生效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待补非必填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是；可后续补传</w:t>
            </w:r>
          </w:p>
        </w:tc>
      </w:tr>
    </w:tbl>
    <w:p>
      <w:pPr>
        <w:spacing w:after="40"/>
      </w:pPr>
    </w:p>
    <w:p>
      <w:pPr>
        <w:pStyle w:val="Heading2"/>
      </w:pPr>
      <w:r>
        <w:t>3.3 一期历史案件兼容规则</w:t>
      </w: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一期历史批次的案件已按一期口径生效。二期补材只建立材料处理链路，不改变案件结果和导入状态。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700"/>
        <w:gridCol w:w="2350"/>
        <w:gridCol w:w="3180"/>
        <w:gridCol w:w="2130"/>
      </w:tblGrid>
      <w:tr>
        <w:trPr>
          <w:tblHeader w:val="true"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历史材料状态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进入条件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列表更新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案件与导入状态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待初始化（一期）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二期上线后，尚未补充历史材料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操作显示补充历史材料、编辑、下载明细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案件保持已生效；导入状态保持导入完成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材料处理中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上传材料包并提交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固化历史材料规则快照；操作改为处理详情、编辑、下载明细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案件保持已生效；导入状态保持导入完成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材料齐全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异步解析完成且材料满足规则快照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材料处理更新为材料齐全；处理详情、批次处理明细同步更新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案件保持已生效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待补必填 / 待补非必填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异步解析完成，存在缺失或异常材料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缺失项、异常文件写入处理详情和批次处理明细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一期历史案件仍保持已生效；在处理详情继续批量补传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 xml:space="preserve">首次补充历史材料仅上传材料包，格式支持 </w:t>
      </w:r>
      <w:r>
        <w:rPr>
          <w:rFonts w:ascii="Consolas" w:hAnsi="Consolas" w:eastAsia="Consolas"/>
          <w:b w:val="0"/>
          <w:color w:val="243142"/>
          <w:sz w:val="21"/>
        </w:rPr>
        <w:t>zip</w:t>
      </w:r>
      <w:r>
        <w:rPr>
          <w:rFonts w:ascii="PingFang SC" w:hAnsi="PingFang SC" w:eastAsia="PingFang SC"/>
          <w:b w:val="0"/>
          <w:color w:val="243142"/>
          <w:sz w:val="21"/>
        </w:rPr>
        <w:t>、</w:t>
      </w:r>
      <w:r>
        <w:rPr>
          <w:rFonts w:ascii="Consolas" w:hAnsi="Consolas" w:eastAsia="Consolas"/>
          <w:b w:val="0"/>
          <w:color w:val="243142"/>
          <w:sz w:val="21"/>
        </w:rPr>
        <w:t>rar</w:t>
      </w:r>
      <w:r>
        <w:rPr>
          <w:rFonts w:ascii="PingFang SC" w:hAnsi="PingFang SC" w:eastAsia="PingFang SC"/>
          <w:b w:val="0"/>
          <w:color w:val="243142"/>
          <w:sz w:val="21"/>
        </w:rPr>
        <w:t>、</w:t>
      </w:r>
      <w:r>
        <w:rPr>
          <w:rFonts w:ascii="Consolas" w:hAnsi="Consolas" w:eastAsia="Consolas"/>
          <w:b w:val="0"/>
          <w:color w:val="243142"/>
          <w:sz w:val="21"/>
        </w:rPr>
        <w:t>7z</w:t>
      </w:r>
      <w:r>
        <w:rPr>
          <w:rFonts w:ascii="PingFang SC" w:hAnsi="PingFang SC" w:eastAsia="PingFang SC"/>
          <w:b w:val="0"/>
          <w:color w:val="243142"/>
          <w:sz w:val="21"/>
        </w:rPr>
        <w:t>。由于此前没有材料识别结果，不展示“同步重新识别本批次历史异常文件”。</w:t>
      </w:r>
    </w:p>
    <w:p>
      <w:pPr>
        <w:pStyle w:val="Heading1"/>
      </w:pPr>
      <w:r>
        <w:t>四、页面设计</w:t>
      </w:r>
    </w:p>
    <w:p>
      <w:pPr>
        <w:pStyle w:val="Heading2"/>
      </w:pPr>
      <w:r>
        <w:t>4.1 案件导入管理</w:t>
      </w:r>
    </w:p>
    <w:p>
      <w:pPr>
        <w:pStyle w:val="Heading3"/>
      </w:pPr>
      <w:r>
        <w:t>查询条件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900"/>
        <w:gridCol w:w="2750"/>
        <w:gridCol w:w="4710"/>
      </w:tblGrid>
      <w:tr>
        <w:trPr>
          <w:tblHeader w:val="true"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字段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匹配方式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导入批次号、批次名称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模糊查询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最多 50 字符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订单号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精确查询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命中批次内任一订单即返回所属完整批次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债权出让主体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模糊查询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取批次基础信息中的文本值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外部资产方、业务类型、导入状态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枚举筛选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业务类型当前仅租赁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首次导入时间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时间范围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取批次首次创建导入任务时间，后续补传不覆盖</w:t>
            </w:r>
          </w:p>
        </w:tc>
      </w:tr>
    </w:tbl>
    <w:p>
      <w:pPr>
        <w:spacing w:after="40"/>
      </w:pPr>
    </w:p>
    <w:p>
      <w:pPr>
        <w:pStyle w:val="Heading3"/>
      </w:pPr>
      <w:r>
        <w:t>重点列与操作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案件结果按订单编号去重，分别展示已生效、待材料激活、导入失败数量。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材料处理仅表达材料下一步，不替代案件结果。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非草稿批次操作采用两行展示：第一行“处理详情 + 编辑”，第二行“下载明细”。一期历史批次在待初始化时第一行展示“补充历史材料 + 编辑”；提交历史材料包后切换为“处理详情 + 编辑”。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草稿仅展示继续编辑、取消；导入中不可编辑。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下载明细下载“批次处理明细”，按订单处理、材料处理、异常文件和任务级异常记录当前批次的最新结果。</w:t>
      </w:r>
    </w:p>
    <w:p>
      <w:pPr>
        <w:pStyle w:val="Heading2"/>
      </w:pPr>
      <w:r>
        <w:t>4.2 新建导入批次</w:t>
      </w: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头部字段除备注外均必填：批次名称、外部资产方、业务类型、导入规则、债权接收主体、债权出让主体、债权总额、债权对价。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字段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规则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债权出让主体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文本输入，最多 50 字符；用于批次级债权关系追溯和查询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债权接收主体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系统下拉，取债权主体配置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债权总额、债权对价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数字且不可为负；允许输入 0；债权对价不可大于债权总额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资产明细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 xml:space="preserve">必传，支持 </w:t>
            </w:r>
            <w:r>
              <w:rPr>
                <w:rFonts w:ascii="Consolas" w:hAnsi="Consolas" w:eastAsia="Consolas"/>
                <w:b w:val="0"/>
                <w:color w:val="243142"/>
                <w:sz w:val="19"/>
              </w:rPr>
              <w:t>xlsx</w:t>
            </w:r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243142"/>
                <w:sz w:val="19"/>
              </w:rPr>
              <w:t>xls</w:t>
            </w:r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，单次最多 500 条订单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材料包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 xml:space="preserve">必传，支持 </w:t>
            </w:r>
            <w:r>
              <w:rPr>
                <w:rFonts w:ascii="Consolas" w:hAnsi="Consolas" w:eastAsia="Consolas"/>
                <w:b w:val="0"/>
                <w:color w:val="243142"/>
                <w:sz w:val="19"/>
              </w:rPr>
              <w:t>zip</w:t>
            </w:r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243142"/>
                <w:sz w:val="19"/>
              </w:rPr>
              <w:t>rar</w:t>
            </w:r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243142"/>
                <w:sz w:val="19"/>
              </w:rPr>
              <w:t>7z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备注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非必填，最多 200 字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提交导入时，页面必填、金额、规则状态、Excel 和材料包通过前置校验后创建异步任务。弹出“导入处理中”提示，显示：处理阶段为“异步处理中”、页面提示为“导入中”；确认后返回案件导入管理列表查看任务进度，不自动下载明细。</w:t>
      </w: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保存草稿仅保存批次基础信息和临时文件，不解析、不生成案件。批次提交时固化导入规则快照，后续规则变化不回写已提交批次。</w:t>
      </w:r>
    </w:p>
    <w:p>
      <w:pPr>
        <w:pStyle w:val="Heading2"/>
      </w:pPr>
      <w:r>
        <w:t>4.3 编辑批次信息</w:t>
      </w: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可修改：批次名称、债权出让主体、债权总额、债权对价、备注。不可修改：外部资产方、业务类型、导入规则、债权接收主体。</w:t>
      </w: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编辑弹框包含以下信息：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历史上传文件：资产明细、材料包、失败重传文件的文件名、上传时间和处理结果。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 xml:space="preserve">批次附件：用于债权转让协议、转账回单、补充协议等凭证；每批次最多 10 个，支持 </w:t>
      </w:r>
      <w:r>
        <w:rPr>
          <w:rFonts w:ascii="Consolas" w:hAnsi="Consolas" w:eastAsia="Consolas"/>
          <w:b w:val="0"/>
          <w:color w:val="243142"/>
          <w:sz w:val="21"/>
        </w:rPr>
        <w:t>pdf</w:t>
      </w:r>
      <w:r>
        <w:rPr>
          <w:rFonts w:ascii="PingFang SC" w:hAnsi="PingFang SC" w:eastAsia="PingFang SC"/>
          <w:b w:val="0"/>
          <w:color w:val="243142"/>
          <w:sz w:val="21"/>
        </w:rPr>
        <w:t>、图片、</w:t>
      </w:r>
      <w:r>
        <w:rPr>
          <w:rFonts w:ascii="Consolas" w:hAnsi="Consolas" w:eastAsia="Consolas"/>
          <w:b w:val="0"/>
          <w:color w:val="243142"/>
          <w:sz w:val="21"/>
        </w:rPr>
        <w:t>xlsx</w:t>
      </w:r>
      <w:r>
        <w:rPr>
          <w:rFonts w:ascii="PingFang SC" w:hAnsi="PingFang SC" w:eastAsia="PingFang SC"/>
          <w:b w:val="0"/>
          <w:color w:val="243142"/>
          <w:sz w:val="21"/>
        </w:rPr>
        <w:t>、</w:t>
      </w:r>
      <w:r>
        <w:rPr>
          <w:rFonts w:ascii="Consolas" w:hAnsi="Consolas" w:eastAsia="Consolas"/>
          <w:b w:val="0"/>
          <w:color w:val="243142"/>
          <w:sz w:val="21"/>
        </w:rPr>
        <w:t>xls</w:t>
      </w:r>
      <w:r>
        <w:rPr>
          <w:rFonts w:ascii="PingFang SC" w:hAnsi="PingFang SC" w:eastAsia="PingFang SC"/>
          <w:b w:val="0"/>
          <w:color w:val="243142"/>
          <w:sz w:val="21"/>
        </w:rPr>
        <w:t>、</w:t>
      </w:r>
      <w:r>
        <w:rPr>
          <w:rFonts w:ascii="Consolas" w:hAnsi="Consolas" w:eastAsia="Consolas"/>
          <w:b w:val="0"/>
          <w:color w:val="243142"/>
          <w:sz w:val="21"/>
        </w:rPr>
        <w:t>zip</w:t>
      </w:r>
      <w:r>
        <w:rPr>
          <w:rFonts w:ascii="PingFang SC" w:hAnsi="PingFang SC" w:eastAsia="PingFang SC"/>
          <w:b w:val="0"/>
          <w:color w:val="243142"/>
          <w:sz w:val="21"/>
        </w:rPr>
        <w:t>、</w:t>
      </w:r>
      <w:r>
        <w:rPr>
          <w:rFonts w:ascii="Consolas" w:hAnsi="Consolas" w:eastAsia="Consolas"/>
          <w:b w:val="0"/>
          <w:color w:val="243142"/>
          <w:sz w:val="21"/>
        </w:rPr>
        <w:t>7z</w:t>
      </w:r>
      <w:r>
        <w:rPr>
          <w:rFonts w:ascii="PingFang SC" w:hAnsi="PingFang SC" w:eastAsia="PingFang SC"/>
          <w:b w:val="0"/>
          <w:color w:val="243142"/>
          <w:sz w:val="21"/>
        </w:rPr>
        <w:t>、</w:t>
      </w:r>
      <w:r>
        <w:rPr>
          <w:rFonts w:ascii="Consolas" w:hAnsi="Consolas" w:eastAsia="Consolas"/>
          <w:b w:val="0"/>
          <w:color w:val="243142"/>
          <w:sz w:val="21"/>
        </w:rPr>
        <w:t>rar</w:t>
      </w:r>
      <w:r>
        <w:rPr>
          <w:rFonts w:ascii="PingFang SC" w:hAnsi="PingFang SC" w:eastAsia="PingFang SC"/>
          <w:b w:val="0"/>
          <w:color w:val="243142"/>
          <w:sz w:val="21"/>
        </w:rPr>
        <w:t>；支持下载、删除。替换附件时先删除旧附件，再通过“上传附件”新增。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批次附件只作为批次凭证，不参与订单材料解析、材料完整度校验或材料类别匹配。</w:t>
      </w:r>
    </w:p>
    <w:p>
      <w:pPr>
        <w:pStyle w:val="Heading2"/>
      </w:pPr>
      <w:r>
        <w:t>4.4 导入处理详情</w:t>
      </w: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导入处理详情作为当前批次的统一工作台。头部展示导入批次号、批次名称、外部资产方 / 业务类型、债权接收主体、债权出让主体、债权总额、债权对价、导入规则和导入时间；债权出让主体取当前批次基础信息。下方固定三个页签：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900"/>
        <w:gridCol w:w="2750"/>
        <w:gridCol w:w="4710"/>
      </w:tblGrid>
      <w:tr>
        <w:trPr>
          <w:tblHeader w:val="true"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页签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展示内容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可操作项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订单结果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已生效、待材料激活、导入失败、自动覆盖和重复待处理订单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查看解析、失败原因、查看覆盖记录、批量补传、导出当前筛选订单明细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待补材料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缺失的必填或非必填材料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勾选范围、批量补传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异常文件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无法识别订单归属或材料类别的文件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预览/下载、批量补传、按需同步重新识别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批量补传为同一批次的统一增量入口：可仅上传订单 Excel、仅上传材料包，或两者同时上传；至少上传一个文件。订单 Excel 用于新增本批次订单、重传失败订单或补充异常文件识别所需订单信息；材料包用于补齐材料或重新提交规范材料包。</w:t>
      </w:r>
    </w:p>
    <w:p>
      <w:pPr>
        <w:pStyle w:val="Heading2"/>
      </w:pPr>
      <w:r>
        <w:t>4.5 导入规则配置</w:t>
      </w: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规则按“外部资产方 + 业务类型（租赁）”维护。规则包含：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Excel 模板字段配置：展示模板中文字段、对应表名与字段名、是否启用、是否必填；用于确认数据库字段映射。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材料规则配置：标准材料类别、资产方材料名称、必填/非必填、匹配模式（精确/包含）。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首租和续租共用一套 Excel 字段配置，仅在材料规则中切换和维护不同的必填材料范围。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规则变化仅影响新批次；已提交批次使用规则快照，历史补材使用历史材料规则快照。</w:t>
      </w:r>
    </w:p>
    <w:p>
      <w:pPr>
        <w:pStyle w:val="Heading1"/>
      </w:pPr>
      <w:r>
        <w:t>五、材料识别与补传规则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材料包按订单编号、资产方材料名称、匹配模式和标准材料类别自动识别。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能识别材料类别但不能识别订单，或订单不存在/已结清的文件进入异常文件页签。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已生效订单仅允许补传当前规则中配置为非必填的材料；待材料激活订单可补必填和非必填材料。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补齐必填材料并复核通过后，二期新批次的待材料激活案件自动生效。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一期历史案件无论补材结果如何均保持已生效；材料状态用于补材待办和法诉材料完备性管理。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一期历史材料首次上传不展示“同步重新识别历史异常文件”；该功能仅用于已有异常文件的二期批量补传。</w:t>
      </w:r>
    </w:p>
    <w:p>
      <w:pPr>
        <w:pStyle w:val="Heading1"/>
      </w:pPr>
      <w:r>
        <w:t>六、重复订单与主续订单</w:t>
      </w:r>
    </w:p>
    <w:p>
      <w:pPr>
        <w:pStyle w:val="Heading2"/>
      </w:pPr>
      <w:r>
        <w:t>6.1 重复订单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同一 Excel 内出现重复订单编号：上传阶段阻断整份文件，不创建导入任务，提示“模板中有重复订单，请修正后重新上传。”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不同批次中同一外部资产方、同一订单编号：直接阻断，提示已存在批次号，不进入覆盖判断。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同一批次再次导入时，只有案件未分配且未流转的订单可自动覆盖：更新订单字段、替换同名文件、自动补充不同名文件。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已分配或已流转订单不可覆盖，写入批次处理明细并展示当前流转状态。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自动覆盖完成后提供“查看覆盖记录”。该入口只读展示覆盖批次、覆盖时间、覆盖条件、字段覆盖前后差异、同名文件替换和不同名文件补充结果，不会再次执行覆盖或修改案件。</w:t>
      </w:r>
    </w:p>
    <w:p>
      <w:pPr>
        <w:pStyle w:val="Heading2"/>
      </w:pPr>
      <w:r>
        <w:t>6.2 主续订单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首次导入续租订单时，关联主订单必须同批导入、主订单为已结清状态且客户证件号一致。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主订单仅保留历史订单数据，不生成债权金额、已还金额、剩余未还、违约日、逾期天数等法诉债权字段。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主订单已在法诉系统形成案件后，再导入对应续租订单时阻断，提示：</w:t>
      </w:r>
      <w:r>
        <w:rPr>
          <w:rFonts w:ascii="Consolas" w:hAnsi="Consolas" w:eastAsia="Consolas"/>
          <w:b w:val="0"/>
          <w:color w:val="243142"/>
          <w:sz w:val="21"/>
        </w:rPr>
        <w:t>续租订单关联的主订单【{父订单编号}】已在法诉系统形成案件，不符合续租订单导入条件。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首次导入主订单后，不允许再导入对应续租订单；创新主订单债权金额口径为“主订单剩余未还租金 + 主订单到期买断金”。</w:t>
      </w:r>
    </w:p>
    <w:p>
      <w:pPr>
        <w:pStyle w:val="Heading1"/>
      </w:pPr>
      <w:r>
        <w:t>七、下载明细与导出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批次列表“下载明细”下载批次处理明细，反映当前批次多次导入后的最新处理结果。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导入处理详情仅在订单结果页签展示导出按钮，下载订单处理明细；该文件固定包含“订单结果、待补材料、异常文件”三个Sheet。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有勾选订单时，“订单结果”Sheet导出勾选订单；未勾选时导出当前筛选订单。待补材料和异常文件Sheet展示当前批次的最新结果。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任务级异常在详情顶部提示，并写入批次处理明细；不单独增加页签。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所有以上导出均不是“导出法诉材料”。法诉材料导出仍由法诉材料模块承接；一期历史案件在二期补充并解析材料后，可按该模块现有能力导出。</w:t>
      </w:r>
    </w:p>
    <w:p>
      <w:pPr>
        <w:pStyle w:val="Heading1"/>
      </w:pPr>
      <w:r>
        <w:t>八、一期历史批次补材状态机</w:t>
      </w:r>
    </w:p>
    <w:p>
      <w:pPr>
        <w:spacing w:before="160" w:after="120"/>
      </w:pPr>
      <w:r>
        <w:rPr>
          <w:rFonts w:ascii="PingFang SC" w:hAnsi="PingFang SC" w:eastAsia="PingFang SC"/>
          <w:b/>
          <w:color w:val="1F4D78"/>
          <w:sz w:val="22"/>
        </w:rPr>
        <w:t>一期历史批次补材流程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3FB"/>
          </w:tcPr>
          <w:p>
            <w:pPr>
              <w:spacing w:after="0"/>
              <w:jc w:val="center"/>
            </w:pPr>
            <w:r/>
            <w:r>
              <w:rPr>
                <w:rFonts w:ascii="PingFang SC" w:hAnsi="PingFang SC" w:eastAsia="PingFang SC"/>
                <w:b/>
                <w:color w:val="1F4D78"/>
                <w:sz w:val="18"/>
              </w:rPr>
              <w:t>待初始化（一期）</w:t>
              <w:br/>
            </w:r>
            <w:r>
              <w:rPr>
                <w:rFonts w:ascii="PingFang SC" w:hAnsi="PingFang SC" w:eastAsia="PingFang SC"/>
                <w:b w:val="0"/>
                <w:color w:val="1F4D78"/>
                <w:sz w:val="18"/>
              </w:rPr>
              <w:t>案件已生效</w:t>
              <w:br/>
            </w:r>
            <w:r>
              <w:rPr>
                <w:rFonts w:ascii="PingFang SC" w:hAnsi="PingFang SC" w:eastAsia="PingFang SC"/>
                <w:b w:val="0"/>
                <w:color w:val="1F4D78"/>
                <w:sz w:val="18"/>
              </w:rPr>
              <w:t>导入完成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3FB"/>
          </w:tcPr>
          <w:p>
            <w:pPr>
              <w:spacing w:after="0"/>
              <w:jc w:val="center"/>
            </w:pPr>
            <w:r/>
            <w:r>
              <w:rPr>
                <w:rFonts w:ascii="PingFang SC" w:hAnsi="PingFang SC" w:eastAsia="PingFang SC"/>
                <w:b/>
                <w:color w:val="1F4D78"/>
                <w:sz w:val="18"/>
              </w:rPr>
              <w:t>补充历史材料</w:t>
              <w:br/>
            </w:r>
            <w:r>
              <w:rPr>
                <w:rFonts w:ascii="PingFang SC" w:hAnsi="PingFang SC" w:eastAsia="PingFang SC"/>
                <w:b w:val="0"/>
                <w:color w:val="1F4D78"/>
                <w:sz w:val="18"/>
              </w:rPr>
              <w:t>上传材料包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3FB"/>
          </w:tcPr>
          <w:p>
            <w:pPr>
              <w:spacing w:after="0"/>
              <w:jc w:val="center"/>
            </w:pPr>
            <w:r/>
            <w:r>
              <w:rPr>
                <w:rFonts w:ascii="PingFang SC" w:hAnsi="PingFang SC" w:eastAsia="PingFang SC"/>
                <w:b/>
                <w:color w:val="1F4D78"/>
                <w:sz w:val="18"/>
              </w:rPr>
              <w:t>材料处理中</w:t>
              <w:br/>
            </w:r>
            <w:r>
              <w:rPr>
                <w:rFonts w:ascii="PingFang SC" w:hAnsi="PingFang SC" w:eastAsia="PingFang SC"/>
                <w:b w:val="0"/>
                <w:color w:val="1F4D78"/>
                <w:sz w:val="18"/>
              </w:rPr>
              <w:t>固化规则快照</w:t>
            </w:r>
          </w:p>
        </w:tc>
      </w:tr>
      <w:tr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3FB"/>
          </w:tcPr>
          <w:p>
            <w:pPr>
              <w:spacing w:after="0"/>
              <w:jc w:val="center"/>
            </w:pPr>
            <w:r/>
            <w:r>
              <w:rPr>
                <w:rFonts w:ascii="PingFang SC" w:hAnsi="PingFang SC" w:eastAsia="PingFang SC"/>
                <w:b/>
                <w:color w:val="1F4D78"/>
                <w:sz w:val="18"/>
              </w:rPr>
              <w:t>材料齐全</w:t>
              <w:br/>
            </w:r>
            <w:r>
              <w:rPr>
                <w:rFonts w:ascii="PingFang SC" w:hAnsi="PingFang SC" w:eastAsia="PingFang SC"/>
                <w:b w:val="0"/>
                <w:color w:val="1F4D78"/>
                <w:sz w:val="18"/>
              </w:rPr>
              <w:t>处理详情查看解析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3FB"/>
          </w:tcPr>
          <w:p>
            <w:pPr>
              <w:spacing w:after="0"/>
              <w:jc w:val="center"/>
            </w:pPr>
            <w:r/>
            <w:r>
              <w:rPr>
                <w:rFonts w:ascii="PingFang SC" w:hAnsi="PingFang SC" w:eastAsia="PingFang SC"/>
                <w:b/>
                <w:color w:val="1F4D78"/>
                <w:sz w:val="18"/>
              </w:rPr>
              <w:t>待补必填 / 待补非必填</w:t>
              <w:br/>
            </w:r>
            <w:r>
              <w:rPr>
                <w:rFonts w:ascii="PingFang SC" w:hAnsi="PingFang SC" w:eastAsia="PingFang SC"/>
                <w:b w:val="0"/>
                <w:color w:val="1F4D78"/>
                <w:sz w:val="18"/>
              </w:rPr>
              <w:t>处理详情批量补传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3FB"/>
          </w:tcPr>
          <w:p>
            <w:pPr>
              <w:spacing w:after="0"/>
              <w:jc w:val="center"/>
            </w:pPr>
            <w:r/>
            <w:r>
              <w:rPr>
                <w:rFonts w:ascii="PingFang SC" w:hAnsi="PingFang SC" w:eastAsia="PingFang SC"/>
                <w:b/>
                <w:color w:val="1F4D78"/>
                <w:sz w:val="18"/>
              </w:rPr>
              <w:t>案件继续已生效</w:t>
              <w:br/>
            </w:r>
            <w:r>
              <w:rPr>
                <w:rFonts w:ascii="PingFang SC" w:hAnsi="PingFang SC" w:eastAsia="PingFang SC"/>
                <w:b w:val="0"/>
                <w:color w:val="1F4D78"/>
                <w:sz w:val="18"/>
              </w:rPr>
              <w:t>导入完成不变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页面回写规则：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700"/>
        <w:gridCol w:w="2350"/>
        <w:gridCol w:w="3180"/>
        <w:gridCol w:w="2130"/>
      </w:tblGrid>
      <w:tr>
        <w:trPr>
          <w:tblHeader w:val="true"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动作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材料处理更新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操作区更新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不变项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点击补充历史材料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不变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打开仅含材料包的补充弹框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案件已生效、导入完成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上传并提交材料包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待初始化（一期）→材料处理中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补充历史材料→处理详情；保留编辑、下载明细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案件结果、导入状态、待委外及后续流程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异步解析完成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材料齐全或待补必填/待补非必填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继续通过处理详情和批量补传处理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案件结果保持已生效；导入状态保持导入完成</w:t>
            </w:r>
          </w:p>
        </w:tc>
      </w:tr>
    </w:tbl>
    <w:p>
      <w:pPr>
        <w:spacing w:after="40"/>
      </w:pPr>
    </w:p>
    <w:p>
      <w:pPr>
        <w:pStyle w:val="Heading1"/>
      </w:pPr>
      <w:r>
        <w:t>九、验收要点</w:t>
      </w:r>
    </w:p>
    <w:p>
      <w:pPr>
        <w:pStyle w:val="Heading2"/>
      </w:pPr>
      <w:r>
        <w:t>9.1 新批次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□ 未上传资产明细或材料包时，整批阻断，不创建导入任务。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□ 提交成功后展示异步处理中和导入中，不自动下载明细。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□ 必填材料缺失时订单为待材料激活；补齐并复核后自动生效。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□ 同批次分次上传的订单按订单编号去重统计，单次 Excel 不超过 500 条。</w:t>
      </w:r>
    </w:p>
    <w:p>
      <w:pPr>
        <w:pStyle w:val="Heading2"/>
      </w:pPr>
      <w:r>
        <w:t>9.2 一期历史批次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□ 初始材料状态为待初始化（一期），案件结果为已生效，导入状态为导入完成。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□ 首次补充历史材料仅允许上传材料包，不展示同步重新识别历史异常文件。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□ 提交材料包后材料状态变为材料处理中，操作区切换为处理详情、编辑、下载明细。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□ 历史材料解析出待补必填时，案件仍保持已生效，不影响后续法诉流程。</w:t>
      </w:r>
    </w:p>
    <w:p>
      <w:pPr>
        <w:pStyle w:val="Heading2"/>
      </w:pPr>
      <w:r>
        <w:t>9.3 处理与追溯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□ 订单结果页签支持导出当前筛选订单明细；导出文件固定包含订单结果、待补材料、异常文件三个Sheet，待补材料和异常文件页签不展示导出按钮。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□ 不可覆盖重复订单不可修改已有案件；可自动覆盖订单仅有查看覆盖记录入口。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□ 查看覆盖记录不产生覆盖副作用，只展示审计明细。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□ 批次附件最多 10 个，仅支持规定格式，支持下载、删除，不参与材料解析。</w:t>
      </w:r>
    </w:p>
    <w:p>
      <w:pPr>
        <w:pStyle w:val="Heading1"/>
      </w:pPr>
      <w:r>
        <w:t>十、关联材料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二期原型：[案件导入原型主页](../../../index.html)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Excel 模板：[法诉案件导入 Excel 模板及文件格式说明 0702 最终版](../../../法诉案件导入_Excel模板及文件格式说明0702_最终版.xlsx)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批次处理明细：[法诉案件导入批次处理明细](../../../法诉案件导入_批次处理明细.xlsx)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SC" w:hAnsi="PingFang SC"/>
        <w:color w:val="5F6B7A"/>
        <w:sz w:val="17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PingFang SC" w:hAnsi="PingFang SC"/>
        <w:color w:val="5F6B7A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SC" w:hAnsi="PingFang SC" w:eastAsia="PingFang SC"/>
        <w:color w:val="5F6B7A"/>
        <w:sz w:val="17"/>
      </w:rPr>
      <w:t>案件导入二期设计说明 |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PingFang SC" w:hAnsi="PingFang SC" w:eastAsia="PingFang SC"/>
      <w:color w:val="2431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