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D0757A" w14:paraId="12FCCF2B" w14:textId="3312623C">
        <w:tc>
          <w:tcPr>
            <w:tcW w:w="5000" w:type="pct"/>
            <w:tcMar>
              <w:top w:w="0" w:type="dxa"/>
              <w:left w:w="0" w:type="dxa"/>
              <w:bottom w:w="0" w:type="dxa"/>
              <w:right w:w="0" w:type="dxa"/>
            </w:tcMar>
            <w:vAlign w:val="center"/>
          </w:tcPr>
          <w:p w14:paraId="12FCCF2A" w14:textId="77EFE118" w:rsidR="00D0757A" w:rsidRDefault="00D0757A"/>
        </w:tc>
      </w:tr>
    </w:tbl>
    <w:p w14:paraId="12FCCF2C" w14:textId="77777777" w:rsidR="00D0757A" w:rsidRDefault="00D0757A">
      <w:pPr>
        <w:spacing w:after="90"/>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D0757A" w14:paraId="12FCCF3F" w14:textId="07F76A9C">
        <w:tc>
          <w:tcPr>
            <w:tcW w:w="5000" w:type="pct"/>
            <w:tcMar>
              <w:top w:w="0" w:type="dxa"/>
              <w:left w:w="0" w:type="dxa"/>
              <w:bottom w:w="0" w:type="dxa"/>
              <w:right w:w="0" w:type="dxa"/>
            </w:tcMar>
            <w:vAlign w:val="center"/>
          </w:tcPr>
          <w:p w14:paraId="12FCCF2D" w14:textId="77777777" w:rsidR="00D0757A" w:rsidRDefault="00732B14">
            <w:pPr>
              <w:pStyle w:val="p"/>
            </w:pPr>
            <w:r>
              <w:rPr>
                <w:rFonts w:ascii="Times New Roman" w:eastAsia="Times New Roman" w:hAnsi="Times New Roman" w:cs="Times New Roman"/>
                <w:color w:val="000000"/>
                <w:sz w:val="22"/>
                <w:szCs w:val="22"/>
              </w:rPr>
              <w:t>1. In the context of business product categories, marketing of raw materials primarily emphasizes:</w:t>
            </w:r>
          </w:p>
          <w:p w14:paraId="12FCCF3E" w14:textId="77777777" w:rsidR="00D0757A" w:rsidRDefault="00D0757A"/>
        </w:tc>
      </w:tr>
      <w:tr w:rsidR="00D0757A" w14:paraId="5670D000" w14:textId="77777777">
        <w:tc>
          <w:tcPr>
            <w:tcW w:w="5000" w:type="pct"/>
            <w:tcMar>
              <w:top w:w="0" w:type="dxa"/>
              <w:left w:w="0" w:type="dxa"/>
              <w:bottom w:w="0" w:type="dxa"/>
              <w:right w:w="0" w:type="dxa"/>
            </w:tcMar>
            <w:vAlign w:val="center"/>
          </w:tcPr>
          <w:p w14:paraId="0299C80A" w14:textId="77777777" w:rsidR="00D0757A" w:rsidRDefault="00732B14">
            <w:pPr>
              <w:pStyle w:val="p"/>
            </w:pPr>
            <w:r>
              <w:rPr>
                <w:rFonts w:ascii="Times New Roman" w:eastAsia="Times New Roman" w:hAnsi="Times New Roman" w:cs="Times New Roman"/>
                <w:color w:val="000000"/>
                <w:sz w:val="22"/>
                <w:szCs w:val="22"/>
              </w:rPr>
              <w:t>2. In the context of business products, _____ consist of small-ticket items that businesses consume on an ongoing basis but do not become part of the final product.</w:t>
            </w:r>
          </w:p>
          <w:p w14:paraId="609BDCC1" w14:textId="77777777" w:rsidR="00D0757A" w:rsidRDefault="00D0757A"/>
        </w:tc>
      </w:tr>
      <w:tr w:rsidR="00D0757A" w14:paraId="167DF31D" w14:textId="77777777">
        <w:tc>
          <w:tcPr>
            <w:tcW w:w="5000" w:type="pct"/>
            <w:tcMar>
              <w:top w:w="0" w:type="dxa"/>
              <w:left w:w="0" w:type="dxa"/>
              <w:bottom w:w="0" w:type="dxa"/>
              <w:right w:w="0" w:type="dxa"/>
            </w:tcMar>
            <w:vAlign w:val="center"/>
          </w:tcPr>
          <w:p w14:paraId="40E87275" w14:textId="77777777" w:rsidR="00D0757A" w:rsidRDefault="00732B14">
            <w:pPr>
              <w:pStyle w:val="p"/>
            </w:pPr>
            <w:r>
              <w:rPr>
                <w:rFonts w:ascii="Times New Roman" w:eastAsia="Times New Roman" w:hAnsi="Times New Roman" w:cs="Times New Roman"/>
                <w:color w:val="000000"/>
                <w:sz w:val="22"/>
                <w:szCs w:val="22"/>
              </w:rPr>
              <w:t>3. Emma owns a bakery in Michigan. To save time, she buys ready-made edible cake decorations from a vendor in Wisconsin. This scenario exemplifies the purchase of a _____.</w:t>
            </w:r>
          </w:p>
          <w:p w14:paraId="307BBFE8" w14:textId="77777777" w:rsidR="00D0757A" w:rsidRDefault="00D0757A"/>
        </w:tc>
      </w:tr>
      <w:tr w:rsidR="00D0757A" w14:paraId="2F51E371" w14:textId="77777777">
        <w:tc>
          <w:tcPr>
            <w:tcW w:w="5000" w:type="pct"/>
            <w:tcMar>
              <w:top w:w="0" w:type="dxa"/>
              <w:left w:w="0" w:type="dxa"/>
              <w:bottom w:w="0" w:type="dxa"/>
              <w:right w:w="0" w:type="dxa"/>
            </w:tcMar>
            <w:vAlign w:val="center"/>
          </w:tcPr>
          <w:p w14:paraId="78E44C1D" w14:textId="77777777" w:rsidR="00D0757A" w:rsidRDefault="00732B14">
            <w:pPr>
              <w:pStyle w:val="p"/>
            </w:pPr>
            <w:r>
              <w:rPr>
                <w:rFonts w:ascii="Times New Roman" w:eastAsia="Times New Roman" w:hAnsi="Times New Roman" w:cs="Times New Roman"/>
                <w:color w:val="000000"/>
                <w:sz w:val="22"/>
                <w:szCs w:val="22"/>
              </w:rPr>
              <w:t>4. In the context of business product categories, the marketing of business services:</w:t>
            </w:r>
          </w:p>
          <w:p w14:paraId="6948F7A8" w14:textId="77777777" w:rsidR="00D0757A" w:rsidRDefault="00D0757A"/>
        </w:tc>
      </w:tr>
      <w:tr w:rsidR="00D0757A" w14:paraId="269597DF" w14:textId="77777777">
        <w:tc>
          <w:tcPr>
            <w:tcW w:w="5000" w:type="pct"/>
            <w:tcMar>
              <w:top w:w="0" w:type="dxa"/>
              <w:left w:w="0" w:type="dxa"/>
              <w:bottom w:w="0" w:type="dxa"/>
              <w:right w:w="0" w:type="dxa"/>
            </w:tcMar>
            <w:vAlign w:val="center"/>
          </w:tcPr>
          <w:p w14:paraId="738F1FBE" w14:textId="77777777" w:rsidR="00D0757A" w:rsidRDefault="00732B14">
            <w:pPr>
              <w:pStyle w:val="p"/>
            </w:pPr>
            <w:r>
              <w:rPr>
                <w:rFonts w:ascii="Times New Roman" w:eastAsia="Times New Roman" w:hAnsi="Times New Roman" w:cs="Times New Roman"/>
                <w:color w:val="000000"/>
                <w:sz w:val="22"/>
                <w:szCs w:val="22"/>
              </w:rPr>
              <w:t>5. An advantage of cobranding is that:</w:t>
            </w:r>
          </w:p>
          <w:p w14:paraId="54C1B6FB" w14:textId="77777777" w:rsidR="00D0757A" w:rsidRDefault="00D0757A"/>
        </w:tc>
      </w:tr>
      <w:tr w:rsidR="00D0757A" w14:paraId="0CCBBC6D" w14:textId="77777777">
        <w:tc>
          <w:tcPr>
            <w:tcW w:w="5000" w:type="pct"/>
            <w:tcMar>
              <w:top w:w="0" w:type="dxa"/>
              <w:left w:w="0" w:type="dxa"/>
              <w:bottom w:w="0" w:type="dxa"/>
              <w:right w:w="0" w:type="dxa"/>
            </w:tcMar>
            <w:vAlign w:val="center"/>
          </w:tcPr>
          <w:p w14:paraId="53F013F0" w14:textId="77777777" w:rsidR="00D0757A" w:rsidRDefault="00732B14">
            <w:pPr>
              <w:pStyle w:val="p"/>
            </w:pPr>
            <w:r>
              <w:rPr>
                <w:rFonts w:ascii="Times New Roman" w:eastAsia="Times New Roman" w:hAnsi="Times New Roman" w:cs="Times New Roman"/>
                <w:color w:val="000000"/>
                <w:sz w:val="22"/>
                <w:szCs w:val="22"/>
              </w:rPr>
              <w:t xml:space="preserve">6. Blue Legion, a well-known jeans manufacturer, is the main sponsor for a rock concert. Although the tickets to the concert are </w:t>
            </w:r>
            <w:r>
              <w:rPr>
                <w:rFonts w:ascii="Times New Roman" w:eastAsia="Times New Roman" w:hAnsi="Times New Roman" w:cs="Times New Roman"/>
                <w:color w:val="000000"/>
                <w:sz w:val="22"/>
                <w:szCs w:val="22"/>
              </w:rPr>
              <w:t>exorbitantly priced, the public feels that since the concert is being sponsored by a company like Blue Legion, it must be worth it. The scenario illustrates that Blue Legion has a good _____.</w:t>
            </w:r>
          </w:p>
          <w:p w14:paraId="3C39B46E" w14:textId="77777777" w:rsidR="00D0757A" w:rsidRDefault="00D0757A"/>
        </w:tc>
      </w:tr>
      <w:tr w:rsidR="00D0757A" w14:paraId="72B5FBB3" w14:textId="77777777">
        <w:tc>
          <w:tcPr>
            <w:tcW w:w="5000" w:type="pct"/>
            <w:tcMar>
              <w:top w:w="0" w:type="dxa"/>
              <w:left w:w="0" w:type="dxa"/>
              <w:bottom w:w="0" w:type="dxa"/>
              <w:right w:w="0" w:type="dxa"/>
            </w:tcMar>
            <w:vAlign w:val="center"/>
          </w:tcPr>
          <w:p w14:paraId="7F085A9D" w14:textId="77777777" w:rsidR="00D0757A" w:rsidRDefault="00732B14">
            <w:pPr>
              <w:pStyle w:val="p"/>
            </w:pPr>
            <w:r>
              <w:rPr>
                <w:rFonts w:ascii="Times New Roman" w:eastAsia="Times New Roman" w:hAnsi="Times New Roman" w:cs="Times New Roman"/>
                <w:color w:val="000000"/>
                <w:sz w:val="22"/>
                <w:szCs w:val="22"/>
              </w:rPr>
              <w:t>7. A home décor company manufactures a range of bedding products such as bedspreads, pillows, and mattresses. The range of bedding products represents the _____ of the company.</w:t>
            </w:r>
          </w:p>
          <w:p w14:paraId="7E894200" w14:textId="77777777" w:rsidR="00D0757A" w:rsidRDefault="00D0757A"/>
        </w:tc>
      </w:tr>
      <w:tr w:rsidR="00D0757A" w14:paraId="184F4C6F" w14:textId="77777777">
        <w:tc>
          <w:tcPr>
            <w:tcW w:w="5000" w:type="pct"/>
            <w:tcMar>
              <w:top w:w="0" w:type="dxa"/>
              <w:left w:w="0" w:type="dxa"/>
              <w:bottom w:w="0" w:type="dxa"/>
              <w:right w:w="0" w:type="dxa"/>
            </w:tcMar>
            <w:vAlign w:val="center"/>
          </w:tcPr>
          <w:p w14:paraId="4A85EC0D" w14:textId="77777777" w:rsidR="00D0757A" w:rsidRDefault="00732B14">
            <w:pPr>
              <w:pStyle w:val="p"/>
            </w:pPr>
            <w:r>
              <w:rPr>
                <w:rFonts w:ascii="Times New Roman" w:eastAsia="Times New Roman" w:hAnsi="Times New Roman" w:cs="Times New Roman"/>
                <w:color w:val="000000"/>
                <w:sz w:val="22"/>
                <w:szCs w:val="22"/>
              </w:rPr>
              <w:t>8. In the context of product adoption and diffusion, which of the following questions relates to the product characteristic of compatibility?</w:t>
            </w:r>
          </w:p>
          <w:p w14:paraId="0EBD8977" w14:textId="77777777" w:rsidR="00D0757A" w:rsidRDefault="00D0757A"/>
        </w:tc>
      </w:tr>
      <w:tr w:rsidR="00D0757A" w14:paraId="148CD4B1" w14:textId="77777777">
        <w:tc>
          <w:tcPr>
            <w:tcW w:w="5000" w:type="pct"/>
            <w:tcMar>
              <w:top w:w="0" w:type="dxa"/>
              <w:left w:w="0" w:type="dxa"/>
              <w:bottom w:w="0" w:type="dxa"/>
              <w:right w:w="0" w:type="dxa"/>
            </w:tcMar>
            <w:vAlign w:val="center"/>
          </w:tcPr>
          <w:p w14:paraId="35340CA0" w14:textId="77777777" w:rsidR="00D0757A" w:rsidRDefault="00732B14">
            <w:pPr>
              <w:pStyle w:val="p"/>
            </w:pPr>
            <w:r>
              <w:rPr>
                <w:rFonts w:ascii="Times New Roman" w:eastAsia="Times New Roman" w:hAnsi="Times New Roman" w:cs="Times New Roman"/>
                <w:color w:val="000000"/>
                <w:sz w:val="22"/>
                <w:szCs w:val="22"/>
              </w:rPr>
              <w:t xml:space="preserve">9. In </w:t>
            </w:r>
            <w:r>
              <w:rPr>
                <w:rFonts w:ascii="Times New Roman" w:eastAsia="Times New Roman" w:hAnsi="Times New Roman" w:cs="Times New Roman"/>
                <w:color w:val="000000"/>
                <w:sz w:val="22"/>
                <w:szCs w:val="22"/>
              </w:rPr>
              <w:t>the context of product adoption and diffusion, which of the following questions relates to the product characteristic of observability?</w:t>
            </w:r>
          </w:p>
          <w:p w14:paraId="28D528D9" w14:textId="77777777" w:rsidR="00D0757A" w:rsidRDefault="00D0757A"/>
        </w:tc>
      </w:tr>
      <w:tr w:rsidR="00D0757A" w14:paraId="695CEC5E" w14:textId="77777777">
        <w:tc>
          <w:tcPr>
            <w:tcW w:w="5000" w:type="pct"/>
            <w:tcMar>
              <w:top w:w="0" w:type="dxa"/>
              <w:left w:w="0" w:type="dxa"/>
              <w:bottom w:w="0" w:type="dxa"/>
              <w:right w:w="0" w:type="dxa"/>
            </w:tcMar>
            <w:vAlign w:val="center"/>
          </w:tcPr>
          <w:p w14:paraId="79C84531" w14:textId="77777777" w:rsidR="00D0757A" w:rsidRDefault="00732B14">
            <w:pPr>
              <w:pStyle w:val="p"/>
            </w:pPr>
            <w:r>
              <w:rPr>
                <w:rFonts w:ascii="Times New Roman" w:eastAsia="Times New Roman" w:hAnsi="Times New Roman" w:cs="Times New Roman"/>
                <w:color w:val="000000"/>
                <w:sz w:val="22"/>
                <w:szCs w:val="22"/>
              </w:rPr>
              <w:t>10. The goal of a knockoff is:</w:t>
            </w:r>
          </w:p>
          <w:p w14:paraId="1313602A" w14:textId="77777777" w:rsidR="00D0757A" w:rsidRDefault="00D0757A"/>
        </w:tc>
      </w:tr>
      <w:tr w:rsidR="00D0757A" w14:paraId="30357A2D" w14:textId="77777777">
        <w:tc>
          <w:tcPr>
            <w:tcW w:w="5000" w:type="pct"/>
            <w:tcMar>
              <w:top w:w="0" w:type="dxa"/>
              <w:left w:w="0" w:type="dxa"/>
              <w:bottom w:w="0" w:type="dxa"/>
              <w:right w:w="0" w:type="dxa"/>
            </w:tcMar>
            <w:vAlign w:val="center"/>
          </w:tcPr>
          <w:p w14:paraId="2CE4CC6F" w14:textId="77777777" w:rsidR="00D0757A" w:rsidRDefault="00732B14">
            <w:pPr>
              <w:pStyle w:val="p"/>
            </w:pPr>
            <w:r>
              <w:rPr>
                <w:rFonts w:ascii="Times New Roman" w:eastAsia="Times New Roman" w:hAnsi="Times New Roman" w:cs="Times New Roman"/>
                <w:color w:val="000000"/>
                <w:sz w:val="22"/>
                <w:szCs w:val="22"/>
              </w:rPr>
              <w:t>11. In the growth stage of the product life cycle, competition:</w:t>
            </w:r>
          </w:p>
          <w:p w14:paraId="60838295" w14:textId="77777777" w:rsidR="00D0757A" w:rsidRDefault="00D0757A"/>
        </w:tc>
      </w:tr>
      <w:tr w:rsidR="00D0757A" w14:paraId="734A24B7" w14:textId="77777777">
        <w:tc>
          <w:tcPr>
            <w:tcW w:w="5000" w:type="pct"/>
            <w:tcMar>
              <w:top w:w="0" w:type="dxa"/>
              <w:left w:w="0" w:type="dxa"/>
              <w:bottom w:w="0" w:type="dxa"/>
              <w:right w:w="0" w:type="dxa"/>
            </w:tcMar>
            <w:vAlign w:val="center"/>
          </w:tcPr>
          <w:p w14:paraId="0E9CE758" w14:textId="77777777" w:rsidR="00D0757A" w:rsidRDefault="00732B14">
            <w:pPr>
              <w:pStyle w:val="p"/>
            </w:pPr>
            <w:r>
              <w:rPr>
                <w:rFonts w:ascii="Times New Roman" w:eastAsia="Times New Roman" w:hAnsi="Times New Roman" w:cs="Times New Roman"/>
                <w:color w:val="000000"/>
                <w:sz w:val="22"/>
                <w:szCs w:val="22"/>
              </w:rPr>
              <w:t>12. </w:t>
            </w:r>
            <w:proofErr w:type="spellStart"/>
            <w:r>
              <w:rPr>
                <w:rFonts w:ascii="Times New Roman" w:eastAsia="Times New Roman" w:hAnsi="Times New Roman" w:cs="Times New Roman"/>
                <w:color w:val="000000"/>
                <w:sz w:val="22"/>
                <w:szCs w:val="22"/>
              </w:rPr>
              <w:t>Longevo</w:t>
            </w:r>
            <w:proofErr w:type="spellEnd"/>
            <w:r>
              <w:rPr>
                <w:rFonts w:ascii="Times New Roman" w:eastAsia="Times New Roman" w:hAnsi="Times New Roman" w:cs="Times New Roman"/>
                <w:color w:val="000000"/>
                <w:sz w:val="22"/>
                <w:szCs w:val="22"/>
              </w:rPr>
              <w:t>, a watch manufacturing company, offers watches in a wide range of designs to suit all age groups. To adequately cover its wide and diversified consumer base, the company makes use of all the traditional and new age media platforms for its promotion</w:t>
            </w:r>
            <w:r>
              <w:rPr>
                <w:rFonts w:ascii="Times New Roman" w:eastAsia="Times New Roman" w:hAnsi="Times New Roman" w:cs="Times New Roman"/>
                <w:color w:val="000000"/>
                <w:sz w:val="22"/>
                <w:szCs w:val="22"/>
              </w:rPr>
              <w:t xml:space="preserve">s. The promotional strategy used by </w:t>
            </w:r>
            <w:proofErr w:type="spellStart"/>
            <w:r>
              <w:rPr>
                <w:rFonts w:ascii="Times New Roman" w:eastAsia="Times New Roman" w:hAnsi="Times New Roman" w:cs="Times New Roman"/>
                <w:color w:val="000000"/>
                <w:sz w:val="22"/>
                <w:szCs w:val="22"/>
              </w:rPr>
              <w:t>Longevo</w:t>
            </w:r>
            <w:proofErr w:type="spellEnd"/>
            <w:r>
              <w:rPr>
                <w:rFonts w:ascii="Times New Roman" w:eastAsia="Times New Roman" w:hAnsi="Times New Roman" w:cs="Times New Roman"/>
                <w:color w:val="000000"/>
                <w:sz w:val="22"/>
                <w:szCs w:val="22"/>
              </w:rPr>
              <w:t xml:space="preserve"> is _____.</w:t>
            </w:r>
          </w:p>
          <w:p w14:paraId="3463CA06" w14:textId="77777777" w:rsidR="00D0757A" w:rsidRDefault="00D0757A"/>
        </w:tc>
      </w:tr>
      <w:tr w:rsidR="00D0757A" w14:paraId="3E13D4D0" w14:textId="77777777">
        <w:tc>
          <w:tcPr>
            <w:tcW w:w="5000" w:type="pct"/>
            <w:tcMar>
              <w:top w:w="0" w:type="dxa"/>
              <w:left w:w="0" w:type="dxa"/>
              <w:bottom w:w="0" w:type="dxa"/>
              <w:right w:w="0" w:type="dxa"/>
            </w:tcMar>
            <w:vAlign w:val="center"/>
          </w:tcPr>
          <w:p w14:paraId="7E6F66D4" w14:textId="77777777" w:rsidR="00D0757A" w:rsidRDefault="00732B14">
            <w:pPr>
              <w:pStyle w:val="p"/>
            </w:pPr>
            <w:r>
              <w:rPr>
                <w:rFonts w:ascii="Times New Roman" w:eastAsia="Times New Roman" w:hAnsi="Times New Roman" w:cs="Times New Roman"/>
                <w:color w:val="000000"/>
                <w:sz w:val="22"/>
                <w:szCs w:val="22"/>
              </w:rPr>
              <w:t>13. </w:t>
            </w:r>
            <w:proofErr w:type="spellStart"/>
            <w:r>
              <w:rPr>
                <w:rFonts w:ascii="Times New Roman" w:eastAsia="Times New Roman" w:hAnsi="Times New Roman" w:cs="Times New Roman"/>
                <w:color w:val="000000"/>
                <w:sz w:val="22"/>
                <w:szCs w:val="22"/>
              </w:rPr>
              <w:t>Vermontz</w:t>
            </w:r>
            <w:proofErr w:type="spellEnd"/>
            <w:r>
              <w:rPr>
                <w:rFonts w:ascii="Times New Roman" w:eastAsia="Times New Roman" w:hAnsi="Times New Roman" w:cs="Times New Roman"/>
                <w:color w:val="000000"/>
                <w:sz w:val="22"/>
                <w:szCs w:val="22"/>
              </w:rPr>
              <w:t xml:space="preserve">, an automobile company, pays a film studio to include its </w:t>
            </w:r>
            <w:r>
              <w:rPr>
                <w:rFonts w:ascii="Times New Roman" w:eastAsia="Times New Roman" w:hAnsi="Times New Roman" w:cs="Times New Roman"/>
                <w:color w:val="000000"/>
                <w:sz w:val="22"/>
                <w:szCs w:val="22"/>
              </w:rPr>
              <w:t>new sports car in two scenes of its latest action movie. The company feels this would help them gain maximum visibility, and the fans would also develop a positive association with the brand when they will see their favorite actor using the car in the film</w:t>
            </w:r>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Vermontz's</w:t>
            </w:r>
            <w:proofErr w:type="spellEnd"/>
            <w:r>
              <w:rPr>
                <w:rFonts w:ascii="Times New Roman" w:eastAsia="Times New Roman" w:hAnsi="Times New Roman" w:cs="Times New Roman"/>
                <w:color w:val="000000"/>
                <w:sz w:val="22"/>
                <w:szCs w:val="22"/>
              </w:rPr>
              <w:t xml:space="preserve"> business deal with the film studio exemplifies _____.</w:t>
            </w:r>
          </w:p>
          <w:p w14:paraId="12C8D804" w14:textId="77777777" w:rsidR="00D0757A" w:rsidRDefault="00D0757A"/>
        </w:tc>
      </w:tr>
      <w:tr w:rsidR="00D0757A" w14:paraId="31C66F3C" w14:textId="77777777">
        <w:tc>
          <w:tcPr>
            <w:tcW w:w="5000" w:type="pct"/>
            <w:tcMar>
              <w:top w:w="0" w:type="dxa"/>
              <w:left w:w="0" w:type="dxa"/>
              <w:bottom w:w="0" w:type="dxa"/>
              <w:right w:w="0" w:type="dxa"/>
            </w:tcMar>
            <w:vAlign w:val="center"/>
          </w:tcPr>
          <w:p w14:paraId="19D814B8" w14:textId="77777777" w:rsidR="00D0757A" w:rsidRDefault="00732B14">
            <w:pPr>
              <w:pStyle w:val="p"/>
            </w:pPr>
            <w:r>
              <w:rPr>
                <w:rFonts w:ascii="Times New Roman" w:eastAsia="Times New Roman" w:hAnsi="Times New Roman" w:cs="Times New Roman"/>
                <w:color w:val="000000"/>
                <w:sz w:val="22"/>
                <w:szCs w:val="22"/>
              </w:rPr>
              <w:t xml:space="preserve">14. In the context of major advertising media categories, which of the following is an </w:t>
            </w:r>
            <w:r>
              <w:rPr>
                <w:rFonts w:ascii="Times New Roman" w:eastAsia="Times New Roman" w:hAnsi="Times New Roman" w:cs="Times New Roman"/>
                <w:color w:val="000000"/>
                <w:sz w:val="22"/>
                <w:szCs w:val="22"/>
              </w:rPr>
              <w:t>advantage of radio?</w:t>
            </w:r>
          </w:p>
          <w:p w14:paraId="119F9291" w14:textId="77777777" w:rsidR="00D0757A" w:rsidRDefault="00D0757A"/>
        </w:tc>
      </w:tr>
      <w:tr w:rsidR="00D0757A" w14:paraId="3097C43C" w14:textId="77777777">
        <w:tc>
          <w:tcPr>
            <w:tcW w:w="5000" w:type="pct"/>
            <w:tcMar>
              <w:top w:w="0" w:type="dxa"/>
              <w:left w:w="0" w:type="dxa"/>
              <w:bottom w:w="0" w:type="dxa"/>
              <w:right w:w="0" w:type="dxa"/>
            </w:tcMar>
            <w:vAlign w:val="center"/>
          </w:tcPr>
          <w:p w14:paraId="24A6313B" w14:textId="77777777" w:rsidR="00D0757A" w:rsidRDefault="00732B14">
            <w:pPr>
              <w:pStyle w:val="p"/>
            </w:pPr>
            <w:r>
              <w:rPr>
                <w:rFonts w:ascii="Times New Roman" w:eastAsia="Times New Roman" w:hAnsi="Times New Roman" w:cs="Times New Roman"/>
                <w:color w:val="000000"/>
                <w:sz w:val="22"/>
                <w:szCs w:val="22"/>
              </w:rPr>
              <w:t xml:space="preserve">15. A deep association between a marketer and a partner (usually a cultural or sporting event), which involves promotion of the </w:t>
            </w:r>
            <w:r>
              <w:rPr>
                <w:rFonts w:ascii="Times New Roman" w:eastAsia="Times New Roman" w:hAnsi="Times New Roman" w:cs="Times New Roman"/>
                <w:color w:val="000000"/>
                <w:sz w:val="22"/>
                <w:szCs w:val="22"/>
              </w:rPr>
              <w:t>marketer in exchange for either payment or the provision of goods, is known as _____.</w:t>
            </w:r>
          </w:p>
          <w:p w14:paraId="16BB7582" w14:textId="77777777" w:rsidR="00D0757A" w:rsidRDefault="00D0757A"/>
        </w:tc>
      </w:tr>
    </w:tbl>
    <w:p w14:paraId="12FCCF40" w14:textId="77777777" w:rsidR="00D0757A" w:rsidRDefault="00D0757A" w:rsidP="001D32B5">
      <w:bookmarkStart w:id="0" w:name="_GoBack"/>
      <w:bookmarkEnd w:id="0"/>
    </w:p>
    <w:sectPr w:rsidR="00D0757A">
      <w:headerReference w:type="default" r:id="rId7"/>
      <w:pgSz w:w="12240" w:h="15840"/>
      <w:pgMar w:top="720" w:right="720" w:bottom="720"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4B8D98" w14:textId="77777777" w:rsidR="00000000" w:rsidRDefault="00732B14">
      <w:r>
        <w:separator/>
      </w:r>
    </w:p>
  </w:endnote>
  <w:endnote w:type="continuationSeparator" w:id="0">
    <w:p w14:paraId="4A148ED1" w14:textId="77777777" w:rsidR="00000000" w:rsidRDefault="00732B14">
      <w:r>
        <w:continuationSeparator/>
      </w:r>
    </w:p>
  </w:endnote>
  <w:endnote w:type="continuationNotice" w:id="1">
    <w:p w14:paraId="333CD6E2" w14:textId="77777777" w:rsidR="001D32B5" w:rsidRDefault="001D32B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95B610" w14:textId="77777777" w:rsidR="00000000" w:rsidRDefault="00732B14">
      <w:r>
        <w:separator/>
      </w:r>
    </w:p>
  </w:footnote>
  <w:footnote w:type="continuationSeparator" w:id="0">
    <w:p w14:paraId="4CED5F11" w14:textId="77777777" w:rsidR="00000000" w:rsidRDefault="00732B14">
      <w:r>
        <w:continuationSeparator/>
      </w:r>
    </w:p>
  </w:footnote>
  <w:footnote w:type="continuationNotice" w:id="1">
    <w:p w14:paraId="7278E133" w14:textId="77777777" w:rsidR="001D32B5" w:rsidRDefault="001D32B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FCD095" w14:textId="6EB2193B" w:rsidR="00D0757A" w:rsidRDefault="00732B14">
    <w:r>
      <w:rPr>
        <w:rFonts w:ascii="Times New Roman" w:eastAsia="Times New Roman" w:hAnsi="Times New Roman" w:cs="Times New Roman"/>
        <w:b/>
        <w:bCs/>
        <w:color w:val="000000"/>
        <w:sz w:val="22"/>
        <w:szCs w:val="22"/>
        <w:u w:val="single"/>
      </w:rPr>
      <w:t>Ch12 Review Questions</w:t>
    </w:r>
  </w:p>
  <w:p w14:paraId="12FCD096" w14:textId="77777777" w:rsidR="00D0757A" w:rsidRDefault="00D0757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5"/>
  <w:displayBackgroundShape/>
  <w:proofState w:spelling="clean" w:grammar="clean"/>
  <w:defaultTabStop w:val="720"/>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2"/>
    <w:compatSetting w:name="useWord2013TrackBottomHyphenation" w:uri="http://schemas.microsoft.com/office/word" w:val="1"/>
  </w:compat>
  <w:rsids>
    <w:rsidRoot w:val="00A440A9"/>
    <w:rsid w:val="001D32B5"/>
    <w:rsid w:val="00732B14"/>
    <w:rsid w:val="00784A76"/>
    <w:rsid w:val="00A440A9"/>
    <w:rsid w:val="00D0757A"/>
    <w:rsid w:val="00E05C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FCCF2A"/>
  <w15:docId w15:val="{0D63BFD4-C334-4E9B-A756-67ABDBC646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05BCE"/>
    <w:rPr>
      <w:rFonts w:ascii="Arial" w:eastAsia="Arial" w:hAnsi="Arial" w:cs="Arial"/>
      <w:sz w:val="16"/>
      <w:szCs w:val="24"/>
      <w:bdr w:val="nil"/>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kern w:val="32"/>
      <w:sz w:val="48"/>
      <w:szCs w:val="48"/>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Cs/>
      <w:sz w:val="36"/>
      <w:szCs w:val="36"/>
    </w:rPr>
  </w:style>
  <w:style w:type="paragraph" w:styleId="Heading3">
    <w:name w:val="heading 3"/>
    <w:basedOn w:val="Normal"/>
    <w:next w:val="Normal"/>
    <w:qFormat/>
    <w:rsid w:val="00EF7B96"/>
    <w:pPr>
      <w:keepNext/>
      <w:spacing w:before="240" w:after="60"/>
      <w:outlineLvl w:val="2"/>
    </w:pPr>
    <w:rPr>
      <w:rFonts w:ascii="Times New Roman" w:eastAsia="Times New Roman" w:hAnsi="Times New Roman" w:cs="Times New Roman"/>
      <w:b/>
      <w:bCs/>
      <w:sz w:val="28"/>
      <w:szCs w:val="28"/>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sz w:val="24"/>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Cs/>
      <w:sz w:val="20"/>
      <w:szCs w:val="20"/>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uestionContentItem">
    <w:name w:val="questionContentItem"/>
    <w:basedOn w:val="Normal"/>
  </w:style>
  <w:style w:type="paragraph" w:customStyle="1" w:styleId="p">
    <w:name w:val="p"/>
    <w:basedOn w:val="Normal"/>
  </w:style>
  <w:style w:type="table" w:customStyle="1" w:styleId="questionMetaData">
    <w:name w:val="questionMetaData"/>
    <w:tblPr>
      <w:tblCellMar>
        <w:top w:w="0" w:type="dxa"/>
        <w:left w:w="0" w:type="dxa"/>
        <w:bottom w:w="0" w:type="dxa"/>
        <w:right w:w="0" w:type="dxa"/>
      </w:tblCellMar>
    </w:tblPr>
  </w:style>
  <w:style w:type="paragraph" w:styleId="Header">
    <w:name w:val="header"/>
    <w:basedOn w:val="Normal"/>
    <w:link w:val="HeaderChar"/>
    <w:uiPriority w:val="99"/>
    <w:unhideWhenUsed/>
    <w:rsid w:val="00E05C35"/>
    <w:pPr>
      <w:tabs>
        <w:tab w:val="center" w:pos="4680"/>
        <w:tab w:val="right" w:pos="9360"/>
      </w:tabs>
    </w:pPr>
  </w:style>
  <w:style w:type="character" w:customStyle="1" w:styleId="HeaderChar">
    <w:name w:val="Header Char"/>
    <w:basedOn w:val="DefaultParagraphFont"/>
    <w:link w:val="Header"/>
    <w:uiPriority w:val="99"/>
    <w:rsid w:val="00E05C35"/>
    <w:rPr>
      <w:rFonts w:ascii="Arial" w:eastAsia="Arial" w:hAnsi="Arial" w:cs="Arial"/>
      <w:sz w:val="16"/>
      <w:szCs w:val="24"/>
      <w:bdr w:val="nil"/>
    </w:rPr>
  </w:style>
  <w:style w:type="paragraph" w:styleId="Footer">
    <w:name w:val="footer"/>
    <w:basedOn w:val="Normal"/>
    <w:link w:val="FooterChar"/>
    <w:uiPriority w:val="99"/>
    <w:unhideWhenUsed/>
    <w:rsid w:val="00E05C35"/>
    <w:pPr>
      <w:tabs>
        <w:tab w:val="center" w:pos="4680"/>
        <w:tab w:val="right" w:pos="9360"/>
      </w:tabs>
    </w:pPr>
  </w:style>
  <w:style w:type="character" w:customStyle="1" w:styleId="FooterChar">
    <w:name w:val="Footer Char"/>
    <w:basedOn w:val="DefaultParagraphFont"/>
    <w:link w:val="Footer"/>
    <w:uiPriority w:val="99"/>
    <w:rsid w:val="00E05C35"/>
    <w:rPr>
      <w:rFonts w:ascii="Arial" w:eastAsia="Arial" w:hAnsi="Arial" w:cs="Arial"/>
      <w:sz w:val="16"/>
      <w:szCs w:val="24"/>
      <w:bdr w:val="n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373</Words>
  <Characters>2128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Ch12 Review Questions</vt:lpstr>
    </vt:vector>
  </TitlesOfParts>
  <Company>Cengage Learning Testing, Powered by Cognero</Company>
  <LinksUpToDate>false</LinksUpToDate>
  <CharactersWithSpaces>2497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Ch12 Review Questions</dc:title>
  <dc:creator>Qi Wang</dc:creator>
  <cp:lastModifiedBy>Qi Wang</cp:lastModifiedBy>
  <cp:revision>2</cp:revision>
  <dcterms:created xsi:type="dcterms:W3CDTF">2019-02-16T16:32:00Z</dcterms:created>
  <dcterms:modified xsi:type="dcterms:W3CDTF">2019-02-16T16:32:00Z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structor ID">
    <vt:lpwstr>GE2TONZZGE4TCMJV</vt:lpwstr>
  </property>
</Properties>
</file>