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Vertiaplume, a drug manufacturing company, exports its products to more than 15 countries around the world. Regardless of reduced sales in one of these countries, Vertiaplume is able to maintain its overall profits. In the given scenario, which of the following is a reason behind Vertiaplume's ability to maintain its overall profits?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to factors of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Ease of storage of goods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Inflow of innovation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 risk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Unless they face major trade barriers, the industries in any country tend to produce products for which they have a _____, which means that they tend to turn out those goods that have the lowest opportunity cost compared to other countries.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comparative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balance of payments surplus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positive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trade surplus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Luchen Modo, a software development firm in Asia, launched a new software for smartphones that allowed users to remotely control certain functions and features of their vehicles, such as ignition, windshields, and headlights. The success of this technology prompted other companies across the world to produce similar software. In this scenario, which of the following is most likely to have influenced other companies to produce similar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Establishment of new industries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Inflow of innovation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to factors of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 risk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global trade, which of the following statements is true of balance of payments?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includes foreign borrowing and lending.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surplus indicates more money flowing out than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excludes overseas investments.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deficit indicates more money flowing in than out.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Wichasha, an African country, exports barley and cotton worth $100 million to Illema, a European country, and it imports sugarcane worth $25 million from Illema. As such, the total value of Wichasha's exports is higher than the total value of its imports. This difference between the value of Wichasha's exports and imports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comparative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balance of payments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absolute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balance of trade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Consider an exchange rate situation in which 1 Indian rupee equals 0.40 Japanese yen. Given this information, 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cost of operating an Indian firm in Japan is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Indian tourist in Japan can buy more goods and services in 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Japanese tourist can buy more goods and services in India.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cost of operating a Japanese firm in India is lower.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CuberTech, an American electronics company, set up its production facilities in Chuaga, an Asian country, because the workers in Chuaga work for about one-third the pay of American workers. This substantially lowered CuberTech's cost of production. This scenario is an example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investment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joint venture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franchising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formed when two or more companies share resources, risks, and profits without actually merging, to pursue specific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joint venture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liability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sole proprietorship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liability company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strategies for reaching global markets, which of the following is a key risk of foreign outsourcing?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 in the costs of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Exclusion of the brand name of the outsourcer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Involvement of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Inability to lower labor wages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foreign direct investment, a _____ is a voluntary agreement under which two or more people act as co-owners of a business for profit.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franchisee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sole proprietorship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golden parachute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Uniesia, an Asian company, wants to set up a production facility in Maurinia, an African country, because of the low labor costs in the country. However, Uniesia is unable to do so because of the situation of constant civil unrest in Maurinia. In the given scenario, Uniesia is most likely facing the barrier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economic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sociocultural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ethical differences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international trade, which of the following companies is facing the barrier of legal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Asian company that can only import a limited amount of crude oil from an Arab country because of international trade restrictions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European company that sells products that cater to specific demographics of foreign countries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North American company that takes contracts from overseas manufacturers to produce custom products at a low 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African company that introduces a new clothing line in an Asian country that reflects the latter's cultural and traditional values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barriers to international trade, _____ include differences among countries in language, attitudes, and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economic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sociocultural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legal differences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national policies designed to restrict international trade, usually with the goal of protecting domestic businesses.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Developmentalism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Mercantilism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Neorealism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To achieve its basic mission of promoting international economic cooperation and stable growth, the International Monetary Fund (IMF):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jobs from foreign companies.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lends money to member 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monitors provisions of the GATT agreements.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protects domestic jobs in key industries.</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Ch3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Ch3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