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Simulation Methodology</w:t>
      </w:r>
    </w:p>
    <w:p>
      <w:pPr>
        <w:pStyle w:val="Heading2"/>
      </w:pPr>
      <w:r>
        <w:t>2.1. Settlement Price Backout (Contract Price Implied)</w:t>
      </w:r>
    </w:p>
    <w:p>
      <w:pPr>
        <w:pStyle w:val="Heading3"/>
      </w:pPr>
      <w:r>
        <w:t>Methodology:</w:t>
      </w:r>
    </w:p>
    <w:p>
      <w:r>
        <w:t>This approach reverses the pricing logic of swap or spread contracts to recover forward prices. Given the observed contract settlement price and its corresponding support price, and using the known pricing formula for that product type, we solve for the implied forward price.</w:t>
      </w:r>
    </w:p>
    <w:p>
      <w:pPr>
        <w:pStyle w:val="Heading3"/>
      </w:pPr>
      <w:r>
        <w:t>Data Requirements:</w:t>
      </w:r>
    </w:p>
    <w:p>
      <w:pPr>
        <w:pStyle w:val="ListBullet"/>
      </w:pPr>
      <w:r>
        <w:t>• Historical contract settlement price</w:t>
      </w:r>
    </w:p>
    <w:p>
      <w:pPr>
        <w:pStyle w:val="ListBullet"/>
      </w:pPr>
      <w:r>
        <w:t>• Support price used in the pricing formula</w:t>
      </w:r>
    </w:p>
    <w:p>
      <w:pPr>
        <w:pStyle w:val="ListBullet"/>
      </w:pPr>
      <w:r>
        <w:t>• Validated pricing formula template</w:t>
      </w:r>
    </w:p>
    <w:p>
      <w:pPr>
        <w:pStyle w:val="Heading3"/>
      </w:pPr>
      <w:r>
        <w:t>Rationale:</w:t>
      </w:r>
    </w:p>
    <w:p>
      <w:r>
        <w:t>This is the most accurate method, as it directly uses observed market inputs. It is applied whenever the contract price of the default product is available for the historical period.</w:t>
      </w:r>
    </w:p>
    <w:p>
      <w:pPr>
        <w:pStyle w:val="Heading2"/>
      </w:pPr>
      <w:r>
        <w:t>2.2. Moving Average Borrowing</w:t>
      </w:r>
    </w:p>
    <w:p>
      <w:pPr>
        <w:pStyle w:val="Heading3"/>
      </w:pPr>
      <w:r>
        <w:t>Methodology:</w:t>
      </w:r>
    </w:p>
    <w:p>
      <w:r>
        <w:t>When the target product lacks a contract price but has a closely related proxy product, we estimate the target's contract price using a moving average difference between the target and proxy's support prices. This difference is added to the proxy’s contract price to generate a simulated contract price, which is then used in the Settlement Price Backout method to derive forward prices.</w:t>
      </w:r>
    </w:p>
    <w:p>
      <w:pPr>
        <w:pStyle w:val="Heading3"/>
      </w:pPr>
      <w:r>
        <w:t>Data Requirements:</w:t>
      </w:r>
    </w:p>
    <w:p>
      <w:pPr>
        <w:pStyle w:val="ListBullet"/>
      </w:pPr>
      <w:r>
        <w:t>• Support price time series for both target and proxy</w:t>
      </w:r>
    </w:p>
    <w:p>
      <w:pPr>
        <w:pStyle w:val="ListBullet"/>
      </w:pPr>
      <w:r>
        <w:t>• Proxy product’s contract price</w:t>
      </w:r>
    </w:p>
    <w:p>
      <w:pPr>
        <w:pStyle w:val="ListBullet"/>
      </w:pPr>
      <w:r>
        <w:t>• Stable historical pricing relationship between the two products</w:t>
      </w:r>
    </w:p>
    <w:p>
      <w:pPr>
        <w:pStyle w:val="Heading3"/>
      </w:pPr>
      <w:r>
        <w:t>Rationale:</w:t>
      </w:r>
    </w:p>
    <w:p>
      <w:r>
        <w:t>This method reflects internal settlement practices and enables simulation in periods without direct contract pricing. It is suitable when a reliable proxy exists and pricing behavior is consistent.</w:t>
      </w:r>
    </w:p>
    <w:p>
      <w:pPr>
        <w:pStyle w:val="Heading2"/>
      </w:pPr>
      <w:r>
        <w:t>2.3. Cost-of-Carry (CoC) Borrowing</w:t>
      </w:r>
    </w:p>
    <w:p>
      <w:pPr>
        <w:pStyle w:val="Heading3"/>
      </w:pPr>
      <w:r>
        <w:t>Methodology:</w:t>
      </w:r>
    </w:p>
    <w:p>
      <w:r>
        <w:t>This method infers the target forward curve by transferring the cost-of-carry term structure from a highly correlated proxy product. The CoC structure is derived from the proxy’s spot price and forward curve, and then applied to the target’s spot price to compute its forward curve.</w:t>
      </w:r>
    </w:p>
    <w:p>
      <w:pPr>
        <w:pStyle w:val="Heading3"/>
      </w:pPr>
      <w:r>
        <w:t>Data Requirements:</w:t>
      </w:r>
    </w:p>
    <w:p>
      <w:pPr>
        <w:pStyle w:val="ListBullet"/>
      </w:pPr>
      <w:r>
        <w:t>• Target product’s spot (cash) price</w:t>
      </w:r>
    </w:p>
    <w:p>
      <w:pPr>
        <w:pStyle w:val="ListBullet"/>
      </w:pPr>
      <w:r>
        <w:t>• Proxy product’s spot price and forward curve</w:t>
      </w:r>
    </w:p>
    <w:p>
      <w:pPr>
        <w:pStyle w:val="ListBullet"/>
      </w:pPr>
      <w:r>
        <w:t>• Rolling correlation analysis confirming strong historical linkage</w:t>
      </w:r>
    </w:p>
    <w:p>
      <w:pPr>
        <w:pStyle w:val="Heading3"/>
      </w:pPr>
      <w:r>
        <w:t>Rationale:</w:t>
      </w:r>
    </w:p>
    <w:p>
      <w:r>
        <w:t>Widely used in curve modeling, this method ensures consistency in curve shape across similar products. It is especially helpful when the target lacks contract or forward prices but has sufficient spot data.</w:t>
      </w:r>
    </w:p>
    <w:p>
      <w:pPr>
        <w:pStyle w:val="Heading2"/>
      </w:pPr>
      <w:r>
        <w:t>2.4. OLS Leverage</w:t>
      </w:r>
    </w:p>
    <w:p>
      <w:pPr>
        <w:pStyle w:val="Heading3"/>
      </w:pPr>
      <w:r>
        <w:t>Methodology:</w:t>
      </w:r>
    </w:p>
    <w:p>
      <w:r>
        <w:t>OLS Leverage simulates the return series of a target forward curve based on its correlation with a proxy product. After applying volatility scaling to convert both target and proxy return series into normalized innovations, we compute their pairwise correlation. Using Cholesky decomposition, we generate a synthetic innovation series for the target that preserves both intra-correlation and correlation with the proxy. The simulated innovation is then rescaled using a volatility model (e.g., GARCH) to recover the target’s return series and price path.</w:t>
        <w:br/>
        <w:br/>
        <w:t>For detailed methodology, please refer to the internal technical document: [link to be inserted].</w:t>
      </w:r>
    </w:p>
    <w:p>
      <w:pPr>
        <w:pStyle w:val="Heading3"/>
      </w:pPr>
      <w:r>
        <w:t>Data Requirements:</w:t>
      </w:r>
    </w:p>
    <w:p>
      <w:pPr>
        <w:pStyle w:val="ListBullet"/>
      </w:pPr>
      <w:r>
        <w:t>• Forward curve return series for both target and proxy</w:t>
      </w:r>
    </w:p>
    <w:p>
      <w:pPr>
        <w:pStyle w:val="ListBullet"/>
      </w:pPr>
      <w:r>
        <w:t>• Proxy with sufficient historical length</w:t>
      </w:r>
    </w:p>
    <w:p>
      <w:pPr>
        <w:pStyle w:val="ListBullet"/>
      </w:pPr>
      <w:r>
        <w:t>• High correlation between innovations</w:t>
      </w:r>
    </w:p>
    <w:p>
      <w:pPr>
        <w:pStyle w:val="ListBullet"/>
      </w:pPr>
      <w:r>
        <w:t>• Proxy-based volatility model</w:t>
      </w:r>
    </w:p>
    <w:p>
      <w:pPr>
        <w:pStyle w:val="ListBullet"/>
      </w:pPr>
      <w:r>
        <w:t>• Anchor point to recover price from return series</w:t>
      </w:r>
    </w:p>
    <w:p>
      <w:pPr>
        <w:pStyle w:val="Heading3"/>
      </w:pPr>
      <w:r>
        <w:t>Rationale:</w:t>
      </w:r>
    </w:p>
    <w:p>
      <w:r>
        <w:t>This statistical method is used when contract and spot data are unavailable. It is particularly suited to products with limited history but strong correlation to a proxy (e.g., XTT vs WTT). It provides a controlled and flexible way to generate realistic return dynamics while preserving historical correlation properties.</w:t>
      </w:r>
    </w:p>
    <w:p>
      <w:pPr>
        <w:pStyle w:val="Heading2"/>
      </w:pPr>
      <w:r>
        <w:t>2.5. Method Selection Summary</w:t>
      </w:r>
    </w:p>
    <w:tbl>
      <w:tblPr>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Method</w:t>
            </w:r>
          </w:p>
        </w:tc>
        <w:tc>
          <w:tcPr>
            <w:tcW w:type="dxa" w:w="2160"/>
          </w:tcPr>
          <w:p>
            <w:r>
              <w:t>Key Data Needed</w:t>
            </w:r>
          </w:p>
        </w:tc>
        <w:tc>
          <w:tcPr>
            <w:tcW w:type="dxa" w:w="2160"/>
          </w:tcPr>
          <w:p>
            <w:r>
              <w:t>When to Use</w:t>
            </w:r>
          </w:p>
        </w:tc>
      </w:tr>
      <w:tr>
        <w:tc>
          <w:tcPr>
            <w:tcW w:type="dxa" w:w="2160"/>
          </w:tcPr>
          <w:p>
            <w:r>
              <w:t>1</w:t>
            </w:r>
          </w:p>
        </w:tc>
        <w:tc>
          <w:tcPr>
            <w:tcW w:type="dxa" w:w="2160"/>
          </w:tcPr>
          <w:p>
            <w:r>
              <w:t>Settlement Price Backout</w:t>
            </w:r>
          </w:p>
        </w:tc>
        <w:tc>
          <w:tcPr>
            <w:tcW w:type="dxa" w:w="2160"/>
          </w:tcPr>
          <w:p>
            <w:r>
              <w:t>Contract price + support price</w:t>
            </w:r>
          </w:p>
        </w:tc>
        <w:tc>
          <w:tcPr>
            <w:tcW w:type="dxa" w:w="2160"/>
          </w:tcPr>
          <w:p>
            <w:r>
              <w:t>Preferred when contract pricing is available</w:t>
            </w:r>
          </w:p>
        </w:tc>
      </w:tr>
      <w:tr>
        <w:tc>
          <w:tcPr>
            <w:tcW w:type="dxa" w:w="2160"/>
          </w:tcPr>
          <w:p>
            <w:r>
              <w:t>2</w:t>
            </w:r>
          </w:p>
        </w:tc>
        <w:tc>
          <w:tcPr>
            <w:tcW w:type="dxa" w:w="2160"/>
          </w:tcPr>
          <w:p>
            <w:r>
              <w:t>Moving Average Borrowing</w:t>
            </w:r>
          </w:p>
        </w:tc>
        <w:tc>
          <w:tcPr>
            <w:tcW w:type="dxa" w:w="2160"/>
          </w:tcPr>
          <w:p>
            <w:r>
              <w:t>Proxy contract + support prices</w:t>
            </w:r>
          </w:p>
        </w:tc>
        <w:tc>
          <w:tcPr>
            <w:tcW w:type="dxa" w:w="2160"/>
          </w:tcPr>
          <w:p>
            <w:r>
              <w:t>When contract price is missing but proxy linkage is strong</w:t>
            </w:r>
          </w:p>
        </w:tc>
      </w:tr>
      <w:tr>
        <w:tc>
          <w:tcPr>
            <w:tcW w:type="dxa" w:w="2160"/>
          </w:tcPr>
          <w:p>
            <w:r>
              <w:t>3</w:t>
            </w:r>
          </w:p>
        </w:tc>
        <w:tc>
          <w:tcPr>
            <w:tcW w:type="dxa" w:w="2160"/>
          </w:tcPr>
          <w:p>
            <w:r>
              <w:t>Cost-of-Carry Borrowing</w:t>
            </w:r>
          </w:p>
        </w:tc>
        <w:tc>
          <w:tcPr>
            <w:tcW w:type="dxa" w:w="2160"/>
          </w:tcPr>
          <w:p>
            <w:r>
              <w:t>Spot prices + proxy forward curve</w:t>
            </w:r>
          </w:p>
        </w:tc>
        <w:tc>
          <w:tcPr>
            <w:tcW w:type="dxa" w:w="2160"/>
          </w:tcPr>
          <w:p>
            <w:r>
              <w:t>When no contract data but spot data is available</w:t>
            </w:r>
          </w:p>
        </w:tc>
      </w:tr>
      <w:tr>
        <w:tc>
          <w:tcPr>
            <w:tcW w:type="dxa" w:w="2160"/>
          </w:tcPr>
          <w:p>
            <w:r>
              <w:t>4</w:t>
            </w:r>
          </w:p>
        </w:tc>
        <w:tc>
          <w:tcPr>
            <w:tcW w:type="dxa" w:w="2160"/>
          </w:tcPr>
          <w:p>
            <w:r>
              <w:t>OLS Leverage</w:t>
            </w:r>
          </w:p>
        </w:tc>
        <w:tc>
          <w:tcPr>
            <w:tcW w:type="dxa" w:w="2160"/>
          </w:tcPr>
          <w:p>
            <w:r>
              <w:t>Proxy return + correlation + volatility model</w:t>
            </w:r>
          </w:p>
        </w:tc>
        <w:tc>
          <w:tcPr>
            <w:tcW w:type="dxa" w:w="2160"/>
          </w:tcPr>
          <w:p>
            <w:r>
              <w:t>When other data is unavailable; used as statistical fallback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