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62050">
      <w:pPr>
        <w:spacing w:after="0"/>
        <w:rPr>
          <w:rFonts w:hint="eastAsia"/>
        </w:rPr>
      </w:pPr>
    </w:p>
    <w:p w14:paraId="7B025003">
      <w:pPr>
        <w:spacing w:after="0"/>
        <w:rPr>
          <w:rFonts w:hint="eastAsia"/>
        </w:rPr>
      </w:pPr>
    </w:p>
    <w:p w14:paraId="22C470B6">
      <w:pPr>
        <w:spacing w:after="0"/>
        <w:rPr>
          <w:rFonts w:hint="eastAsia"/>
        </w:rPr>
      </w:pPr>
    </w:p>
    <w:p w14:paraId="6524C610">
      <w:pPr>
        <w:spacing w:after="0"/>
        <w:rPr>
          <w:rFonts w:hint="eastAsia"/>
        </w:rPr>
      </w:pPr>
    </w:p>
    <w:p w14:paraId="4ECF4CBF">
      <w:pPr>
        <w:spacing w:after="0"/>
        <w:rPr>
          <w:rFonts w:hint="eastAsia"/>
        </w:rPr>
      </w:pPr>
    </w:p>
    <w:p w14:paraId="01C01BAC">
      <w:pPr>
        <w:spacing w:after="0"/>
        <w:rPr>
          <w:rFonts w:hint="eastAsia"/>
        </w:rPr>
      </w:pPr>
    </w:p>
    <w:p w14:paraId="41F2589F">
      <w:pPr>
        <w:spacing w:after="160"/>
        <w:jc w:val="center"/>
        <w:rPr>
          <w:b/>
          <w:sz w:val="44"/>
          <w:lang w:val="zh-CN" w:eastAsia="zh-CN"/>
        </w:rPr>
      </w:pPr>
      <w:r>
        <w:rPr>
          <w:b/>
          <w:sz w:val="44"/>
          <w:lang w:val="zh-CN" w:eastAsia="zh-CN"/>
        </w:rPr>
        <w:t>中国海诚</w:t>
      </w:r>
      <w:r>
        <w:rPr>
          <w:rFonts w:hint="eastAsia"/>
          <w:b/>
          <w:sz w:val="44"/>
          <w:lang w:val="en-US" w:eastAsia="zh-CN"/>
        </w:rPr>
        <w:t>境外</w:t>
      </w:r>
      <w:r>
        <w:rPr>
          <w:b/>
          <w:sz w:val="44"/>
          <w:lang w:val="zh-CN" w:eastAsia="zh-CN"/>
        </w:rPr>
        <w:t>财务管理操作指南</w:t>
      </w:r>
    </w:p>
    <w:p w14:paraId="1EFE4481">
      <w:pPr>
        <w:spacing w:after="160"/>
        <w:jc w:val="center"/>
        <w:rPr>
          <w:rFonts w:hint="eastAsia"/>
          <w:b/>
          <w:sz w:val="44"/>
          <w:lang w:val="en-US" w:eastAsia="zh-CN"/>
        </w:rPr>
      </w:pPr>
      <w:r>
        <w:rPr>
          <w:rFonts w:hint="eastAsia"/>
          <w:b/>
          <w:sz w:val="44"/>
          <w:lang w:val="en-US" w:eastAsia="zh-CN"/>
        </w:rPr>
        <w:t>之</w:t>
      </w:r>
    </w:p>
    <w:p w14:paraId="33968C4D">
      <w:pPr>
        <w:spacing w:after="160"/>
        <w:jc w:val="center"/>
        <w:rPr>
          <w:rFonts w:hint="default"/>
          <w:b/>
          <w:sz w:val="44"/>
          <w:lang w:val="en-US" w:eastAsia="zh-CN"/>
        </w:rPr>
      </w:pPr>
      <w:r>
        <w:rPr>
          <w:rFonts w:hint="eastAsia"/>
          <w:b/>
          <w:sz w:val="44"/>
          <w:lang w:val="en-US" w:eastAsia="zh-CN"/>
        </w:rPr>
        <w:t>摩洛哥</w:t>
      </w:r>
    </w:p>
    <w:p w14:paraId="59C98410">
      <w:pPr>
        <w:spacing w:after="80"/>
        <w:jc w:val="center"/>
        <w:rPr>
          <w:b/>
          <w:sz w:val="22"/>
          <w:lang w:val="zh-CN" w:eastAsia="zh-CN"/>
        </w:rPr>
      </w:pPr>
    </w:p>
    <w:p w14:paraId="781D5827">
      <w:pPr>
        <w:spacing w:after="80"/>
        <w:jc w:val="center"/>
        <w:rPr>
          <w:b/>
          <w:sz w:val="22"/>
          <w:lang w:val="zh-CN" w:eastAsia="zh-CN"/>
        </w:rPr>
      </w:pPr>
    </w:p>
    <w:p w14:paraId="5ACCA34C">
      <w:pPr>
        <w:spacing w:after="80"/>
        <w:jc w:val="center"/>
        <w:rPr>
          <w:b/>
          <w:sz w:val="22"/>
          <w:lang w:val="zh-CN" w:eastAsia="zh-CN"/>
        </w:rPr>
      </w:pPr>
    </w:p>
    <w:p w14:paraId="0CB19B44">
      <w:pPr>
        <w:spacing w:after="80"/>
        <w:jc w:val="center"/>
        <w:rPr>
          <w:b/>
          <w:sz w:val="22"/>
          <w:lang w:val="zh-CN" w:eastAsia="zh-CN"/>
        </w:rPr>
      </w:pPr>
    </w:p>
    <w:p w14:paraId="14017EAE">
      <w:pPr>
        <w:spacing w:after="80"/>
        <w:jc w:val="center"/>
        <w:rPr>
          <w:b/>
          <w:sz w:val="22"/>
          <w:lang w:val="zh-CN" w:eastAsia="zh-CN"/>
        </w:rPr>
      </w:pPr>
    </w:p>
    <w:p w14:paraId="0B2F0979">
      <w:pPr>
        <w:spacing w:after="80"/>
        <w:jc w:val="center"/>
        <w:rPr>
          <w:b/>
          <w:sz w:val="22"/>
          <w:lang w:val="zh-CN" w:eastAsia="zh-CN"/>
        </w:rPr>
      </w:pPr>
    </w:p>
    <w:p w14:paraId="44AC8187">
      <w:pPr>
        <w:spacing w:after="80"/>
        <w:jc w:val="center"/>
        <w:rPr>
          <w:b/>
          <w:sz w:val="22"/>
          <w:lang w:val="zh-CN" w:eastAsia="zh-CN"/>
        </w:rPr>
      </w:pPr>
    </w:p>
    <w:p w14:paraId="6318D0F2">
      <w:pPr>
        <w:spacing w:after="80"/>
        <w:jc w:val="center"/>
        <w:rPr>
          <w:b/>
          <w:sz w:val="22"/>
          <w:lang w:val="zh-CN" w:eastAsia="zh-CN"/>
        </w:rPr>
      </w:pPr>
    </w:p>
    <w:p w14:paraId="1AA4A563">
      <w:pPr>
        <w:spacing w:after="80"/>
        <w:jc w:val="center"/>
        <w:rPr>
          <w:b/>
          <w:sz w:val="22"/>
          <w:lang w:val="zh-CN" w:eastAsia="zh-CN"/>
        </w:rPr>
      </w:pPr>
    </w:p>
    <w:p w14:paraId="1CD141F3">
      <w:pPr>
        <w:spacing w:after="80"/>
        <w:jc w:val="center"/>
        <w:rPr>
          <w:rFonts w:hint="eastAsia"/>
          <w:b/>
          <w:sz w:val="22"/>
          <w:lang w:val="zh-CN" w:eastAsia="zh-CN"/>
        </w:rPr>
      </w:pPr>
    </w:p>
    <w:p w14:paraId="1E4615D4">
      <w:pPr>
        <w:spacing w:after="80"/>
        <w:jc w:val="center"/>
        <w:rPr>
          <w:b/>
          <w:sz w:val="28"/>
          <w:szCs w:val="28"/>
          <w:lang w:val="zh-CN" w:eastAsia="zh-CN"/>
        </w:rPr>
      </w:pPr>
    </w:p>
    <w:p w14:paraId="486ACB14">
      <w:pPr>
        <w:spacing w:after="80"/>
        <w:jc w:val="center"/>
        <w:rPr>
          <w:rFonts w:hint="eastAsia"/>
          <w:b/>
          <w:sz w:val="24"/>
          <w:szCs w:val="28"/>
          <w:lang w:eastAsia="zh-CN"/>
        </w:rPr>
      </w:pPr>
      <w:r>
        <w:rPr>
          <w:b/>
          <w:sz w:val="28"/>
          <w:szCs w:val="28"/>
          <w:lang w:val="zh-CN" w:eastAsia="zh-CN"/>
        </w:rPr>
        <w:t>版本号：V1.0</w:t>
      </w:r>
    </w:p>
    <w:p w14:paraId="43FDAA16">
      <w:pPr>
        <w:spacing w:after="80"/>
        <w:jc w:val="center"/>
        <w:rPr>
          <w:rFonts w:hint="eastAsia"/>
          <w:b/>
          <w:sz w:val="24"/>
          <w:szCs w:val="28"/>
          <w:lang w:eastAsia="zh-CN"/>
        </w:rPr>
      </w:pPr>
      <w:r>
        <w:rPr>
          <w:b/>
          <w:sz w:val="28"/>
          <w:szCs w:val="28"/>
          <w:lang w:val="zh-CN" w:eastAsia="zh-CN"/>
        </w:rPr>
        <w:t>发布日期：</w:t>
      </w:r>
      <w:r>
        <w:rPr>
          <w:rFonts w:hint="eastAsia"/>
          <w:b/>
          <w:sz w:val="28"/>
          <w:szCs w:val="28"/>
          <w:lang w:val="en-US" w:eastAsia="zh-CN"/>
        </w:rPr>
        <w:t>2026</w:t>
      </w:r>
      <w:r>
        <w:rPr>
          <w:b/>
          <w:sz w:val="28"/>
          <w:szCs w:val="28"/>
          <w:lang w:val="zh-CN" w:eastAsia="zh-CN"/>
        </w:rPr>
        <w:t>年</w:t>
      </w:r>
      <w:r>
        <w:rPr>
          <w:rFonts w:hint="eastAsia"/>
          <w:b/>
          <w:sz w:val="28"/>
          <w:szCs w:val="28"/>
          <w:lang w:val="en-US" w:eastAsia="zh-CN"/>
        </w:rPr>
        <w:t>7</w:t>
      </w:r>
      <w:r>
        <w:rPr>
          <w:b/>
          <w:sz w:val="28"/>
          <w:szCs w:val="28"/>
          <w:lang w:val="zh-CN" w:eastAsia="zh-CN"/>
        </w:rPr>
        <w:t>月</w:t>
      </w:r>
      <w:r>
        <w:rPr>
          <w:rFonts w:hint="eastAsia"/>
          <w:b/>
          <w:sz w:val="28"/>
          <w:szCs w:val="28"/>
          <w:lang w:val="en-US" w:eastAsia="zh-CN"/>
        </w:rPr>
        <w:t>16</w:t>
      </w:r>
      <w:r>
        <w:rPr>
          <w:b/>
          <w:sz w:val="28"/>
          <w:szCs w:val="28"/>
          <w:lang w:val="zh-CN" w:eastAsia="zh-CN"/>
        </w:rPr>
        <w:t>日</w:t>
      </w:r>
    </w:p>
    <w:p w14:paraId="7A3D222B">
      <w:pPr>
        <w:rPr>
          <w:rFonts w:hint="eastAsia"/>
          <w:lang w:eastAsia="zh-CN"/>
        </w:rPr>
      </w:pPr>
      <w:r>
        <w:rPr>
          <w:lang w:val="zh-CN" w:eastAsia="zh-CN"/>
        </w:rPr>
        <w:br w:type="page"/>
      </w:r>
    </w:p>
    <w:sdt>
      <w:sdtPr>
        <w:rPr>
          <w:rFonts w:ascii="宋体" w:hAnsi="宋体" w:eastAsia="宋体" w:cstheme="minorBidi"/>
          <w:sz w:val="21"/>
          <w:szCs w:val="22"/>
          <w:lang w:val="en-US" w:eastAsia="en-US" w:bidi="ar-SA"/>
        </w:rPr>
        <w:id w:val="147462095"/>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5D00651A">
          <w:pPr>
            <w:spacing w:before="0" w:beforeLines="0" w:after="0" w:afterLines="0" w:line="240" w:lineRule="auto"/>
            <w:ind w:left="0" w:leftChars="0" w:right="0" w:rightChars="0" w:firstLine="0" w:firstLineChars="0"/>
            <w:jc w:val="left"/>
          </w:pPr>
          <w:r>
            <w:rPr>
              <w:rFonts w:hint="eastAsia" w:ascii="微软雅黑" w:hAnsi="微软雅黑" w:eastAsia="微软雅黑" w:cs="微软雅黑"/>
              <w:b/>
              <w:bCs/>
              <w:sz w:val="36"/>
              <w:szCs w:val="36"/>
            </w:rPr>
            <w:t>目录</w:t>
          </w:r>
        </w:p>
        <w:p w14:paraId="377BEB3E">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TOC \o "1-3" \h \u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_Toc10924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序言</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_Toc10924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5</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91145F8">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_Toc2465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版本修订记录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_Toc2465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6</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9D15015">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_Toc11190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第一章  总则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_Toc11190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6746D10">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_Toc22725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1.1  编制目的</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_Toc22725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2560BFA6">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_Toc26402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1.2  适用范围</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_Toc26402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28FB08F">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_Toc19745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1.3  编写原则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_Toc19745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61DAE0B2">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_Toc13010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第二章  国别财税环境速览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_Toc13010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EB97A83">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_Toc6629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2.1  国别基础信息</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_Toc6629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3D52DD2">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_Toc16041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2.2  核心税种速览表</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_Toc16041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DD88AFB">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_Toc6931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2.3  常设机构（PE）认定规则</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_Toc6931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66200EB1">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_Toc23461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2.4  外汇管理政策速览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_Toc23461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B52B73F">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_Toc13995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2.5  公司已落地项目概览</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_Toc13995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3E4E2B5">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_Toc13528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第三章  国别基础概况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_Toc13528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5B45E67">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_Toc7234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3.1  地缘、人文、法律与营商环境</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_Toc7234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2BA85B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_Toc20773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3.1.1</w:t>
          </w:r>
          <w:r>
            <w:rPr>
              <w:rFonts w:hint="eastAsia" w:ascii="微软雅黑" w:hAnsi="微软雅黑" w:eastAsia="微软雅黑" w:cs="微软雅黑"/>
              <w:sz w:val="22"/>
              <w:szCs w:val="22"/>
              <w:lang w:val="zh-CN" w:eastAsia="zh-CN"/>
            </w:rPr>
            <w:t>地理与政治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_Toc20773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EE93978">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_Toc32329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3.1.2</w:t>
          </w:r>
          <w:r>
            <w:rPr>
              <w:rFonts w:hint="eastAsia" w:ascii="微软雅黑" w:hAnsi="微软雅黑" w:eastAsia="微软雅黑" w:cs="微软雅黑"/>
              <w:sz w:val="22"/>
              <w:szCs w:val="22"/>
              <w:lang w:val="zh-CN" w:eastAsia="zh-CN"/>
            </w:rPr>
            <w:t>经济概况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_Toc32329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13</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53719F0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_Toc11242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3.1.3</w:t>
          </w:r>
          <w:r>
            <w:rPr>
              <w:rFonts w:hint="eastAsia" w:ascii="微软雅黑" w:hAnsi="微软雅黑" w:eastAsia="微软雅黑" w:cs="微软雅黑"/>
              <w:sz w:val="22"/>
              <w:szCs w:val="22"/>
              <w:lang w:val="zh-CN" w:eastAsia="zh-CN"/>
            </w:rPr>
            <w:t>法律与营商环境：</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_Toc11242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13</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1EAD3F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_Toc31372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3.1.4</w:t>
          </w:r>
          <w:r>
            <w:rPr>
              <w:rFonts w:hint="eastAsia" w:ascii="微软雅黑" w:hAnsi="微软雅黑" w:eastAsia="微软雅黑" w:cs="微软雅黑"/>
              <w:sz w:val="22"/>
              <w:szCs w:val="22"/>
              <w:lang w:val="zh-CN" w:eastAsia="zh-CN"/>
            </w:rPr>
            <w:t xml:space="preserve"> 文化习俗影响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_Toc31372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16</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5A32BFE">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_Toc25603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3.2  中资企业落地现状</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_Toc25603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3E61204">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_Toc21431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3.2.1中资企业发展情况：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_Toc21431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11821D5">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_Toc15298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3.2.2</w:t>
          </w:r>
          <w:r>
            <w:rPr>
              <w:rFonts w:hint="eastAsia" w:ascii="微软雅黑" w:hAnsi="微软雅黑" w:eastAsia="微软雅黑" w:cs="微软雅黑"/>
              <w:sz w:val="22"/>
              <w:szCs w:val="22"/>
              <w:lang w:val="zh-CN" w:eastAsia="zh-CN"/>
            </w:rPr>
            <w:t xml:space="preserve"> </w:t>
          </w:r>
          <w:r>
            <w:rPr>
              <w:rFonts w:hint="eastAsia" w:ascii="微软雅黑" w:hAnsi="微软雅黑" w:eastAsia="微软雅黑" w:cs="微软雅黑"/>
              <w:sz w:val="22"/>
              <w:szCs w:val="22"/>
              <w:highlight w:val="none"/>
              <w:lang w:val="en-US" w:eastAsia="zh-CN"/>
            </w:rPr>
            <w:t>中国海诚各经营单位在摩洛哥</w:t>
          </w:r>
          <w:r>
            <w:rPr>
              <w:rFonts w:hint="eastAsia" w:ascii="微软雅黑" w:hAnsi="微软雅黑" w:eastAsia="微软雅黑" w:cs="微软雅黑"/>
              <w:sz w:val="22"/>
              <w:szCs w:val="22"/>
              <w:lang w:val="en-US" w:eastAsia="zh-CN"/>
            </w:rPr>
            <w:t>业务开展情况：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_Toc15298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F03F3FF">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_Toc27612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3.3  通用风险提示</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_Toc27612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2C31BF27">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_Toc14803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3.3.1</w:t>
          </w:r>
          <w:r>
            <w:rPr>
              <w:rFonts w:hint="eastAsia" w:ascii="微软雅黑" w:hAnsi="微软雅黑" w:eastAsia="微软雅黑" w:cs="微软雅黑"/>
              <w:sz w:val="22"/>
              <w:szCs w:val="22"/>
              <w:lang w:val="zh-CN" w:eastAsia="zh-CN"/>
            </w:rPr>
            <w:t>法规与技术标准风险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_Toc14803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6110A8B">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_Toc12365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3.3.2</w:t>
          </w:r>
          <w:r>
            <w:rPr>
              <w:rFonts w:hint="eastAsia" w:ascii="微软雅黑" w:hAnsi="微软雅黑" w:eastAsia="微软雅黑" w:cs="微软雅黑"/>
              <w:sz w:val="22"/>
              <w:szCs w:val="22"/>
              <w:lang w:val="zh-CN" w:eastAsia="zh-CN"/>
            </w:rPr>
            <w:t>供应链与资源风险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_Toc12365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C0D23DD">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_Toc31276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3.3.3</w:t>
          </w:r>
          <w:r>
            <w:rPr>
              <w:rFonts w:hint="eastAsia" w:ascii="微软雅黑" w:hAnsi="微软雅黑" w:eastAsia="微软雅黑" w:cs="微软雅黑"/>
              <w:sz w:val="22"/>
              <w:szCs w:val="22"/>
              <w:lang w:val="zh-CN" w:eastAsia="zh-CN"/>
            </w:rPr>
            <w:t>合规与腐败风险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_Toc31276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63CDFBE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_Toc26968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bidi="ar-SA"/>
            </w:rPr>
            <w:t>3.3.4</w:t>
          </w:r>
          <w:r>
            <w:rPr>
              <w:rFonts w:hint="eastAsia" w:ascii="微软雅黑" w:hAnsi="微软雅黑" w:eastAsia="微软雅黑" w:cs="微软雅黑"/>
              <w:sz w:val="22"/>
              <w:szCs w:val="22"/>
              <w:lang w:val="zh-CN" w:eastAsia="zh-CN"/>
            </w:rPr>
            <w:t>劳工管理风险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_Toc26968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4325AFF">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_Toc30574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bidi="ar-SA"/>
            </w:rPr>
            <w:t>3.3.5</w:t>
          </w:r>
          <w:r>
            <w:rPr>
              <w:rFonts w:hint="eastAsia" w:ascii="微软雅黑" w:hAnsi="微软雅黑" w:eastAsia="微软雅黑" w:cs="微软雅黑"/>
              <w:sz w:val="22"/>
              <w:szCs w:val="22"/>
              <w:lang w:val="zh-CN" w:eastAsia="zh-CN"/>
            </w:rPr>
            <w:t>安全与社会风险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_Toc30574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19</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6A5DB476">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_Toc13457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第四章  国别财税与外汇监管环境</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_Toc13457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56B9BA0D">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_Toc6246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4.1  属地监管体系</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_Toc6246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49FF3DF">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_Toc26331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4.1.1</w:t>
          </w:r>
          <w:r>
            <w:rPr>
              <w:rFonts w:hint="eastAsia" w:ascii="微软雅黑" w:hAnsi="微软雅黑" w:eastAsia="微软雅黑" w:cs="微软雅黑"/>
              <w:sz w:val="22"/>
              <w:szCs w:val="22"/>
              <w:lang w:val="zh-CN" w:eastAsia="zh-CN"/>
            </w:rPr>
            <w:t>税务监管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_Toc26331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A874D35">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_Toc27284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4.1.2</w:t>
          </w:r>
          <w:r>
            <w:rPr>
              <w:rFonts w:hint="eastAsia" w:ascii="微软雅黑" w:hAnsi="微软雅黑" w:eastAsia="微软雅黑" w:cs="微软雅黑"/>
              <w:sz w:val="22"/>
              <w:szCs w:val="22"/>
              <w:lang w:eastAsia="zh-CN"/>
            </w:rPr>
            <w:t>会计与审计监管</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_Toc27284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51DEFCAE">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_Toc15182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4.2  核心税收制度</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_Toc15182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AA6D24F">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_Toc31199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4.2.1</w:t>
          </w:r>
          <w:r>
            <w:rPr>
              <w:rFonts w:hint="eastAsia" w:ascii="微软雅黑" w:hAnsi="微软雅黑" w:eastAsia="微软雅黑" w:cs="微软雅黑"/>
              <w:sz w:val="22"/>
              <w:szCs w:val="22"/>
            </w:rPr>
            <w:t>企业所得税</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lang w:val="en-US" w:eastAsia="zh-CN"/>
            </w:rPr>
            <w:t>公司税）</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_Toc31199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7C579B7">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_Toc7845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4.2.2</w:t>
          </w:r>
          <w:r>
            <w:rPr>
              <w:rFonts w:hint="eastAsia" w:ascii="微软雅黑" w:hAnsi="微软雅黑" w:eastAsia="微软雅黑" w:cs="微软雅黑"/>
              <w:sz w:val="22"/>
              <w:szCs w:val="22"/>
            </w:rPr>
            <w:t>增值税</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_Toc7845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09CDA96">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_Toc30422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4.2.3</w:t>
          </w:r>
          <w:r>
            <w:rPr>
              <w:rFonts w:hint="eastAsia" w:ascii="微软雅黑" w:hAnsi="微软雅黑" w:eastAsia="微软雅黑" w:cs="微软雅黑"/>
              <w:sz w:val="22"/>
              <w:szCs w:val="22"/>
            </w:rPr>
            <w:t>预提税</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_Toc30422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23</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A5559B4">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_Toc8934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4.2.4</w:t>
          </w:r>
          <w:r>
            <w:rPr>
              <w:rFonts w:hint="eastAsia" w:ascii="微软雅黑" w:hAnsi="微软雅黑" w:eastAsia="微软雅黑" w:cs="微软雅黑"/>
              <w:sz w:val="22"/>
              <w:szCs w:val="22"/>
            </w:rPr>
            <w:t>个人所得税与社保</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_Toc8934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23</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C5B88C4">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_Toc10302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4.2.5其他税种</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_Toc10302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24</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BBAA4CD">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_Toc17745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4.3  外汇及资金管制政策</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_Toc17745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24</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65C860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_Toc18867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4.3.1</w:t>
          </w:r>
          <w:r>
            <w:rPr>
              <w:rFonts w:hint="eastAsia" w:ascii="微软雅黑" w:hAnsi="微软雅黑" w:eastAsia="微软雅黑" w:cs="微软雅黑"/>
              <w:sz w:val="22"/>
              <w:szCs w:val="22"/>
            </w:rPr>
            <w:t>资金汇入汇出的路径和材料要求</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_Toc18867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25</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83760D6">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_Toc16616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4.3.2</w:t>
          </w:r>
          <w:r>
            <w:rPr>
              <w:rFonts w:hint="eastAsia" w:ascii="微软雅黑" w:hAnsi="微软雅黑" w:eastAsia="微软雅黑" w:cs="微软雅黑"/>
              <w:sz w:val="22"/>
              <w:szCs w:val="22"/>
            </w:rPr>
            <w:t>实际操作中的要点</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_Toc16616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25</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434CF64">
          <w:pPr>
            <w:pStyle w:val="23"/>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_Toc18598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第五章  项目全周期财务管理指引</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_Toc18598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7336C7F8">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_Toc14856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5.1  投标及合同谈判阶段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_Toc14856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2B5283D">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_Toc6658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5.1.1  主体形式选择</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_Toc6658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27</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53350F19">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_Toc13285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5.1.2  项目前期尽调</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_Toc13285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28</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73AEB7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_Toc30264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5.1.3  资金管理准备</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_Toc30264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29</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3EEDF86">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_Toc1781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 xml:space="preserve">5.1.4  </w:t>
          </w:r>
          <w:r>
            <w:rPr>
              <w:rFonts w:hint="eastAsia" w:ascii="微软雅黑" w:hAnsi="微软雅黑" w:eastAsia="微软雅黑" w:cs="微软雅黑"/>
              <w:sz w:val="22"/>
              <w:szCs w:val="22"/>
            </w:rPr>
            <w:t>外部合作资源</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_Toc1781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30</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DB4F8EA">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_Toc30352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zh-CN" w:eastAsia="zh-CN"/>
            </w:rPr>
            <w:t xml:space="preserve">5.1.5  </w:t>
          </w:r>
          <w:r>
            <w:rPr>
              <w:rFonts w:hint="eastAsia" w:ascii="微软雅黑" w:hAnsi="微软雅黑" w:eastAsia="微软雅黑" w:cs="微软雅黑"/>
              <w:sz w:val="22"/>
              <w:szCs w:val="22"/>
            </w:rPr>
            <w:t>具体项目案例</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_Toc30352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31</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DBBF09C">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_Toc1920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bCs/>
              <w:kern w:val="0"/>
              <w:sz w:val="22"/>
              <w:szCs w:val="22"/>
              <w:lang w:val="zh-CN" w:eastAsia="zh-CN" w:bidi="ar-SA"/>
            </w:rPr>
            <w:t>5.2 建设实施阶段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_Toc1920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20626C34">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_Toc9690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5.2.1</w:t>
          </w:r>
          <w:r>
            <w:rPr>
              <w:rFonts w:hint="eastAsia" w:ascii="微软雅黑" w:hAnsi="微软雅黑" w:eastAsia="微软雅黑" w:cs="微软雅黑"/>
              <w:sz w:val="22"/>
              <w:szCs w:val="22"/>
            </w:rPr>
            <w:t>会计核算管理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_Toc9690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081159D8">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_Toc17912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5.2.2</w:t>
          </w:r>
          <w:r>
            <w:rPr>
              <w:rFonts w:hint="eastAsia" w:ascii="微软雅黑" w:hAnsi="微软雅黑" w:eastAsia="微软雅黑" w:cs="微软雅黑"/>
              <w:sz w:val="22"/>
              <w:szCs w:val="22"/>
            </w:rPr>
            <w:t>资金管理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_Toc17912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32</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B570000">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_Toc26633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5.2.3</w:t>
          </w:r>
          <w:r>
            <w:rPr>
              <w:rFonts w:hint="eastAsia" w:ascii="微软雅黑" w:hAnsi="微软雅黑" w:eastAsia="微软雅黑" w:cs="微软雅黑"/>
              <w:sz w:val="22"/>
              <w:szCs w:val="22"/>
            </w:rPr>
            <w:t>税务管理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_Toc26633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34</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9800678">
          <w:pPr>
            <w:pStyle w:val="26"/>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_Toc24261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bCs/>
              <w:kern w:val="0"/>
              <w:sz w:val="22"/>
              <w:szCs w:val="22"/>
              <w:lang w:val="zh-CN" w:eastAsia="zh-CN" w:bidi="ar-SA"/>
            </w:rPr>
            <w:t>5.3收尾清算阶段</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_Toc24261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34</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55EB34E2">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_Toc30519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5.3.1</w:t>
          </w:r>
          <w:r>
            <w:rPr>
              <w:rFonts w:hint="eastAsia" w:ascii="微软雅黑" w:hAnsi="微软雅黑" w:eastAsia="微软雅黑" w:cs="微软雅黑"/>
              <w:sz w:val="22"/>
              <w:szCs w:val="22"/>
            </w:rPr>
            <w:t>核算管理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_Toc30519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34</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18953F38">
          <w:pPr>
            <w:pStyle w:val="20"/>
            <w:tabs>
              <w:tab w:val="right" w:leader="dot" w:pos="8634"/>
            </w:tabs>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_Toc15775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5.3.2</w:t>
          </w:r>
          <w:r>
            <w:rPr>
              <w:rFonts w:hint="eastAsia" w:ascii="微软雅黑" w:hAnsi="微软雅黑" w:eastAsia="微软雅黑" w:cs="微软雅黑"/>
              <w:sz w:val="22"/>
              <w:szCs w:val="22"/>
            </w:rPr>
            <w:t>税务管理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_Toc15775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34AB661E">
          <w:pPr>
            <w:pStyle w:val="20"/>
            <w:tabs>
              <w:tab w:val="right" w:leader="dot" w:pos="8634"/>
            </w:tabs>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HYPERLINK \l _Toc27164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lang w:val="en-US" w:eastAsia="zh-CN"/>
            </w:rPr>
            <w:t>5.3.3</w:t>
          </w:r>
          <w:r>
            <w:rPr>
              <w:rFonts w:hint="eastAsia" w:ascii="微软雅黑" w:hAnsi="微软雅黑" w:eastAsia="微软雅黑" w:cs="微软雅黑"/>
              <w:sz w:val="22"/>
              <w:szCs w:val="22"/>
            </w:rPr>
            <w:t>资金管理</w:t>
          </w:r>
          <w:r>
            <w:rPr>
              <w:rFonts w:hint="eastAsia" w:ascii="微软雅黑" w:hAnsi="微软雅黑" w:eastAsia="微软雅黑" w:cs="微软雅黑"/>
              <w:sz w:val="22"/>
              <w:szCs w:val="22"/>
            </w:rPr>
            <w:tab/>
          </w: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PAGEREF _Toc27164 \h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35</w:t>
          </w:r>
          <w:r>
            <w:rPr>
              <w:rFonts w:hint="eastAsia" w:ascii="微软雅黑" w:hAnsi="微软雅黑" w:eastAsia="微软雅黑" w:cs="微软雅黑"/>
              <w:sz w:val="22"/>
              <w:szCs w:val="22"/>
            </w:rPr>
            <w:fldChar w:fldCharType="end"/>
          </w:r>
          <w:r>
            <w:rPr>
              <w:rFonts w:hint="eastAsia" w:ascii="微软雅黑" w:hAnsi="微软雅黑" w:eastAsia="微软雅黑" w:cs="微软雅黑"/>
              <w:sz w:val="22"/>
              <w:szCs w:val="22"/>
            </w:rPr>
            <w:fldChar w:fldCharType="end"/>
          </w:r>
        </w:p>
        <w:p w14:paraId="4F17A5D6">
          <w:r>
            <w:rPr>
              <w:rFonts w:hint="eastAsia" w:ascii="微软雅黑" w:hAnsi="微软雅黑" w:eastAsia="微软雅黑" w:cs="微软雅黑"/>
              <w:szCs w:val="22"/>
            </w:rPr>
            <w:fldChar w:fldCharType="end"/>
          </w:r>
        </w:p>
      </w:sdtContent>
    </w:sdt>
    <w:p w14:paraId="3DBEE0CC"/>
    <w:p w14:paraId="4BF45F28">
      <w:pPr>
        <w:rPr>
          <w:rFonts w:hint="eastAsia"/>
          <w:lang w:eastAsia="zh-CN"/>
        </w:rPr>
      </w:pPr>
      <w:r>
        <w:rPr>
          <w:lang w:val="zh-CN" w:eastAsia="zh-CN"/>
        </w:rPr>
        <w:br w:type="page"/>
      </w:r>
    </w:p>
    <w:p w14:paraId="3FA51870">
      <w:pPr>
        <w:pStyle w:val="3"/>
        <w:pageBreakBefore w:val="0"/>
        <w:widowControl/>
        <w:kinsoku/>
        <w:wordWrap/>
        <w:overflowPunct/>
        <w:topLinePunct w:val="0"/>
        <w:autoSpaceDE/>
        <w:autoSpaceDN/>
        <w:bidi w:val="0"/>
        <w:adjustRightInd/>
        <w:snapToGrid/>
        <w:jc w:val="both"/>
        <w:rPr>
          <w:rFonts w:hint="eastAsia" w:ascii="微软雅黑" w:hAnsi="微软雅黑" w:eastAsia="微软雅黑"/>
          <w:color w:val="auto"/>
          <w:lang w:val="en-US" w:eastAsia="zh-CN"/>
        </w:rPr>
      </w:pPr>
      <w:bookmarkStart w:id="0" w:name="_Toc13016"/>
      <w:bookmarkStart w:id="1" w:name="_Toc9367"/>
      <w:bookmarkStart w:id="2" w:name="_Toc17571"/>
      <w:bookmarkStart w:id="3" w:name="_Toc27386"/>
      <w:bookmarkStart w:id="4" w:name="_Toc10924"/>
      <w:r>
        <w:rPr>
          <w:rFonts w:hint="eastAsia" w:ascii="微软雅黑" w:hAnsi="微软雅黑" w:eastAsia="微软雅黑"/>
          <w:color w:val="auto"/>
          <w:lang w:val="en-US" w:eastAsia="zh-CN"/>
        </w:rPr>
        <w:t>序言</w:t>
      </w:r>
      <w:bookmarkEnd w:id="0"/>
      <w:bookmarkEnd w:id="1"/>
      <w:bookmarkEnd w:id="2"/>
      <w:bookmarkEnd w:id="3"/>
      <w:bookmarkEnd w:id="4"/>
    </w:p>
    <w:p w14:paraId="12F2578D">
      <w:pPr>
        <w:spacing w:after="120"/>
        <w:ind w:firstLine="397"/>
        <w:jc w:val="both"/>
        <w:rPr>
          <w:rFonts w:hint="eastAsia"/>
          <w:sz w:val="24"/>
          <w:szCs w:val="24"/>
          <w:lang w:val="en-US" w:eastAsia="zh-CN"/>
        </w:rPr>
      </w:pPr>
      <w:r>
        <w:rPr>
          <w:rFonts w:hint="eastAsia"/>
          <w:sz w:val="24"/>
          <w:szCs w:val="24"/>
          <w:lang w:val="en-US" w:eastAsia="zh-CN"/>
        </w:rPr>
        <w:t>为深度落实中国海诚境外项目财务合规管理要求，规范公司境外项目全流程财务运作，防范国别财税、外汇、资金、税务等各类经营风险，公司结合境外相应国别现行监管法规、双边税收协定及境外项目实操经验，组织编制系列《中国海诚境外财务管理操作指南》，本文为摩洛哥篇。</w:t>
      </w:r>
    </w:p>
    <w:p w14:paraId="368E9391">
      <w:pPr>
        <w:spacing w:after="120"/>
        <w:ind w:firstLine="397"/>
        <w:jc w:val="both"/>
        <w:rPr>
          <w:rFonts w:hint="eastAsia"/>
          <w:sz w:val="24"/>
          <w:szCs w:val="24"/>
          <w:lang w:val="en-US" w:eastAsia="zh-CN"/>
        </w:rPr>
      </w:pPr>
      <w:r>
        <w:rPr>
          <w:rFonts w:hint="eastAsia"/>
          <w:sz w:val="24"/>
          <w:szCs w:val="24"/>
          <w:lang w:val="en-US" w:eastAsia="zh-CN"/>
        </w:rPr>
        <w:t>摩洛哥实施外汇管控，当地会计审计体系、财税政策属地特征突出，常设机构判定、企业所得税计税方式选择、增值税退税、本地用工、跨境资金汇付等规则与国内差异较大，工程业务极易出现税负测算偏差、资金长期占用、汇兑损失、主体注销流程繁琐等实操风险。本指南覆盖投标谈判、建设实施、收尾清算全项目周期，系统梳理当地营商财税监管体系，对比项目部、分公司、子公司经营模式，结合公司马拉喀什硫酸钴、纳祖尔海水淡化真实项目案例明确核算、资金、税务、档案标准化操作规范，并增设专项风险应对指引。</w:t>
      </w:r>
    </w:p>
    <w:p w14:paraId="12AA29BB">
      <w:pPr>
        <w:spacing w:after="120"/>
        <w:ind w:firstLine="397"/>
        <w:jc w:val="both"/>
        <w:rPr>
          <w:rFonts w:hint="eastAsia"/>
          <w:sz w:val="24"/>
          <w:szCs w:val="24"/>
          <w:lang w:val="en-US" w:eastAsia="zh-CN"/>
        </w:rPr>
      </w:pPr>
      <w:r>
        <w:rPr>
          <w:rFonts w:hint="eastAsia"/>
          <w:sz w:val="24"/>
          <w:szCs w:val="24"/>
          <w:lang w:val="en-US" w:eastAsia="zh-CN"/>
        </w:rPr>
        <w:t>本指南遵循衔接公司制度、依托实操经验的编写原则，兼顾合规底线与经营效率，适用于总部及各经营单位摩洛哥相关财务管理工作。本指南所引用的法律法规、政策文件及数据，均来源于公开渠道，国别基础概况等部分非财务专业范畴的内容通过公开渠道收集资料整理，供财务人员参考。摩洛哥相关政策存在调整的可能，使用过程中请留意官方最新信息，切勿以过时信息作为决策依据。本指南是内部参考文件，非正式的法律意见或财务建议，涉及重大决策时，应结合公司实际情况及当地专业顾问的意见综合判断。</w:t>
      </w:r>
    </w:p>
    <w:p w14:paraId="1E8F0E09">
      <w:pPr>
        <w:spacing w:after="120"/>
        <w:ind w:firstLine="397"/>
        <w:jc w:val="both"/>
        <w:rPr>
          <w:rFonts w:hint="eastAsia"/>
          <w:sz w:val="24"/>
          <w:szCs w:val="24"/>
          <w:lang w:val="en-US" w:eastAsia="zh-CN"/>
        </w:rPr>
      </w:pPr>
      <w:r>
        <w:rPr>
          <w:rFonts w:hint="eastAsia"/>
          <w:sz w:val="24"/>
          <w:szCs w:val="24"/>
          <w:lang w:val="en-US" w:eastAsia="zh-CN"/>
        </w:rPr>
        <w:t>谨向本次指南编制牵头单位中国轻工业长沙工程有限公司致以诚挚鸣谢。</w:t>
      </w:r>
    </w:p>
    <w:p w14:paraId="74931F6B">
      <w:pPr>
        <w:spacing w:after="120"/>
        <w:ind w:firstLine="397"/>
        <w:jc w:val="both"/>
        <w:rPr>
          <w:rFonts w:ascii="微软雅黑" w:hAnsi="微软雅黑" w:eastAsia="微软雅黑"/>
          <w:color w:val="auto"/>
          <w:lang w:val="zh-CN" w:eastAsia="zh-CN"/>
        </w:rPr>
      </w:pPr>
      <w:r>
        <w:rPr>
          <w:rFonts w:ascii="微软雅黑" w:hAnsi="微软雅黑" w:eastAsia="微软雅黑"/>
          <w:color w:val="auto"/>
          <w:lang w:val="zh-CN" w:eastAsia="zh-CN"/>
        </w:rPr>
        <w:br w:type="page"/>
      </w:r>
    </w:p>
    <w:p w14:paraId="78F369D4">
      <w:pPr>
        <w:pStyle w:val="3"/>
        <w:rPr>
          <w:rFonts w:ascii="微软雅黑" w:hAnsi="微软雅黑" w:eastAsia="微软雅黑"/>
          <w:color w:val="auto"/>
        </w:rPr>
      </w:pPr>
      <w:bookmarkStart w:id="5" w:name="_Toc3337"/>
      <w:bookmarkStart w:id="6" w:name="_Toc2465"/>
      <w:bookmarkStart w:id="7" w:name="_Toc2096"/>
      <w:bookmarkStart w:id="8" w:name="_Toc8584"/>
      <w:r>
        <w:rPr>
          <w:rFonts w:ascii="微软雅黑" w:hAnsi="微软雅黑" w:eastAsia="微软雅黑"/>
          <w:color w:val="auto"/>
          <w:lang w:val="zh-CN" w:eastAsia="zh-CN"/>
        </w:rPr>
        <w:t>版本修订记录</w:t>
      </w:r>
      <w:bookmarkEnd w:id="5"/>
      <w:bookmarkEnd w:id="6"/>
      <w:bookmarkEnd w:id="7"/>
      <w:bookmarkEnd w:id="8"/>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400"/>
        <w:gridCol w:w="2054"/>
        <w:gridCol w:w="1727"/>
        <w:gridCol w:w="1727"/>
        <w:gridCol w:w="1727"/>
      </w:tblGrid>
      <w:tr w14:paraId="3374D9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00" w:type="dxa"/>
            <w:shd w:val="clear" w:color="auto" w:fill="1F4E79"/>
            <w:vAlign w:val="center"/>
          </w:tcPr>
          <w:p w14:paraId="2D2FE43A">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版本号</w:t>
            </w:r>
          </w:p>
        </w:tc>
        <w:tc>
          <w:tcPr>
            <w:tcW w:w="2054" w:type="dxa"/>
            <w:shd w:val="clear" w:color="auto" w:fill="1F4E79"/>
            <w:vAlign w:val="center"/>
          </w:tcPr>
          <w:p w14:paraId="21534270">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修订日期</w:t>
            </w:r>
          </w:p>
        </w:tc>
        <w:tc>
          <w:tcPr>
            <w:tcW w:w="1727" w:type="dxa"/>
            <w:shd w:val="clear" w:color="auto" w:fill="1F497D" w:themeFill="text2"/>
            <w:vAlign w:val="center"/>
          </w:tcPr>
          <w:p w14:paraId="12289377">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修订单位</w:t>
            </w:r>
          </w:p>
        </w:tc>
        <w:tc>
          <w:tcPr>
            <w:tcW w:w="1727" w:type="dxa"/>
            <w:shd w:val="clear" w:color="auto" w:fill="1F497D" w:themeFill="text2"/>
            <w:vAlign w:val="center"/>
          </w:tcPr>
          <w:p w14:paraId="39ADE85D">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修订章节</w:t>
            </w:r>
          </w:p>
        </w:tc>
        <w:tc>
          <w:tcPr>
            <w:tcW w:w="1727" w:type="dxa"/>
            <w:shd w:val="clear" w:color="auto" w:fill="1F4E79"/>
            <w:vAlign w:val="center"/>
          </w:tcPr>
          <w:p w14:paraId="5FB81119">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修订内容摘要</w:t>
            </w:r>
          </w:p>
        </w:tc>
      </w:tr>
      <w:tr w14:paraId="640C451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00" w:type="dxa"/>
            <w:vAlign w:val="center"/>
          </w:tcPr>
          <w:p w14:paraId="24D09E44">
            <w:pPr>
              <w:spacing w:before="40" w:after="40" w:line="240" w:lineRule="auto"/>
              <w:rPr>
                <w:rFonts w:hint="eastAsia"/>
                <w:szCs w:val="21"/>
              </w:rPr>
            </w:pPr>
            <w:r>
              <w:rPr>
                <w:szCs w:val="21"/>
                <w:lang w:val="zh-CN" w:eastAsia="zh-CN"/>
              </w:rPr>
              <w:t>V1.0</w:t>
            </w:r>
          </w:p>
        </w:tc>
        <w:tc>
          <w:tcPr>
            <w:tcW w:w="2054" w:type="dxa"/>
            <w:vAlign w:val="center"/>
          </w:tcPr>
          <w:p w14:paraId="7254624E">
            <w:pPr>
              <w:spacing w:before="40" w:after="40" w:line="240" w:lineRule="auto"/>
              <w:rPr>
                <w:rFonts w:hint="default" w:eastAsia="微软雅黑"/>
                <w:szCs w:val="21"/>
                <w:lang w:val="en-US" w:eastAsia="zh-CN"/>
              </w:rPr>
            </w:pPr>
            <w:r>
              <w:rPr>
                <w:rFonts w:hint="eastAsia"/>
                <w:szCs w:val="21"/>
                <w:lang w:val="en-US" w:eastAsia="zh-CN"/>
              </w:rPr>
              <w:t>2026年7月16</w:t>
            </w:r>
            <w:bookmarkStart w:id="231" w:name="_GoBack"/>
            <w:bookmarkEnd w:id="231"/>
            <w:r>
              <w:rPr>
                <w:rFonts w:hint="eastAsia"/>
                <w:szCs w:val="21"/>
                <w:lang w:val="en-US" w:eastAsia="zh-CN"/>
              </w:rPr>
              <w:t>日</w:t>
            </w:r>
          </w:p>
        </w:tc>
        <w:tc>
          <w:tcPr>
            <w:tcW w:w="1727" w:type="dxa"/>
            <w:vAlign w:val="center"/>
          </w:tcPr>
          <w:p w14:paraId="2A4C2EBE">
            <w:pPr>
              <w:spacing w:before="40" w:after="40" w:line="240" w:lineRule="auto"/>
              <w:rPr>
                <w:rFonts w:hint="default"/>
                <w:szCs w:val="21"/>
                <w:lang w:val="en-US"/>
              </w:rPr>
            </w:pPr>
            <w:r>
              <w:rPr>
                <w:rFonts w:hint="eastAsia"/>
                <w:szCs w:val="21"/>
                <w:lang w:val="en-US" w:eastAsia="zh-CN"/>
              </w:rPr>
              <w:t>中国轻工业长沙工程有限公司</w:t>
            </w:r>
          </w:p>
        </w:tc>
        <w:tc>
          <w:tcPr>
            <w:tcW w:w="1727" w:type="dxa"/>
            <w:vAlign w:val="center"/>
          </w:tcPr>
          <w:p w14:paraId="47A9F1C9">
            <w:pPr>
              <w:spacing w:before="40" w:after="40" w:line="240" w:lineRule="auto"/>
              <w:rPr>
                <w:rFonts w:hint="eastAsia"/>
                <w:szCs w:val="21"/>
              </w:rPr>
            </w:pPr>
            <w:r>
              <w:rPr>
                <w:szCs w:val="21"/>
                <w:lang w:val="zh-CN" w:eastAsia="zh-CN"/>
              </w:rPr>
              <w:t>全文</w:t>
            </w:r>
          </w:p>
        </w:tc>
        <w:tc>
          <w:tcPr>
            <w:tcW w:w="1727" w:type="dxa"/>
            <w:vAlign w:val="center"/>
          </w:tcPr>
          <w:p w14:paraId="5DAD7FCA">
            <w:pPr>
              <w:spacing w:before="40" w:after="40" w:line="240" w:lineRule="auto"/>
              <w:rPr>
                <w:rFonts w:hint="eastAsia"/>
                <w:szCs w:val="21"/>
              </w:rPr>
            </w:pPr>
            <w:r>
              <w:rPr>
                <w:szCs w:val="21"/>
                <w:lang w:val="zh-CN" w:eastAsia="zh-CN"/>
              </w:rPr>
              <w:t>首次发布</w:t>
            </w:r>
          </w:p>
        </w:tc>
      </w:tr>
      <w:tr w14:paraId="7F8555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00" w:type="dxa"/>
            <w:vAlign w:val="center"/>
          </w:tcPr>
          <w:p w14:paraId="45C29177">
            <w:pPr>
              <w:spacing w:before="40" w:after="40" w:line="240" w:lineRule="auto"/>
              <w:rPr>
                <w:rFonts w:hint="eastAsia"/>
                <w:szCs w:val="21"/>
              </w:rPr>
            </w:pPr>
          </w:p>
        </w:tc>
        <w:tc>
          <w:tcPr>
            <w:tcW w:w="2054" w:type="dxa"/>
            <w:vAlign w:val="center"/>
          </w:tcPr>
          <w:p w14:paraId="54535879">
            <w:pPr>
              <w:spacing w:before="40" w:after="40" w:line="240" w:lineRule="auto"/>
              <w:rPr>
                <w:rFonts w:hint="eastAsia"/>
                <w:szCs w:val="21"/>
              </w:rPr>
            </w:pPr>
          </w:p>
        </w:tc>
        <w:tc>
          <w:tcPr>
            <w:tcW w:w="1727" w:type="dxa"/>
            <w:vAlign w:val="center"/>
          </w:tcPr>
          <w:p w14:paraId="1C75F66C">
            <w:pPr>
              <w:spacing w:before="40" w:after="40" w:line="240" w:lineRule="auto"/>
              <w:rPr>
                <w:rFonts w:hint="eastAsia"/>
                <w:szCs w:val="21"/>
              </w:rPr>
            </w:pPr>
          </w:p>
        </w:tc>
        <w:tc>
          <w:tcPr>
            <w:tcW w:w="1727" w:type="dxa"/>
            <w:vAlign w:val="center"/>
          </w:tcPr>
          <w:p w14:paraId="747B4640">
            <w:pPr>
              <w:spacing w:before="40" w:after="40" w:line="240" w:lineRule="auto"/>
              <w:rPr>
                <w:rFonts w:hint="eastAsia"/>
                <w:szCs w:val="21"/>
              </w:rPr>
            </w:pPr>
          </w:p>
        </w:tc>
        <w:tc>
          <w:tcPr>
            <w:tcW w:w="1727" w:type="dxa"/>
            <w:vAlign w:val="center"/>
          </w:tcPr>
          <w:p w14:paraId="38430E38">
            <w:pPr>
              <w:spacing w:before="40" w:after="40" w:line="240" w:lineRule="auto"/>
              <w:rPr>
                <w:rFonts w:hint="eastAsia"/>
                <w:szCs w:val="21"/>
              </w:rPr>
            </w:pPr>
          </w:p>
        </w:tc>
      </w:tr>
      <w:tr w14:paraId="2FF2ED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400" w:type="dxa"/>
            <w:vAlign w:val="center"/>
          </w:tcPr>
          <w:p w14:paraId="588AE5F2">
            <w:pPr>
              <w:spacing w:before="40" w:after="40" w:line="240" w:lineRule="auto"/>
              <w:rPr>
                <w:rFonts w:hint="eastAsia"/>
                <w:szCs w:val="21"/>
              </w:rPr>
            </w:pPr>
          </w:p>
        </w:tc>
        <w:tc>
          <w:tcPr>
            <w:tcW w:w="2054" w:type="dxa"/>
            <w:vAlign w:val="center"/>
          </w:tcPr>
          <w:p w14:paraId="54956ED1">
            <w:pPr>
              <w:spacing w:before="40" w:after="40" w:line="240" w:lineRule="auto"/>
              <w:rPr>
                <w:rFonts w:hint="eastAsia"/>
                <w:szCs w:val="21"/>
              </w:rPr>
            </w:pPr>
          </w:p>
        </w:tc>
        <w:tc>
          <w:tcPr>
            <w:tcW w:w="1727" w:type="dxa"/>
            <w:vAlign w:val="center"/>
          </w:tcPr>
          <w:p w14:paraId="1AF165AB">
            <w:pPr>
              <w:spacing w:before="40" w:after="40" w:line="240" w:lineRule="auto"/>
              <w:rPr>
                <w:rFonts w:hint="eastAsia"/>
                <w:szCs w:val="21"/>
              </w:rPr>
            </w:pPr>
          </w:p>
        </w:tc>
        <w:tc>
          <w:tcPr>
            <w:tcW w:w="1727" w:type="dxa"/>
            <w:vAlign w:val="center"/>
          </w:tcPr>
          <w:p w14:paraId="4AFB9983">
            <w:pPr>
              <w:spacing w:before="40" w:after="40" w:line="240" w:lineRule="auto"/>
              <w:rPr>
                <w:rFonts w:hint="eastAsia"/>
                <w:szCs w:val="21"/>
              </w:rPr>
            </w:pPr>
          </w:p>
        </w:tc>
        <w:tc>
          <w:tcPr>
            <w:tcW w:w="1727" w:type="dxa"/>
            <w:vAlign w:val="center"/>
          </w:tcPr>
          <w:p w14:paraId="5F9FEE07">
            <w:pPr>
              <w:spacing w:before="40" w:after="40" w:line="240" w:lineRule="auto"/>
              <w:rPr>
                <w:rFonts w:hint="eastAsia"/>
                <w:szCs w:val="21"/>
              </w:rPr>
            </w:pPr>
          </w:p>
        </w:tc>
      </w:tr>
    </w:tbl>
    <w:p w14:paraId="3934DE29">
      <w:pPr>
        <w:rPr>
          <w:rFonts w:hint="eastAsia"/>
        </w:rPr>
      </w:pPr>
      <w:r>
        <w:rPr>
          <w:lang w:val="zh-CN" w:eastAsia="zh-CN"/>
        </w:rPr>
        <w:br w:type="page"/>
      </w:r>
    </w:p>
    <w:p w14:paraId="3C3B9EBD">
      <w:pPr>
        <w:pStyle w:val="3"/>
        <w:rPr>
          <w:rFonts w:ascii="微软雅黑" w:hAnsi="微软雅黑" w:eastAsia="微软雅黑"/>
          <w:color w:val="auto"/>
        </w:rPr>
      </w:pPr>
      <w:bookmarkStart w:id="9" w:name="_Toc13872"/>
      <w:bookmarkStart w:id="10" w:name="_Toc24928"/>
      <w:bookmarkStart w:id="11" w:name="_Toc10133"/>
      <w:bookmarkStart w:id="12" w:name="_Toc11190"/>
      <w:r>
        <w:rPr>
          <w:rFonts w:ascii="微软雅黑" w:hAnsi="微软雅黑" w:eastAsia="微软雅黑"/>
          <w:color w:val="auto"/>
          <w:lang w:val="zh-CN" w:eastAsia="zh-CN"/>
        </w:rPr>
        <w:t>第一章  总则</w:t>
      </w:r>
      <w:bookmarkEnd w:id="9"/>
      <w:bookmarkEnd w:id="10"/>
      <w:bookmarkEnd w:id="11"/>
      <w:bookmarkEnd w:id="12"/>
    </w:p>
    <w:p w14:paraId="56459C50">
      <w:pPr>
        <w:pStyle w:val="4"/>
        <w:rPr>
          <w:rFonts w:ascii="微软雅黑" w:hAnsi="微软雅黑" w:eastAsia="微软雅黑"/>
          <w:color w:val="auto"/>
        </w:rPr>
      </w:pPr>
      <w:bookmarkStart w:id="13" w:name="_Toc1594"/>
      <w:bookmarkStart w:id="14" w:name="_Toc21640"/>
      <w:bookmarkStart w:id="15" w:name="_Toc22725"/>
      <w:bookmarkStart w:id="16" w:name="_Toc30752"/>
      <w:r>
        <w:rPr>
          <w:rFonts w:ascii="微软雅黑" w:hAnsi="微软雅黑" w:eastAsia="微软雅黑"/>
          <w:color w:val="auto"/>
          <w:lang w:val="zh-CN" w:eastAsia="zh-CN"/>
        </w:rPr>
        <w:t>1.1  编制目的</w:t>
      </w:r>
      <w:bookmarkEnd w:id="13"/>
      <w:bookmarkEnd w:id="14"/>
      <w:bookmarkEnd w:id="15"/>
      <w:bookmarkEnd w:id="16"/>
    </w:p>
    <w:p w14:paraId="478A993B">
      <w:pPr>
        <w:spacing w:after="120"/>
        <w:ind w:firstLine="397"/>
        <w:rPr>
          <w:rFonts w:hint="eastAsia"/>
          <w:sz w:val="24"/>
          <w:szCs w:val="24"/>
          <w:lang w:eastAsia="zh-CN"/>
        </w:rPr>
      </w:pPr>
      <w:r>
        <w:rPr>
          <w:sz w:val="24"/>
          <w:szCs w:val="24"/>
          <w:lang w:val="zh-CN" w:eastAsia="zh-CN"/>
        </w:rPr>
        <w:t>为指导中国海诚各</w:t>
      </w:r>
      <w:r>
        <w:rPr>
          <w:rFonts w:hint="eastAsia"/>
          <w:sz w:val="24"/>
          <w:szCs w:val="24"/>
          <w:lang w:val="en-US" w:eastAsia="zh-CN"/>
        </w:rPr>
        <w:t>经营</w:t>
      </w:r>
      <w:r>
        <w:rPr>
          <w:sz w:val="24"/>
          <w:szCs w:val="24"/>
          <w:lang w:val="zh-CN" w:eastAsia="zh-CN"/>
        </w:rPr>
        <w:t>单位在</w:t>
      </w:r>
      <w:r>
        <w:rPr>
          <w:rFonts w:hint="eastAsia"/>
          <w:sz w:val="24"/>
          <w:szCs w:val="24"/>
          <w:lang w:val="zh-CN" w:eastAsia="zh-CN"/>
        </w:rPr>
        <w:t>摩洛哥</w:t>
      </w:r>
      <w:r>
        <w:rPr>
          <w:sz w:val="24"/>
          <w:szCs w:val="24"/>
          <w:lang w:val="zh-CN" w:eastAsia="zh-CN"/>
        </w:rPr>
        <w:t>安全、合规、高效地开展工程项目财务管理工作，在遵循</w:t>
      </w:r>
      <w:r>
        <w:rPr>
          <w:rFonts w:hint="eastAsia"/>
          <w:sz w:val="24"/>
          <w:szCs w:val="24"/>
          <w:lang w:val="zh-CN" w:eastAsia="zh-CN"/>
        </w:rPr>
        <w:t>公司（含保利集团、保利中轻、中国海诚，以下统称“公司”）相关</w:t>
      </w:r>
      <w:r>
        <w:rPr>
          <w:sz w:val="24"/>
          <w:szCs w:val="24"/>
          <w:lang w:val="zh-CN" w:eastAsia="zh-CN"/>
        </w:rPr>
        <w:t>制度基础上，结合</w:t>
      </w:r>
      <w:r>
        <w:rPr>
          <w:rFonts w:hint="eastAsia"/>
          <w:sz w:val="24"/>
          <w:szCs w:val="24"/>
          <w:lang w:val="zh-CN" w:eastAsia="zh-CN"/>
        </w:rPr>
        <w:t>摩洛哥</w:t>
      </w:r>
      <w:r>
        <w:rPr>
          <w:sz w:val="24"/>
          <w:szCs w:val="24"/>
          <w:lang w:val="zh-CN" w:eastAsia="zh-CN"/>
        </w:rPr>
        <w:t>实际财税环境和已执行项目的实操经验，特制定本指南。</w:t>
      </w:r>
    </w:p>
    <w:p w14:paraId="2B25430D">
      <w:pPr>
        <w:pStyle w:val="4"/>
        <w:rPr>
          <w:rFonts w:ascii="微软雅黑" w:hAnsi="微软雅黑" w:eastAsia="微软雅黑"/>
          <w:color w:val="auto"/>
          <w:lang w:eastAsia="zh-CN"/>
        </w:rPr>
      </w:pPr>
      <w:bookmarkStart w:id="17" w:name="_Toc8603"/>
      <w:bookmarkStart w:id="18" w:name="_Toc26402"/>
      <w:bookmarkStart w:id="19" w:name="_Toc27847"/>
      <w:bookmarkStart w:id="20" w:name="_Toc2904"/>
      <w:r>
        <w:rPr>
          <w:rFonts w:ascii="微软雅黑" w:hAnsi="微软雅黑" w:eastAsia="微软雅黑"/>
          <w:color w:val="auto"/>
          <w:lang w:val="zh-CN" w:eastAsia="zh-CN"/>
        </w:rPr>
        <w:t>1.2  适用范围</w:t>
      </w:r>
      <w:bookmarkEnd w:id="17"/>
      <w:bookmarkEnd w:id="18"/>
      <w:bookmarkEnd w:id="19"/>
      <w:bookmarkEnd w:id="20"/>
    </w:p>
    <w:p w14:paraId="4F8A22A9">
      <w:pPr>
        <w:spacing w:after="120"/>
        <w:ind w:firstLine="397"/>
        <w:rPr>
          <w:rFonts w:hint="eastAsia"/>
          <w:sz w:val="24"/>
          <w:szCs w:val="24"/>
          <w:lang w:eastAsia="zh-CN"/>
        </w:rPr>
      </w:pPr>
      <w:r>
        <w:rPr>
          <w:sz w:val="24"/>
          <w:szCs w:val="24"/>
          <w:lang w:val="zh-CN" w:eastAsia="zh-CN"/>
        </w:rPr>
        <w:t>适用于中国海诚总部及下属各</w:t>
      </w:r>
      <w:r>
        <w:rPr>
          <w:rFonts w:hint="eastAsia"/>
          <w:sz w:val="24"/>
          <w:szCs w:val="24"/>
          <w:lang w:val="zh-CN" w:eastAsia="zh-CN"/>
        </w:rPr>
        <w:t>经营</w:t>
      </w:r>
      <w:r>
        <w:rPr>
          <w:sz w:val="24"/>
          <w:szCs w:val="24"/>
          <w:lang w:val="zh-CN" w:eastAsia="zh-CN"/>
        </w:rPr>
        <w:t>单位，在</w:t>
      </w:r>
      <w:r>
        <w:rPr>
          <w:rFonts w:hint="eastAsia"/>
          <w:sz w:val="24"/>
          <w:szCs w:val="24"/>
          <w:lang w:val="zh-CN" w:eastAsia="zh-CN"/>
        </w:rPr>
        <w:t>摩洛哥</w:t>
      </w:r>
      <w:r>
        <w:rPr>
          <w:sz w:val="24"/>
          <w:szCs w:val="24"/>
          <w:lang w:val="zh-CN" w:eastAsia="zh-CN"/>
        </w:rPr>
        <w:t>境内开展（或拟开展）工程项目时所涉及的财务管理活动。</w:t>
      </w:r>
    </w:p>
    <w:p w14:paraId="01609E8A">
      <w:pPr>
        <w:pStyle w:val="4"/>
        <w:rPr>
          <w:rFonts w:ascii="微软雅黑" w:hAnsi="微软雅黑" w:eastAsia="微软雅黑"/>
          <w:color w:val="auto"/>
          <w:lang w:eastAsia="zh-CN"/>
        </w:rPr>
      </w:pPr>
      <w:bookmarkStart w:id="21" w:name="_Toc8954"/>
      <w:bookmarkStart w:id="22" w:name="_Toc19745"/>
      <w:bookmarkStart w:id="23" w:name="_Toc20675"/>
      <w:bookmarkStart w:id="24" w:name="_Toc28897"/>
      <w:r>
        <w:rPr>
          <w:rFonts w:ascii="微软雅黑" w:hAnsi="微软雅黑" w:eastAsia="微软雅黑"/>
          <w:color w:val="auto"/>
          <w:lang w:val="zh-CN" w:eastAsia="zh-CN"/>
        </w:rPr>
        <w:t>1.3  编写原则</w:t>
      </w:r>
      <w:bookmarkEnd w:id="21"/>
      <w:bookmarkEnd w:id="22"/>
      <w:bookmarkEnd w:id="23"/>
      <w:bookmarkEnd w:id="24"/>
    </w:p>
    <w:p w14:paraId="3E71F815">
      <w:pPr>
        <w:spacing w:after="120"/>
        <w:ind w:firstLine="397"/>
        <w:rPr>
          <w:sz w:val="24"/>
          <w:szCs w:val="24"/>
          <w:lang w:eastAsia="zh-CN"/>
        </w:rPr>
      </w:pPr>
      <w:r>
        <w:rPr>
          <w:sz w:val="24"/>
          <w:szCs w:val="24"/>
          <w:lang w:val="zh-CN" w:eastAsia="zh-CN"/>
        </w:rPr>
        <w:t>本指南编写遵循以下原则：</w:t>
      </w:r>
    </w:p>
    <w:p w14:paraId="03C70196">
      <w:pPr>
        <w:spacing w:after="120"/>
        <w:ind w:firstLine="397"/>
        <w:rPr>
          <w:sz w:val="24"/>
          <w:szCs w:val="24"/>
          <w:lang w:eastAsia="zh-CN"/>
        </w:rPr>
      </w:pPr>
      <w:r>
        <w:rPr>
          <w:rFonts w:hint="eastAsia"/>
          <w:sz w:val="24"/>
          <w:szCs w:val="24"/>
          <w:lang w:val="en-US" w:eastAsia="zh-CN"/>
        </w:rPr>
        <w:t>公司</w:t>
      </w:r>
      <w:r>
        <w:rPr>
          <w:sz w:val="24"/>
          <w:szCs w:val="24"/>
          <w:lang w:val="zh-CN" w:eastAsia="zh-CN"/>
        </w:rPr>
        <w:t>制度已明确的原则性要求</w:t>
      </w:r>
      <w:r>
        <w:rPr>
          <w:rFonts w:hint="eastAsia"/>
          <w:sz w:val="24"/>
          <w:szCs w:val="24"/>
          <w:lang w:val="zh-CN" w:eastAsia="zh-CN"/>
        </w:rPr>
        <w:t>，如</w:t>
      </w:r>
      <w:r>
        <w:rPr>
          <w:sz w:val="24"/>
          <w:szCs w:val="24"/>
          <w:lang w:val="zh-CN" w:eastAsia="zh-CN"/>
        </w:rPr>
        <w:t>资金</w:t>
      </w:r>
      <w:r>
        <w:rPr>
          <w:rFonts w:hint="eastAsia"/>
          <w:sz w:val="24"/>
          <w:szCs w:val="24"/>
          <w:lang w:val="zh-CN" w:eastAsia="zh-CN"/>
        </w:rPr>
        <w:t>收支</w:t>
      </w:r>
      <w:r>
        <w:rPr>
          <w:sz w:val="24"/>
          <w:szCs w:val="24"/>
          <w:lang w:val="zh-CN" w:eastAsia="zh-CN"/>
        </w:rPr>
        <w:t>审批权限、</w:t>
      </w:r>
      <w:r>
        <w:rPr>
          <w:rFonts w:hint="eastAsia"/>
          <w:sz w:val="24"/>
          <w:szCs w:val="24"/>
          <w:lang w:val="zh-CN" w:eastAsia="zh-CN"/>
        </w:rPr>
        <w:t>保函开具格式、</w:t>
      </w:r>
      <w:r>
        <w:rPr>
          <w:sz w:val="24"/>
          <w:szCs w:val="24"/>
          <w:lang w:val="zh-CN" w:eastAsia="zh-CN"/>
        </w:rPr>
        <w:t>会计核算通用原则、档案管理等，本指南不</w:t>
      </w:r>
      <w:r>
        <w:rPr>
          <w:rFonts w:hint="eastAsia"/>
          <w:sz w:val="24"/>
          <w:szCs w:val="24"/>
          <w:lang w:val="zh-CN" w:eastAsia="zh-CN"/>
        </w:rPr>
        <w:t>重复引用</w:t>
      </w:r>
      <w:r>
        <w:rPr>
          <w:sz w:val="24"/>
          <w:szCs w:val="24"/>
          <w:lang w:val="zh-CN" w:eastAsia="zh-CN"/>
        </w:rPr>
        <w:t>。</w:t>
      </w:r>
    </w:p>
    <w:p w14:paraId="4B2C2A86">
      <w:pPr>
        <w:spacing w:after="120"/>
        <w:ind w:firstLine="397"/>
        <w:rPr>
          <w:rFonts w:hint="eastAsia"/>
          <w:sz w:val="24"/>
          <w:szCs w:val="24"/>
          <w:lang w:eastAsia="zh-CN"/>
        </w:rPr>
      </w:pPr>
      <w:r>
        <w:rPr>
          <w:rFonts w:hint="eastAsia"/>
          <w:sz w:val="24"/>
          <w:szCs w:val="24"/>
          <w:lang w:eastAsia="zh-CN"/>
        </w:rPr>
        <w:t>指南中</w:t>
      </w:r>
      <w:r>
        <w:rPr>
          <w:sz w:val="24"/>
          <w:szCs w:val="24"/>
          <w:lang w:val="zh-CN" w:eastAsia="zh-CN"/>
        </w:rPr>
        <w:t>内容</w:t>
      </w:r>
      <w:r>
        <w:rPr>
          <w:rFonts w:hint="eastAsia"/>
          <w:sz w:val="24"/>
          <w:szCs w:val="24"/>
          <w:lang w:val="zh-CN" w:eastAsia="zh-CN"/>
        </w:rPr>
        <w:t>均</w:t>
      </w:r>
      <w:r>
        <w:rPr>
          <w:sz w:val="24"/>
          <w:szCs w:val="24"/>
          <w:lang w:val="zh-CN" w:eastAsia="zh-CN"/>
        </w:rPr>
        <w:t>有已执行项目的经验支撑</w:t>
      </w:r>
      <w:r>
        <w:rPr>
          <w:rFonts w:hint="eastAsia"/>
          <w:sz w:val="24"/>
          <w:szCs w:val="24"/>
          <w:lang w:val="zh-CN" w:eastAsia="zh-CN"/>
        </w:rPr>
        <w:t>，后续各经营单位</w:t>
      </w:r>
      <w:r>
        <w:rPr>
          <w:sz w:val="24"/>
          <w:szCs w:val="24"/>
          <w:lang w:val="zh-CN" w:eastAsia="zh-CN"/>
        </w:rPr>
        <w:t>在</w:t>
      </w:r>
      <w:r>
        <w:rPr>
          <w:rFonts w:hint="eastAsia"/>
          <w:sz w:val="24"/>
          <w:szCs w:val="24"/>
          <w:lang w:val="zh-CN" w:eastAsia="zh-CN"/>
        </w:rPr>
        <w:t>摩洛哥</w:t>
      </w:r>
      <w:r>
        <w:rPr>
          <w:sz w:val="24"/>
          <w:szCs w:val="24"/>
          <w:lang w:val="zh-CN" w:eastAsia="zh-CN"/>
        </w:rPr>
        <w:t>执行项目后获得新信息、新案例，由</w:t>
      </w:r>
      <w:r>
        <w:rPr>
          <w:rFonts w:hint="eastAsia"/>
          <w:sz w:val="24"/>
          <w:szCs w:val="24"/>
          <w:lang w:val="zh-CN" w:eastAsia="zh-CN"/>
        </w:rPr>
        <w:t>总部财务资金管理中心</w:t>
      </w:r>
      <w:r>
        <w:rPr>
          <w:sz w:val="24"/>
          <w:szCs w:val="24"/>
          <w:lang w:val="zh-CN" w:eastAsia="zh-CN"/>
        </w:rPr>
        <w:t>指定单位</w:t>
      </w:r>
      <w:r>
        <w:rPr>
          <w:rFonts w:hint="eastAsia"/>
          <w:sz w:val="24"/>
          <w:szCs w:val="24"/>
          <w:lang w:val="zh-CN" w:eastAsia="zh-CN"/>
        </w:rPr>
        <w:t>另行</w:t>
      </w:r>
      <w:r>
        <w:rPr>
          <w:sz w:val="24"/>
          <w:szCs w:val="24"/>
          <w:lang w:val="zh-CN" w:eastAsia="zh-CN"/>
        </w:rPr>
        <w:t>更新</w:t>
      </w:r>
      <w:r>
        <w:rPr>
          <w:rFonts w:hint="eastAsia"/>
          <w:sz w:val="24"/>
          <w:szCs w:val="24"/>
          <w:lang w:val="zh-CN" w:eastAsia="zh-CN"/>
        </w:rPr>
        <w:t>，</w:t>
      </w:r>
      <w:r>
        <w:rPr>
          <w:sz w:val="24"/>
          <w:szCs w:val="24"/>
          <w:lang w:val="zh-CN" w:eastAsia="zh-CN"/>
        </w:rPr>
        <w:t>修订单位不限于原编写公司</w:t>
      </w:r>
      <w:r>
        <w:rPr>
          <w:lang w:val="zh-CN" w:eastAsia="zh-CN"/>
        </w:rPr>
        <w:t>。</w:t>
      </w:r>
    </w:p>
    <w:p w14:paraId="7868329D">
      <w:pPr>
        <w:rPr>
          <w:rFonts w:hint="eastAsia"/>
          <w:lang w:eastAsia="zh-CN"/>
        </w:rPr>
      </w:pPr>
      <w:r>
        <w:rPr>
          <w:lang w:val="zh-CN" w:eastAsia="zh-CN"/>
        </w:rPr>
        <w:br w:type="page"/>
      </w:r>
    </w:p>
    <w:p w14:paraId="506AAC5E">
      <w:pPr>
        <w:pStyle w:val="3"/>
        <w:rPr>
          <w:rFonts w:ascii="微软雅黑" w:hAnsi="微软雅黑" w:eastAsia="微软雅黑"/>
          <w:color w:val="auto"/>
          <w:lang w:eastAsia="zh-CN"/>
        </w:rPr>
      </w:pPr>
      <w:bookmarkStart w:id="25" w:name="_Toc13023"/>
      <w:bookmarkStart w:id="26" w:name="_Toc13010"/>
      <w:bookmarkStart w:id="27" w:name="_Toc30729"/>
      <w:bookmarkStart w:id="28" w:name="_Toc18965"/>
      <w:r>
        <w:rPr>
          <w:rFonts w:ascii="微软雅黑" w:hAnsi="微软雅黑" w:eastAsia="微软雅黑"/>
          <w:color w:val="auto"/>
          <w:lang w:val="zh-CN" w:eastAsia="zh-CN"/>
        </w:rPr>
        <w:t>第二章  国别财税环境速览</w:t>
      </w:r>
      <w:bookmarkEnd w:id="25"/>
      <w:bookmarkEnd w:id="26"/>
      <w:bookmarkEnd w:id="27"/>
      <w:bookmarkEnd w:id="28"/>
    </w:p>
    <w:p w14:paraId="2C1B9B9E">
      <w:pPr>
        <w:pStyle w:val="4"/>
        <w:rPr>
          <w:rFonts w:ascii="微软雅黑" w:hAnsi="微软雅黑" w:eastAsia="微软雅黑"/>
          <w:color w:val="auto"/>
        </w:rPr>
      </w:pPr>
      <w:bookmarkStart w:id="29" w:name="_Toc10977"/>
      <w:bookmarkStart w:id="30" w:name="_Toc26017"/>
      <w:bookmarkStart w:id="31" w:name="_Toc12870"/>
      <w:bookmarkStart w:id="32" w:name="_Toc6629"/>
      <w:r>
        <w:rPr>
          <w:rFonts w:ascii="微软雅黑" w:hAnsi="微软雅黑" w:eastAsia="微软雅黑"/>
          <w:color w:val="auto"/>
          <w:lang w:val="zh-CN" w:eastAsia="zh-CN"/>
        </w:rPr>
        <w:t>2.1  国别基础信息</w:t>
      </w:r>
      <w:bookmarkEnd w:id="29"/>
      <w:bookmarkEnd w:id="30"/>
      <w:bookmarkEnd w:id="31"/>
      <w:bookmarkEnd w:id="32"/>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4312"/>
        <w:gridCol w:w="4312"/>
      </w:tblGrid>
      <w:tr w14:paraId="4A0B88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shd w:val="clear" w:color="auto" w:fill="1F4E79"/>
            <w:vAlign w:val="center"/>
          </w:tcPr>
          <w:p w14:paraId="3A2DD065">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w:t>
            </w:r>
          </w:p>
        </w:tc>
        <w:tc>
          <w:tcPr>
            <w:tcW w:w="4312" w:type="dxa"/>
            <w:shd w:val="clear" w:color="auto" w:fill="1F4E79"/>
            <w:vAlign w:val="center"/>
          </w:tcPr>
          <w:p w14:paraId="0AA07DEC">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内容</w:t>
            </w:r>
          </w:p>
        </w:tc>
      </w:tr>
      <w:tr w14:paraId="6E6DB4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vAlign w:val="center"/>
          </w:tcPr>
          <w:p w14:paraId="3778A2FA">
            <w:pPr>
              <w:spacing w:before="40" w:after="40" w:line="240" w:lineRule="auto"/>
              <w:rPr>
                <w:rFonts w:hint="eastAsia"/>
                <w:szCs w:val="21"/>
              </w:rPr>
            </w:pPr>
            <w:r>
              <w:rPr>
                <w:szCs w:val="21"/>
                <w:lang w:val="zh-CN" w:eastAsia="zh-CN"/>
              </w:rPr>
              <w:t>官方语言</w:t>
            </w:r>
          </w:p>
        </w:tc>
        <w:tc>
          <w:tcPr>
            <w:tcW w:w="4312" w:type="dxa"/>
            <w:vAlign w:val="center"/>
          </w:tcPr>
          <w:p w14:paraId="2A1122B8">
            <w:pPr>
              <w:spacing w:before="40" w:after="40" w:line="240" w:lineRule="auto"/>
              <w:rPr>
                <w:rFonts w:hint="eastAsia"/>
                <w:szCs w:val="21"/>
              </w:rPr>
            </w:pPr>
            <w:r>
              <w:rPr>
                <w:rFonts w:hint="eastAsia"/>
                <w:szCs w:val="21"/>
              </w:rPr>
              <w:t>阿拉伯语和柏柏尔语，通用法语</w:t>
            </w:r>
          </w:p>
        </w:tc>
      </w:tr>
      <w:tr w14:paraId="238BD4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vAlign w:val="center"/>
          </w:tcPr>
          <w:p w14:paraId="01BCF829">
            <w:pPr>
              <w:spacing w:before="40" w:after="40" w:line="240" w:lineRule="auto"/>
              <w:rPr>
                <w:rFonts w:hint="eastAsia"/>
                <w:szCs w:val="21"/>
              </w:rPr>
            </w:pPr>
            <w:r>
              <w:rPr>
                <w:szCs w:val="21"/>
                <w:lang w:val="zh-CN" w:eastAsia="zh-CN"/>
              </w:rPr>
              <w:t>当地货币</w:t>
            </w:r>
          </w:p>
        </w:tc>
        <w:tc>
          <w:tcPr>
            <w:tcW w:w="4312" w:type="dxa"/>
            <w:vAlign w:val="center"/>
          </w:tcPr>
          <w:p w14:paraId="4988E37B">
            <w:pPr>
              <w:spacing w:before="40" w:after="40" w:line="240" w:lineRule="auto"/>
              <w:rPr>
                <w:rFonts w:hint="default" w:eastAsia="微软雅黑"/>
                <w:szCs w:val="21"/>
                <w:lang w:val="en-US" w:eastAsia="zh-CN"/>
              </w:rPr>
            </w:pPr>
            <w:r>
              <w:rPr>
                <w:rFonts w:hint="eastAsia"/>
                <w:szCs w:val="21"/>
                <w:lang w:val="en-US" w:eastAsia="zh-CN"/>
              </w:rPr>
              <w:t>摩洛哥迪拉姆（MAD）</w:t>
            </w:r>
          </w:p>
        </w:tc>
      </w:tr>
      <w:tr w14:paraId="2F970E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vAlign w:val="center"/>
          </w:tcPr>
          <w:p w14:paraId="46615C46">
            <w:pPr>
              <w:spacing w:before="40" w:after="40" w:line="240" w:lineRule="auto"/>
              <w:rPr>
                <w:rFonts w:hint="eastAsia"/>
                <w:szCs w:val="21"/>
                <w:lang w:eastAsia="zh-CN"/>
              </w:rPr>
            </w:pPr>
            <w:r>
              <w:rPr>
                <w:szCs w:val="21"/>
                <w:lang w:val="zh-CN" w:eastAsia="zh-CN"/>
              </w:rPr>
              <w:t>参考汇率</w:t>
            </w:r>
          </w:p>
        </w:tc>
        <w:tc>
          <w:tcPr>
            <w:tcW w:w="4312" w:type="dxa"/>
            <w:vAlign w:val="center"/>
          </w:tcPr>
          <w:p w14:paraId="201DBAE1">
            <w:pPr>
              <w:spacing w:before="40" w:after="40" w:line="240" w:lineRule="auto"/>
              <w:rPr>
                <w:rFonts w:hint="default"/>
                <w:szCs w:val="21"/>
                <w:lang w:val="en-US" w:eastAsia="zh-CN"/>
              </w:rPr>
            </w:pPr>
            <w:r>
              <w:rPr>
                <w:rFonts w:hint="eastAsia"/>
                <w:szCs w:val="21"/>
                <w:lang w:val="en-US" w:eastAsia="zh-CN"/>
              </w:rPr>
              <w:t>1MAD≈0.73CNY（2026年6月）</w:t>
            </w:r>
          </w:p>
        </w:tc>
      </w:tr>
      <w:tr w14:paraId="6EF343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vAlign w:val="center"/>
          </w:tcPr>
          <w:p w14:paraId="51097B4B">
            <w:pPr>
              <w:spacing w:before="40" w:after="40" w:line="240" w:lineRule="auto"/>
              <w:rPr>
                <w:rFonts w:hint="eastAsia"/>
                <w:szCs w:val="21"/>
              </w:rPr>
            </w:pPr>
            <w:r>
              <w:rPr>
                <w:szCs w:val="21"/>
                <w:lang w:val="zh-CN" w:eastAsia="zh-CN"/>
              </w:rPr>
              <w:t>时差（对北京时间）</w:t>
            </w:r>
          </w:p>
        </w:tc>
        <w:tc>
          <w:tcPr>
            <w:tcW w:w="4312" w:type="dxa"/>
            <w:vAlign w:val="center"/>
          </w:tcPr>
          <w:p w14:paraId="73CBDD3C">
            <w:pPr>
              <w:spacing w:before="40" w:after="40" w:line="240" w:lineRule="auto"/>
              <w:rPr>
                <w:rFonts w:hint="default" w:eastAsia="微软雅黑"/>
                <w:szCs w:val="21"/>
                <w:lang w:val="en-US" w:eastAsia="zh-CN"/>
              </w:rPr>
            </w:pPr>
            <w:r>
              <w:rPr>
                <w:rFonts w:hint="eastAsia"/>
                <w:szCs w:val="21"/>
                <w:lang w:val="en-US" w:eastAsia="zh-CN"/>
              </w:rPr>
              <w:t>比中国北京慢7小时</w:t>
            </w:r>
          </w:p>
        </w:tc>
      </w:tr>
      <w:tr w14:paraId="35BDEA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312" w:type="dxa"/>
            <w:vAlign w:val="center"/>
          </w:tcPr>
          <w:p w14:paraId="446FFB8E">
            <w:pPr>
              <w:spacing w:before="40" w:after="40" w:line="240" w:lineRule="auto"/>
              <w:rPr>
                <w:rFonts w:hint="eastAsia"/>
                <w:szCs w:val="21"/>
              </w:rPr>
            </w:pPr>
            <w:r>
              <w:rPr>
                <w:szCs w:val="21"/>
                <w:lang w:val="zh-CN" w:eastAsia="zh-CN"/>
              </w:rPr>
              <w:t>中</w:t>
            </w:r>
            <w:r>
              <w:rPr>
                <w:rFonts w:hint="eastAsia"/>
                <w:szCs w:val="21"/>
                <w:lang w:val="en-US" w:eastAsia="zh-CN"/>
              </w:rPr>
              <w:t>摩</w:t>
            </w:r>
            <w:r>
              <w:rPr>
                <w:szCs w:val="21"/>
                <w:lang w:val="zh-CN" w:eastAsia="zh-CN"/>
              </w:rPr>
              <w:t>税收协定</w:t>
            </w:r>
          </w:p>
        </w:tc>
        <w:tc>
          <w:tcPr>
            <w:tcW w:w="4312" w:type="dxa"/>
            <w:vAlign w:val="center"/>
          </w:tcPr>
          <w:p w14:paraId="171257C5">
            <w:pPr>
              <w:spacing w:before="40" w:after="40" w:line="240" w:lineRule="auto"/>
              <w:rPr>
                <w:rFonts w:hint="eastAsia" w:eastAsia="微软雅黑"/>
                <w:szCs w:val="21"/>
                <w:lang w:eastAsia="zh-CN"/>
              </w:rPr>
            </w:pPr>
            <w:r>
              <w:rPr>
                <w:rFonts w:hint="eastAsia"/>
                <w:szCs w:val="21"/>
              </w:rPr>
              <w:t>2002年8月27日签署，2006年8月生效</w:t>
            </w:r>
            <w:r>
              <w:rPr>
                <w:rFonts w:hint="eastAsia"/>
                <w:szCs w:val="21"/>
                <w:lang w:eastAsia="zh-CN"/>
              </w:rPr>
              <w:t>，2007年1月开始执行。</w:t>
            </w:r>
          </w:p>
        </w:tc>
      </w:tr>
    </w:tbl>
    <w:p w14:paraId="416BA99A">
      <w:pPr>
        <w:pStyle w:val="4"/>
        <w:rPr>
          <w:rFonts w:ascii="微软雅黑" w:hAnsi="微软雅黑" w:eastAsia="微软雅黑"/>
          <w:color w:val="auto"/>
        </w:rPr>
      </w:pPr>
      <w:bookmarkStart w:id="33" w:name="_Toc18561"/>
      <w:bookmarkStart w:id="34" w:name="_Toc16041"/>
      <w:bookmarkStart w:id="35" w:name="_Toc12683"/>
      <w:bookmarkStart w:id="36" w:name="_Toc11378"/>
      <w:r>
        <w:rPr>
          <w:rFonts w:ascii="微软雅黑" w:hAnsi="微软雅黑" w:eastAsia="微软雅黑"/>
          <w:color w:val="auto"/>
          <w:lang w:val="zh-CN" w:eastAsia="zh-CN"/>
        </w:rPr>
        <w:t>2.2  核心税种速览表</w:t>
      </w:r>
      <w:bookmarkEnd w:id="33"/>
      <w:bookmarkEnd w:id="34"/>
      <w:bookmarkEnd w:id="35"/>
      <w:bookmarkEnd w:id="36"/>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08" w:type="dxa"/>
          <w:bottom w:w="0" w:type="dxa"/>
          <w:right w:w="108" w:type="dxa"/>
        </w:tblCellMar>
      </w:tblPr>
      <w:tblGrid>
        <w:gridCol w:w="1204"/>
        <w:gridCol w:w="1598"/>
        <w:gridCol w:w="1490"/>
        <w:gridCol w:w="1812"/>
        <w:gridCol w:w="1400"/>
        <w:gridCol w:w="1130"/>
      </w:tblGrid>
      <w:tr w14:paraId="62DDD12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1204" w:type="dxa"/>
            <w:shd w:val="clear" w:color="auto" w:fill="1F4E79"/>
            <w:vAlign w:val="center"/>
          </w:tcPr>
          <w:p w14:paraId="5A5644D9">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税种</w:t>
            </w:r>
          </w:p>
        </w:tc>
        <w:tc>
          <w:tcPr>
            <w:tcW w:w="1598" w:type="dxa"/>
            <w:shd w:val="clear" w:color="auto" w:fill="1F4E79"/>
            <w:vAlign w:val="center"/>
          </w:tcPr>
          <w:p w14:paraId="3A9C12BF">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标准税率</w:t>
            </w:r>
          </w:p>
        </w:tc>
        <w:tc>
          <w:tcPr>
            <w:tcW w:w="1490" w:type="dxa"/>
            <w:shd w:val="clear" w:color="auto" w:fill="1F4E79"/>
            <w:vAlign w:val="center"/>
          </w:tcPr>
          <w:p w14:paraId="3BD33012">
            <w:pPr>
              <w:spacing w:before="40" w:after="40" w:line="240" w:lineRule="auto"/>
              <w:jc w:val="center"/>
              <w:rPr>
                <w:b/>
                <w:color w:val="FFFFFF" w:themeColor="background1"/>
                <w:szCs w:val="28"/>
                <w:lang w:val="zh-CN" w:eastAsia="zh-CN"/>
                <w14:textFill>
                  <w14:solidFill>
                    <w14:schemeClr w14:val="bg1"/>
                  </w14:solidFill>
                </w14:textFill>
              </w:rPr>
            </w:pPr>
            <w:r>
              <w:rPr>
                <w:b/>
                <w:color w:val="FFFFFF" w:themeColor="background1"/>
                <w:szCs w:val="28"/>
                <w:lang w:val="zh-CN" w:eastAsia="zh-CN"/>
                <w14:textFill>
                  <w14:solidFill>
                    <w14:schemeClr w14:val="bg1"/>
                  </w14:solidFill>
                </w14:textFill>
              </w:rPr>
              <w:t>税收优惠</w:t>
            </w:r>
          </w:p>
          <w:p w14:paraId="10880208">
            <w:pPr>
              <w:spacing w:before="40" w:after="40" w:line="240" w:lineRule="auto"/>
              <w:jc w:val="center"/>
              <w:rPr>
                <w:rFonts w:hint="eastAsia"/>
                <w:color w:val="FFFFFF" w:themeColor="background1"/>
                <w:szCs w:val="28"/>
                <w14:textFill>
                  <w14:solidFill>
                    <w14:schemeClr w14:val="bg1"/>
                  </w14:solidFill>
                </w14:textFill>
              </w:rPr>
            </w:pPr>
            <w:r>
              <w:rPr>
                <w:rFonts w:hint="eastAsia"/>
                <w:b/>
                <w:color w:val="FFFFFF" w:themeColor="background1"/>
                <w:szCs w:val="28"/>
                <w:lang w:val="zh-CN" w:eastAsia="zh-CN"/>
                <w14:textFill>
                  <w14:solidFill>
                    <w14:schemeClr w14:val="bg1"/>
                  </w14:solidFill>
                </w14:textFill>
              </w:rPr>
              <w:t>（如有）</w:t>
            </w:r>
          </w:p>
        </w:tc>
        <w:tc>
          <w:tcPr>
            <w:tcW w:w="1812" w:type="dxa"/>
            <w:shd w:val="clear" w:color="auto" w:fill="1F4E79"/>
            <w:vAlign w:val="center"/>
          </w:tcPr>
          <w:p w14:paraId="4CC29BD0">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申报周期</w:t>
            </w:r>
          </w:p>
        </w:tc>
        <w:tc>
          <w:tcPr>
            <w:tcW w:w="1400" w:type="dxa"/>
            <w:shd w:val="clear" w:color="auto" w:fill="1F4E79"/>
            <w:vAlign w:val="center"/>
          </w:tcPr>
          <w:p w14:paraId="60E04929">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申报截止日</w:t>
            </w:r>
          </w:p>
        </w:tc>
        <w:tc>
          <w:tcPr>
            <w:tcW w:w="1130" w:type="dxa"/>
            <w:shd w:val="clear" w:color="auto" w:fill="1F4E79"/>
            <w:vAlign w:val="center"/>
          </w:tcPr>
          <w:p w14:paraId="1763987E">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来源</w:t>
            </w:r>
          </w:p>
        </w:tc>
      </w:tr>
      <w:tr w14:paraId="11950B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204" w:type="dxa"/>
            <w:vAlign w:val="center"/>
          </w:tcPr>
          <w:p w14:paraId="72AD5B32">
            <w:pPr>
              <w:spacing w:before="40" w:after="40" w:line="240" w:lineRule="auto"/>
              <w:rPr>
                <w:rFonts w:hint="eastAsia"/>
                <w:szCs w:val="28"/>
              </w:rPr>
            </w:pPr>
            <w:r>
              <w:rPr>
                <w:szCs w:val="28"/>
                <w:lang w:val="zh-CN" w:eastAsia="zh-CN"/>
              </w:rPr>
              <w:t>企业所得税</w:t>
            </w:r>
          </w:p>
        </w:tc>
        <w:tc>
          <w:tcPr>
            <w:tcW w:w="1598" w:type="dxa"/>
            <w:vAlign w:val="center"/>
          </w:tcPr>
          <w:p w14:paraId="7F90766F">
            <w:pPr>
              <w:spacing w:before="40" w:after="40" w:line="240" w:lineRule="auto"/>
              <w:rPr>
                <w:rFonts w:hint="default" w:eastAsia="微软雅黑"/>
                <w:szCs w:val="28"/>
                <w:lang w:val="en-US" w:eastAsia="zh-CN"/>
              </w:rPr>
            </w:pPr>
            <w:r>
              <w:rPr>
                <w:rFonts w:hint="eastAsia"/>
                <w:szCs w:val="28"/>
                <w:lang w:val="en-US" w:eastAsia="zh-CN"/>
              </w:rPr>
              <w:t>应纳税所得额1亿MAD以下20%；1亿MAD以上35%</w:t>
            </w:r>
          </w:p>
        </w:tc>
        <w:tc>
          <w:tcPr>
            <w:tcW w:w="1490" w:type="dxa"/>
            <w:vAlign w:val="center"/>
          </w:tcPr>
          <w:p w14:paraId="641C8878">
            <w:pPr>
              <w:spacing w:before="40" w:after="40" w:line="240" w:lineRule="auto"/>
              <w:rPr>
                <w:rFonts w:hint="eastAsia"/>
                <w:szCs w:val="28"/>
              </w:rPr>
            </w:pPr>
            <w:r>
              <w:rPr>
                <w:rFonts w:hint="eastAsia"/>
                <w:szCs w:val="28"/>
              </w:rPr>
              <w:t>从事工程、建筑或组装活动，或从事工业技术设备安装的外国承包商，可以选择以合同所得（不含增值税）的8%作为税基计算公司税。</w:t>
            </w:r>
          </w:p>
        </w:tc>
        <w:tc>
          <w:tcPr>
            <w:tcW w:w="1812" w:type="dxa"/>
            <w:vAlign w:val="center"/>
          </w:tcPr>
          <w:p w14:paraId="35AC3F15">
            <w:pPr>
              <w:spacing w:before="40" w:after="40" w:line="240" w:lineRule="auto"/>
              <w:jc w:val="both"/>
              <w:rPr>
                <w:rFonts w:hint="eastAsia"/>
                <w:szCs w:val="28"/>
              </w:rPr>
            </w:pPr>
            <w:r>
              <w:rPr>
                <w:rFonts w:hint="eastAsia"/>
                <w:szCs w:val="28"/>
              </w:rPr>
              <w:t>按季度预缴，在本财政年度开始后的第3、6、9及12月结束时缴付预缴税款。每一季度预缴税款不得低于上一财政年度已缴税款的25%。</w:t>
            </w:r>
          </w:p>
        </w:tc>
        <w:tc>
          <w:tcPr>
            <w:tcW w:w="1400" w:type="dxa"/>
            <w:vAlign w:val="center"/>
          </w:tcPr>
          <w:p w14:paraId="2BFCDA27">
            <w:pPr>
              <w:spacing w:before="40" w:after="40" w:line="240" w:lineRule="auto"/>
              <w:rPr>
                <w:rFonts w:hint="eastAsia"/>
                <w:iCs/>
                <w:szCs w:val="28"/>
              </w:rPr>
            </w:pPr>
            <w:r>
              <w:rPr>
                <w:rFonts w:hint="eastAsia"/>
                <w:iCs/>
                <w:szCs w:val="28"/>
              </w:rPr>
              <w:t>企业必须在财政年度账目结清后计算应缴税款，并在下一财政年度开始的3个月内完成纳税申报。</w:t>
            </w:r>
          </w:p>
        </w:tc>
        <w:tc>
          <w:tcPr>
            <w:tcW w:w="1130" w:type="dxa"/>
            <w:vAlign w:val="center"/>
          </w:tcPr>
          <w:p w14:paraId="1E49D5A0">
            <w:pPr>
              <w:spacing w:before="40" w:after="40" w:line="240" w:lineRule="auto"/>
              <w:rPr>
                <w:rFonts w:hint="eastAsia"/>
                <w:iCs/>
                <w:szCs w:val="28"/>
                <w:lang w:eastAsia="zh-CN"/>
              </w:rPr>
            </w:pPr>
            <w:r>
              <w:rPr>
                <w:rFonts w:hint="eastAsia"/>
                <w:iCs/>
                <w:szCs w:val="28"/>
                <w:lang w:eastAsia="zh-CN"/>
              </w:rPr>
              <w:t>官方文件</w:t>
            </w:r>
          </w:p>
        </w:tc>
      </w:tr>
      <w:tr w14:paraId="0FEA80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204" w:type="dxa"/>
            <w:vAlign w:val="center"/>
          </w:tcPr>
          <w:p w14:paraId="1DDCA170">
            <w:pPr>
              <w:spacing w:before="40" w:after="40" w:line="240" w:lineRule="auto"/>
              <w:rPr>
                <w:rFonts w:hint="eastAsia"/>
                <w:szCs w:val="28"/>
              </w:rPr>
            </w:pPr>
            <w:r>
              <w:rPr>
                <w:szCs w:val="28"/>
                <w:lang w:val="zh-CN" w:eastAsia="zh-CN"/>
              </w:rPr>
              <w:t>增值税</w:t>
            </w:r>
          </w:p>
        </w:tc>
        <w:tc>
          <w:tcPr>
            <w:tcW w:w="1598" w:type="dxa"/>
            <w:vAlign w:val="center"/>
          </w:tcPr>
          <w:p w14:paraId="342A18B6">
            <w:pPr>
              <w:spacing w:before="40" w:after="40" w:line="240" w:lineRule="auto"/>
              <w:rPr>
                <w:rFonts w:hint="default" w:eastAsia="微软雅黑"/>
                <w:szCs w:val="28"/>
                <w:lang w:val="en-US" w:eastAsia="zh-CN"/>
              </w:rPr>
            </w:pPr>
            <w:r>
              <w:rPr>
                <w:rFonts w:hint="eastAsia"/>
                <w:szCs w:val="28"/>
                <w:lang w:val="en-US" w:eastAsia="zh-CN"/>
              </w:rPr>
              <w:t>20%</w:t>
            </w:r>
          </w:p>
        </w:tc>
        <w:tc>
          <w:tcPr>
            <w:tcW w:w="1490" w:type="dxa"/>
            <w:vAlign w:val="center"/>
          </w:tcPr>
          <w:p w14:paraId="4E02BB7C">
            <w:pPr>
              <w:spacing w:before="40" w:after="40" w:line="240" w:lineRule="auto"/>
              <w:rPr>
                <w:rFonts w:hint="eastAsia"/>
                <w:szCs w:val="28"/>
              </w:rPr>
            </w:pPr>
            <w:r>
              <w:rPr>
                <w:rFonts w:hint="eastAsia"/>
                <w:szCs w:val="28"/>
              </w:rPr>
              <w:t>直接进口和当地采购的装备，其增值税可以用于抵扣。</w:t>
            </w:r>
          </w:p>
        </w:tc>
        <w:tc>
          <w:tcPr>
            <w:tcW w:w="1812" w:type="dxa"/>
            <w:vAlign w:val="center"/>
          </w:tcPr>
          <w:p w14:paraId="59DF54D1">
            <w:pPr>
              <w:spacing w:before="40" w:after="40" w:line="240" w:lineRule="auto"/>
              <w:jc w:val="both"/>
              <w:rPr>
                <w:rFonts w:hint="eastAsia"/>
                <w:szCs w:val="28"/>
              </w:rPr>
            </w:pPr>
            <w:r>
              <w:rPr>
                <w:rFonts w:hint="eastAsia"/>
                <w:szCs w:val="28"/>
              </w:rPr>
              <w:t>增值税一般在线上按月申报，但有两种例外情况，可以按季度提交申报：（1）前一年的年营业收入低于100万摩洛哥迪拉姆，包括新注册的企业；（2）非居民纳税人需要缴纳增值税的情况。</w:t>
            </w:r>
          </w:p>
        </w:tc>
        <w:tc>
          <w:tcPr>
            <w:tcW w:w="1400" w:type="dxa"/>
            <w:vAlign w:val="center"/>
          </w:tcPr>
          <w:p w14:paraId="67C5CEC8">
            <w:pPr>
              <w:spacing w:before="40" w:after="40" w:line="240" w:lineRule="auto"/>
              <w:rPr>
                <w:rFonts w:hint="eastAsia"/>
                <w:szCs w:val="28"/>
              </w:rPr>
            </w:pPr>
            <w:r>
              <w:rPr>
                <w:rFonts w:hint="eastAsia"/>
                <w:szCs w:val="28"/>
              </w:rPr>
              <w:t>申报表和增值税税款应在申报期结束后的次月20日之前提交</w:t>
            </w:r>
          </w:p>
        </w:tc>
        <w:tc>
          <w:tcPr>
            <w:tcW w:w="1130" w:type="dxa"/>
            <w:vAlign w:val="center"/>
          </w:tcPr>
          <w:p w14:paraId="2A9ACE56">
            <w:pPr>
              <w:spacing w:before="40" w:after="40" w:line="240" w:lineRule="auto"/>
              <w:rPr>
                <w:rFonts w:hint="eastAsia"/>
                <w:szCs w:val="28"/>
              </w:rPr>
            </w:pPr>
            <w:r>
              <w:rPr>
                <w:rFonts w:hint="eastAsia"/>
                <w:iCs/>
                <w:szCs w:val="28"/>
                <w:lang w:eastAsia="zh-CN"/>
              </w:rPr>
              <w:t>官方文件</w:t>
            </w:r>
          </w:p>
        </w:tc>
      </w:tr>
      <w:tr w14:paraId="2A2B7D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restart"/>
            <w:vAlign w:val="center"/>
          </w:tcPr>
          <w:p w14:paraId="15A50378">
            <w:pPr>
              <w:spacing w:before="40" w:after="40" w:line="240" w:lineRule="auto"/>
              <w:rPr>
                <w:rFonts w:hint="default"/>
                <w:szCs w:val="28"/>
                <w:lang w:val="en-US" w:eastAsia="zh-CN"/>
              </w:rPr>
            </w:pPr>
            <w:r>
              <w:rPr>
                <w:szCs w:val="28"/>
                <w:lang w:val="zh-CN" w:eastAsia="zh-CN"/>
              </w:rPr>
              <w:t>预提税</w:t>
            </w:r>
          </w:p>
        </w:tc>
        <w:tc>
          <w:tcPr>
            <w:tcW w:w="1598" w:type="dxa"/>
            <w:vAlign w:val="center"/>
          </w:tcPr>
          <w:p w14:paraId="1719FFAD">
            <w:pPr>
              <w:spacing w:before="40" w:after="40" w:line="240" w:lineRule="auto"/>
              <w:jc w:val="left"/>
              <w:rPr>
                <w:rFonts w:hint="eastAsia"/>
                <w:sz w:val="18"/>
                <w:szCs w:val="18"/>
                <w:lang w:val="en-US" w:eastAsia="zh-CN"/>
              </w:rPr>
            </w:pPr>
            <w:r>
              <w:rPr>
                <w:rFonts w:hint="eastAsia"/>
                <w:sz w:val="18"/>
                <w:szCs w:val="18"/>
                <w:lang w:val="en-US" w:eastAsia="zh-CN"/>
              </w:rPr>
              <w:t>股息：</w:t>
            </w:r>
          </w:p>
          <w:p w14:paraId="550CF47A">
            <w:pPr>
              <w:spacing w:before="40" w:after="40" w:line="240" w:lineRule="auto"/>
              <w:jc w:val="left"/>
              <w:rPr>
                <w:rFonts w:hint="eastAsia"/>
                <w:sz w:val="18"/>
                <w:szCs w:val="18"/>
                <w:lang w:val="en-US" w:eastAsia="zh-CN"/>
              </w:rPr>
            </w:pPr>
            <w:r>
              <w:rPr>
                <w:rFonts w:hint="eastAsia"/>
                <w:sz w:val="18"/>
                <w:szCs w:val="18"/>
                <w:lang w:val="en-US" w:eastAsia="zh-CN"/>
              </w:rPr>
              <w:t>11.25%（2026年度）；</w:t>
            </w:r>
          </w:p>
          <w:p w14:paraId="19FC2AB7">
            <w:pPr>
              <w:spacing w:before="40" w:after="40" w:line="240" w:lineRule="auto"/>
              <w:jc w:val="left"/>
              <w:rPr>
                <w:rFonts w:hint="default"/>
                <w:szCs w:val="28"/>
                <w:lang w:val="en-US" w:eastAsia="zh-CN"/>
              </w:rPr>
            </w:pPr>
            <w:r>
              <w:rPr>
                <w:rFonts w:hint="eastAsia"/>
                <w:sz w:val="18"/>
                <w:szCs w:val="18"/>
                <w:lang w:val="en-US" w:eastAsia="zh-CN"/>
              </w:rPr>
              <w:t>10%（2027年度</w:t>
            </w:r>
          </w:p>
        </w:tc>
        <w:tc>
          <w:tcPr>
            <w:tcW w:w="1490" w:type="dxa"/>
            <w:vMerge w:val="restart"/>
            <w:vAlign w:val="center"/>
          </w:tcPr>
          <w:p w14:paraId="23B03FE6">
            <w:pPr>
              <w:spacing w:before="40" w:after="40" w:line="240" w:lineRule="auto"/>
              <w:rPr>
                <w:rFonts w:hint="eastAsia"/>
                <w:szCs w:val="28"/>
                <w:lang w:eastAsia="zh-CN"/>
              </w:rPr>
            </w:pPr>
            <w:r>
              <w:rPr>
                <w:rFonts w:hint="eastAsia"/>
                <w:szCs w:val="28"/>
                <w:lang w:eastAsia="zh-CN"/>
              </w:rPr>
              <w:t>中摩税收协定对股息、利息</w:t>
            </w:r>
          </w:p>
          <w:p w14:paraId="39D8F4FF">
            <w:pPr>
              <w:spacing w:before="40" w:after="40" w:line="240" w:lineRule="auto"/>
              <w:rPr>
                <w:rFonts w:hint="eastAsia"/>
                <w:szCs w:val="28"/>
                <w:lang w:eastAsia="zh-CN"/>
              </w:rPr>
            </w:pPr>
            <w:r>
              <w:rPr>
                <w:rFonts w:hint="eastAsia"/>
                <w:szCs w:val="28"/>
                <w:lang w:eastAsia="zh-CN"/>
              </w:rPr>
              <w:t>及特许权使用费的征税额进行了限制：如果受益所有人是中国居</w:t>
            </w:r>
          </w:p>
          <w:p w14:paraId="6D0BD0B9">
            <w:pPr>
              <w:spacing w:before="40" w:after="40" w:line="240" w:lineRule="auto"/>
              <w:rPr>
                <w:rFonts w:hint="default" w:eastAsia="微软雅黑"/>
                <w:szCs w:val="28"/>
                <w:lang w:val="en-US" w:eastAsia="zh-CN"/>
              </w:rPr>
            </w:pPr>
            <w:r>
              <w:rPr>
                <w:rFonts w:hint="eastAsia"/>
                <w:szCs w:val="28"/>
                <w:lang w:eastAsia="zh-CN"/>
              </w:rPr>
              <w:t>民，协定限定了摩洛哥适用的税率最高为10%。</w:t>
            </w:r>
          </w:p>
        </w:tc>
        <w:tc>
          <w:tcPr>
            <w:tcW w:w="1812" w:type="dxa"/>
            <w:vMerge w:val="restart"/>
            <w:vAlign w:val="center"/>
          </w:tcPr>
          <w:p w14:paraId="79533254">
            <w:pPr>
              <w:spacing w:before="40" w:after="40" w:line="240" w:lineRule="auto"/>
              <w:jc w:val="both"/>
              <w:rPr>
                <w:rFonts w:hint="eastAsia"/>
                <w:szCs w:val="28"/>
              </w:rPr>
            </w:pPr>
            <w:r>
              <w:rPr>
                <w:rFonts w:hint="eastAsia"/>
                <w:szCs w:val="28"/>
              </w:rPr>
              <w:t>居民企业向非居民企业支付股息红利、利息、特许权使用费及其他费用均需代扣代缴公司税。在摩洛哥未设立常设机构的非居民企业取得的来自于摩洛哥的收入由支付人代扣代缴公司税。</w:t>
            </w:r>
          </w:p>
        </w:tc>
        <w:tc>
          <w:tcPr>
            <w:tcW w:w="1400" w:type="dxa"/>
            <w:vMerge w:val="restart"/>
            <w:vAlign w:val="center"/>
          </w:tcPr>
          <w:p w14:paraId="07BEBABA">
            <w:pPr>
              <w:spacing w:before="40" w:after="40" w:line="240" w:lineRule="auto"/>
              <w:rPr>
                <w:rFonts w:hint="eastAsia" w:eastAsia="微软雅黑"/>
                <w:szCs w:val="28"/>
                <w:lang w:val="en-US" w:eastAsia="zh-CN"/>
              </w:rPr>
            </w:pPr>
            <w:r>
              <w:rPr>
                <w:rFonts w:hint="eastAsia"/>
                <w:szCs w:val="28"/>
                <w:lang w:val="en-US" w:eastAsia="zh-CN"/>
              </w:rPr>
              <w:t>源泉扣缴</w:t>
            </w:r>
          </w:p>
        </w:tc>
        <w:tc>
          <w:tcPr>
            <w:tcW w:w="1130" w:type="dxa"/>
            <w:vMerge w:val="restart"/>
            <w:vAlign w:val="center"/>
          </w:tcPr>
          <w:p w14:paraId="3B0E2EF0">
            <w:pPr>
              <w:spacing w:before="40" w:after="40" w:line="240" w:lineRule="auto"/>
              <w:rPr>
                <w:rFonts w:hint="eastAsia"/>
                <w:szCs w:val="28"/>
              </w:rPr>
            </w:pPr>
            <w:r>
              <w:rPr>
                <w:rFonts w:hint="eastAsia"/>
                <w:iCs/>
                <w:szCs w:val="28"/>
                <w:lang w:eastAsia="zh-CN"/>
              </w:rPr>
              <w:t>官方文件</w:t>
            </w:r>
          </w:p>
        </w:tc>
      </w:tr>
      <w:tr w14:paraId="06A179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continue"/>
            <w:vAlign w:val="center"/>
          </w:tcPr>
          <w:p w14:paraId="25FEB662">
            <w:pPr>
              <w:spacing w:before="40" w:after="40" w:line="240" w:lineRule="auto"/>
              <w:rPr>
                <w:rFonts w:hint="default" w:eastAsia="微软雅黑"/>
                <w:lang w:val="en-US" w:eastAsia="zh-CN"/>
              </w:rPr>
            </w:pPr>
          </w:p>
        </w:tc>
        <w:tc>
          <w:tcPr>
            <w:tcW w:w="1598" w:type="dxa"/>
            <w:vAlign w:val="center"/>
          </w:tcPr>
          <w:p w14:paraId="4E6B92AA">
            <w:pPr>
              <w:spacing w:before="40" w:after="40" w:line="240" w:lineRule="auto"/>
              <w:rPr>
                <w:rFonts w:hint="default"/>
                <w:szCs w:val="28"/>
                <w:lang w:val="en-US" w:eastAsia="zh-CN"/>
              </w:rPr>
            </w:pPr>
            <w:r>
              <w:rPr>
                <w:rFonts w:hint="eastAsia"/>
                <w:szCs w:val="28"/>
                <w:lang w:val="en-US" w:eastAsia="zh-CN"/>
              </w:rPr>
              <w:t>利息：10%</w:t>
            </w:r>
          </w:p>
        </w:tc>
        <w:tc>
          <w:tcPr>
            <w:tcW w:w="1490" w:type="dxa"/>
            <w:vMerge w:val="continue"/>
            <w:vAlign w:val="center"/>
          </w:tcPr>
          <w:p w14:paraId="19E1B709">
            <w:pPr>
              <w:spacing w:before="40" w:after="40" w:line="240" w:lineRule="auto"/>
              <w:rPr>
                <w:rFonts w:hint="eastAsia"/>
                <w:szCs w:val="28"/>
                <w:lang w:val="en-US" w:eastAsia="zh-CN"/>
              </w:rPr>
            </w:pPr>
          </w:p>
        </w:tc>
        <w:tc>
          <w:tcPr>
            <w:tcW w:w="1812" w:type="dxa"/>
            <w:vMerge w:val="continue"/>
            <w:vAlign w:val="center"/>
          </w:tcPr>
          <w:p w14:paraId="3CF9E2AA">
            <w:pPr>
              <w:spacing w:before="40" w:after="40" w:line="240" w:lineRule="auto"/>
              <w:rPr>
                <w:rFonts w:hint="eastAsia"/>
                <w:szCs w:val="28"/>
                <w:lang w:val="en-US" w:eastAsia="zh-CN"/>
              </w:rPr>
            </w:pPr>
          </w:p>
        </w:tc>
        <w:tc>
          <w:tcPr>
            <w:tcW w:w="1400" w:type="dxa"/>
            <w:vMerge w:val="continue"/>
            <w:vAlign w:val="center"/>
          </w:tcPr>
          <w:p w14:paraId="56596A2C">
            <w:pPr>
              <w:spacing w:before="40" w:after="40" w:line="240" w:lineRule="auto"/>
              <w:rPr>
                <w:rFonts w:hint="eastAsia"/>
                <w:szCs w:val="28"/>
                <w:lang w:val="en-US" w:eastAsia="zh-CN"/>
              </w:rPr>
            </w:pPr>
          </w:p>
        </w:tc>
        <w:tc>
          <w:tcPr>
            <w:tcW w:w="1130" w:type="dxa"/>
            <w:vMerge w:val="continue"/>
            <w:vAlign w:val="center"/>
          </w:tcPr>
          <w:p w14:paraId="4DB5FB3F">
            <w:pPr>
              <w:spacing w:before="40" w:after="40" w:line="240" w:lineRule="auto"/>
              <w:rPr>
                <w:rFonts w:hint="eastAsia"/>
                <w:szCs w:val="28"/>
                <w:lang w:val="en-US" w:eastAsia="zh-CN"/>
              </w:rPr>
            </w:pPr>
          </w:p>
        </w:tc>
      </w:tr>
      <w:tr w14:paraId="654BCB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continue"/>
            <w:vAlign w:val="center"/>
          </w:tcPr>
          <w:p w14:paraId="6EC1FFA8">
            <w:pPr>
              <w:spacing w:before="40" w:after="40" w:line="240" w:lineRule="auto"/>
              <w:rPr>
                <w:rFonts w:hint="default"/>
                <w:szCs w:val="28"/>
                <w:lang w:val="en-US" w:eastAsia="zh-CN"/>
              </w:rPr>
            </w:pPr>
          </w:p>
        </w:tc>
        <w:tc>
          <w:tcPr>
            <w:tcW w:w="1598" w:type="dxa"/>
            <w:vAlign w:val="center"/>
          </w:tcPr>
          <w:p w14:paraId="2EC636B3">
            <w:pPr>
              <w:spacing w:before="40" w:after="40" w:line="240" w:lineRule="auto"/>
              <w:rPr>
                <w:rFonts w:hint="default"/>
                <w:szCs w:val="28"/>
                <w:lang w:val="en-US" w:eastAsia="zh-CN"/>
              </w:rPr>
            </w:pPr>
            <w:r>
              <w:rPr>
                <w:rFonts w:hint="eastAsia"/>
                <w:szCs w:val="28"/>
                <w:lang w:val="en-US" w:eastAsia="zh-CN"/>
              </w:rPr>
              <w:t>特许权使用费：10%</w:t>
            </w:r>
          </w:p>
        </w:tc>
        <w:tc>
          <w:tcPr>
            <w:tcW w:w="1490" w:type="dxa"/>
            <w:vMerge w:val="continue"/>
            <w:vAlign w:val="center"/>
          </w:tcPr>
          <w:p w14:paraId="193F108A">
            <w:pPr>
              <w:spacing w:before="40" w:after="40" w:line="240" w:lineRule="auto"/>
              <w:rPr>
                <w:rFonts w:hint="eastAsia"/>
                <w:szCs w:val="28"/>
                <w:lang w:val="en-US" w:eastAsia="zh-CN"/>
              </w:rPr>
            </w:pPr>
          </w:p>
        </w:tc>
        <w:tc>
          <w:tcPr>
            <w:tcW w:w="1812" w:type="dxa"/>
            <w:vMerge w:val="continue"/>
            <w:vAlign w:val="center"/>
          </w:tcPr>
          <w:p w14:paraId="4A27470C">
            <w:pPr>
              <w:spacing w:before="40" w:after="40" w:line="240" w:lineRule="auto"/>
              <w:rPr>
                <w:rFonts w:hint="eastAsia"/>
                <w:szCs w:val="28"/>
                <w:lang w:val="en-US" w:eastAsia="zh-CN"/>
              </w:rPr>
            </w:pPr>
          </w:p>
        </w:tc>
        <w:tc>
          <w:tcPr>
            <w:tcW w:w="1400" w:type="dxa"/>
            <w:vMerge w:val="continue"/>
            <w:vAlign w:val="center"/>
          </w:tcPr>
          <w:p w14:paraId="40540924">
            <w:pPr>
              <w:spacing w:before="40" w:after="40" w:line="240" w:lineRule="auto"/>
              <w:rPr>
                <w:rFonts w:hint="eastAsia"/>
                <w:szCs w:val="28"/>
                <w:lang w:val="en-US" w:eastAsia="zh-CN"/>
              </w:rPr>
            </w:pPr>
          </w:p>
        </w:tc>
        <w:tc>
          <w:tcPr>
            <w:tcW w:w="1130" w:type="dxa"/>
            <w:vMerge w:val="continue"/>
            <w:vAlign w:val="center"/>
          </w:tcPr>
          <w:p w14:paraId="14DC9A60">
            <w:pPr>
              <w:spacing w:before="40" w:after="40" w:line="240" w:lineRule="auto"/>
              <w:rPr>
                <w:rFonts w:hint="eastAsia"/>
                <w:szCs w:val="28"/>
                <w:lang w:val="en-US" w:eastAsia="zh-CN"/>
              </w:rPr>
            </w:pPr>
          </w:p>
        </w:tc>
      </w:tr>
      <w:tr w14:paraId="065C7A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continue"/>
            <w:vAlign w:val="center"/>
          </w:tcPr>
          <w:p w14:paraId="09E729A6">
            <w:pPr>
              <w:spacing w:before="40" w:after="40" w:line="240" w:lineRule="auto"/>
              <w:rPr>
                <w:rFonts w:hint="eastAsia"/>
                <w:szCs w:val="28"/>
                <w:lang w:val="en-US" w:eastAsia="zh-CN"/>
              </w:rPr>
            </w:pPr>
          </w:p>
        </w:tc>
        <w:tc>
          <w:tcPr>
            <w:tcW w:w="1598" w:type="dxa"/>
            <w:vAlign w:val="center"/>
          </w:tcPr>
          <w:p w14:paraId="7FEBBCAB">
            <w:pPr>
              <w:spacing w:before="40" w:after="40" w:line="240" w:lineRule="auto"/>
              <w:rPr>
                <w:rFonts w:hint="default"/>
                <w:szCs w:val="28"/>
                <w:lang w:val="en-US" w:eastAsia="zh-CN"/>
              </w:rPr>
            </w:pPr>
            <w:r>
              <w:rPr>
                <w:rFonts w:hint="eastAsia"/>
                <w:szCs w:val="28"/>
                <w:lang w:val="en-US" w:eastAsia="zh-CN"/>
              </w:rPr>
              <w:t>管理费：10%</w:t>
            </w:r>
          </w:p>
        </w:tc>
        <w:tc>
          <w:tcPr>
            <w:tcW w:w="1490" w:type="dxa"/>
            <w:vMerge w:val="continue"/>
            <w:vAlign w:val="center"/>
          </w:tcPr>
          <w:p w14:paraId="46AD29F0">
            <w:pPr>
              <w:spacing w:before="40" w:after="40" w:line="240" w:lineRule="auto"/>
              <w:rPr>
                <w:rFonts w:hint="eastAsia"/>
                <w:szCs w:val="28"/>
                <w:lang w:val="en-US" w:eastAsia="zh-CN"/>
              </w:rPr>
            </w:pPr>
          </w:p>
        </w:tc>
        <w:tc>
          <w:tcPr>
            <w:tcW w:w="1812" w:type="dxa"/>
            <w:vMerge w:val="continue"/>
            <w:vAlign w:val="center"/>
          </w:tcPr>
          <w:p w14:paraId="40D720AA">
            <w:pPr>
              <w:spacing w:before="40" w:after="40" w:line="240" w:lineRule="auto"/>
              <w:rPr>
                <w:rFonts w:hint="eastAsia"/>
                <w:szCs w:val="28"/>
                <w:lang w:val="en-US" w:eastAsia="zh-CN"/>
              </w:rPr>
            </w:pPr>
          </w:p>
        </w:tc>
        <w:tc>
          <w:tcPr>
            <w:tcW w:w="1400" w:type="dxa"/>
            <w:vMerge w:val="continue"/>
            <w:vAlign w:val="center"/>
          </w:tcPr>
          <w:p w14:paraId="31EC806F">
            <w:pPr>
              <w:spacing w:before="40" w:after="40" w:line="240" w:lineRule="auto"/>
              <w:rPr>
                <w:rFonts w:hint="eastAsia"/>
                <w:szCs w:val="28"/>
                <w:lang w:val="en-US" w:eastAsia="zh-CN"/>
              </w:rPr>
            </w:pPr>
          </w:p>
        </w:tc>
        <w:tc>
          <w:tcPr>
            <w:tcW w:w="1130" w:type="dxa"/>
            <w:vMerge w:val="continue"/>
            <w:vAlign w:val="center"/>
          </w:tcPr>
          <w:p w14:paraId="706A92C6">
            <w:pPr>
              <w:spacing w:before="40" w:after="40" w:line="240" w:lineRule="auto"/>
              <w:rPr>
                <w:rFonts w:hint="eastAsia"/>
                <w:szCs w:val="28"/>
                <w:lang w:val="en-US" w:eastAsia="zh-CN"/>
              </w:rPr>
            </w:pPr>
          </w:p>
        </w:tc>
      </w:tr>
      <w:tr w14:paraId="20375B1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continue"/>
            <w:vAlign w:val="center"/>
          </w:tcPr>
          <w:p w14:paraId="41E106AE">
            <w:pPr>
              <w:spacing w:before="40" w:after="40" w:line="240" w:lineRule="auto"/>
              <w:rPr>
                <w:rFonts w:hint="eastAsia"/>
                <w:szCs w:val="28"/>
                <w:lang w:val="en-US" w:eastAsia="zh-CN"/>
              </w:rPr>
            </w:pPr>
          </w:p>
        </w:tc>
        <w:tc>
          <w:tcPr>
            <w:tcW w:w="1598" w:type="dxa"/>
            <w:vAlign w:val="center"/>
          </w:tcPr>
          <w:p w14:paraId="01255C8B">
            <w:pPr>
              <w:spacing w:before="40" w:after="40" w:line="240" w:lineRule="auto"/>
              <w:rPr>
                <w:rFonts w:hint="default"/>
                <w:szCs w:val="28"/>
                <w:lang w:val="en-US" w:eastAsia="zh-CN"/>
              </w:rPr>
            </w:pPr>
            <w:r>
              <w:rPr>
                <w:rFonts w:hint="eastAsia"/>
                <w:szCs w:val="28"/>
                <w:lang w:val="en-US" w:eastAsia="zh-CN"/>
              </w:rPr>
              <w:t>分支机构利润分配：10%</w:t>
            </w:r>
          </w:p>
        </w:tc>
        <w:tc>
          <w:tcPr>
            <w:tcW w:w="1490" w:type="dxa"/>
            <w:vMerge w:val="continue"/>
            <w:vAlign w:val="center"/>
          </w:tcPr>
          <w:p w14:paraId="320F3EF9">
            <w:pPr>
              <w:spacing w:before="40" w:after="40" w:line="240" w:lineRule="auto"/>
              <w:rPr>
                <w:rFonts w:hint="eastAsia"/>
                <w:szCs w:val="28"/>
                <w:lang w:val="en-US" w:eastAsia="zh-CN"/>
              </w:rPr>
            </w:pPr>
          </w:p>
        </w:tc>
        <w:tc>
          <w:tcPr>
            <w:tcW w:w="1812" w:type="dxa"/>
            <w:vMerge w:val="continue"/>
            <w:vAlign w:val="center"/>
          </w:tcPr>
          <w:p w14:paraId="11A71E9E">
            <w:pPr>
              <w:spacing w:before="40" w:after="40" w:line="240" w:lineRule="auto"/>
              <w:rPr>
                <w:rFonts w:hint="eastAsia"/>
                <w:szCs w:val="28"/>
                <w:lang w:val="en-US" w:eastAsia="zh-CN"/>
              </w:rPr>
            </w:pPr>
          </w:p>
        </w:tc>
        <w:tc>
          <w:tcPr>
            <w:tcW w:w="1400" w:type="dxa"/>
            <w:vMerge w:val="continue"/>
            <w:vAlign w:val="center"/>
          </w:tcPr>
          <w:p w14:paraId="417CB451">
            <w:pPr>
              <w:spacing w:before="40" w:after="40" w:line="240" w:lineRule="auto"/>
              <w:rPr>
                <w:rFonts w:hint="eastAsia"/>
                <w:szCs w:val="28"/>
                <w:lang w:val="en-US" w:eastAsia="zh-CN"/>
              </w:rPr>
            </w:pPr>
          </w:p>
        </w:tc>
        <w:tc>
          <w:tcPr>
            <w:tcW w:w="1130" w:type="dxa"/>
            <w:vMerge w:val="continue"/>
            <w:vAlign w:val="center"/>
          </w:tcPr>
          <w:p w14:paraId="793D0D24">
            <w:pPr>
              <w:spacing w:before="40" w:after="40" w:line="240" w:lineRule="auto"/>
              <w:rPr>
                <w:rFonts w:hint="eastAsia"/>
                <w:szCs w:val="28"/>
                <w:lang w:val="en-US" w:eastAsia="zh-CN"/>
              </w:rPr>
            </w:pPr>
          </w:p>
        </w:tc>
      </w:tr>
      <w:tr w14:paraId="7563DD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732" w:hRule="atLeast"/>
          <w:jc w:val="center"/>
        </w:trPr>
        <w:tc>
          <w:tcPr>
            <w:tcW w:w="1204" w:type="dxa"/>
            <w:vMerge w:val="continue"/>
            <w:vAlign w:val="center"/>
          </w:tcPr>
          <w:p w14:paraId="739C36FE">
            <w:pPr>
              <w:spacing w:before="40" w:after="40" w:line="240" w:lineRule="auto"/>
              <w:rPr>
                <w:rFonts w:hint="eastAsia"/>
                <w:szCs w:val="28"/>
                <w:lang w:val="en-US" w:eastAsia="zh-CN"/>
              </w:rPr>
            </w:pPr>
          </w:p>
        </w:tc>
        <w:tc>
          <w:tcPr>
            <w:tcW w:w="1598" w:type="dxa"/>
            <w:vAlign w:val="center"/>
          </w:tcPr>
          <w:p w14:paraId="2793E079">
            <w:pPr>
              <w:spacing w:before="40" w:after="40" w:line="240" w:lineRule="auto"/>
              <w:rPr>
                <w:rFonts w:hint="default"/>
                <w:szCs w:val="28"/>
                <w:lang w:val="en-US" w:eastAsia="zh-CN"/>
              </w:rPr>
            </w:pPr>
            <w:r>
              <w:rPr>
                <w:rFonts w:hint="eastAsia"/>
                <w:szCs w:val="28"/>
                <w:lang w:val="en-US" w:eastAsia="zh-CN"/>
              </w:rPr>
              <w:t>其他收入10%</w:t>
            </w:r>
          </w:p>
        </w:tc>
        <w:tc>
          <w:tcPr>
            <w:tcW w:w="1490" w:type="dxa"/>
            <w:vMerge w:val="continue"/>
            <w:vAlign w:val="center"/>
          </w:tcPr>
          <w:p w14:paraId="1D51C634">
            <w:pPr>
              <w:spacing w:before="40" w:after="40" w:line="240" w:lineRule="auto"/>
              <w:rPr>
                <w:rFonts w:hint="eastAsia"/>
                <w:szCs w:val="28"/>
                <w:lang w:val="en-US" w:eastAsia="zh-CN"/>
              </w:rPr>
            </w:pPr>
          </w:p>
        </w:tc>
        <w:tc>
          <w:tcPr>
            <w:tcW w:w="1812" w:type="dxa"/>
            <w:vMerge w:val="continue"/>
            <w:vAlign w:val="center"/>
          </w:tcPr>
          <w:p w14:paraId="76E338BC">
            <w:pPr>
              <w:spacing w:before="40" w:after="40" w:line="240" w:lineRule="auto"/>
              <w:rPr>
                <w:rFonts w:hint="eastAsia"/>
                <w:szCs w:val="28"/>
                <w:lang w:val="en-US" w:eastAsia="zh-CN"/>
              </w:rPr>
            </w:pPr>
          </w:p>
        </w:tc>
        <w:tc>
          <w:tcPr>
            <w:tcW w:w="1400" w:type="dxa"/>
            <w:vMerge w:val="continue"/>
            <w:vAlign w:val="center"/>
          </w:tcPr>
          <w:p w14:paraId="32566A13">
            <w:pPr>
              <w:spacing w:before="40" w:after="40" w:line="240" w:lineRule="auto"/>
              <w:rPr>
                <w:rFonts w:hint="eastAsia"/>
                <w:szCs w:val="28"/>
                <w:lang w:val="en-US" w:eastAsia="zh-CN"/>
              </w:rPr>
            </w:pPr>
          </w:p>
        </w:tc>
        <w:tc>
          <w:tcPr>
            <w:tcW w:w="1130" w:type="dxa"/>
            <w:vMerge w:val="continue"/>
            <w:vAlign w:val="center"/>
          </w:tcPr>
          <w:p w14:paraId="58B38F21">
            <w:pPr>
              <w:spacing w:before="40" w:after="40" w:line="240" w:lineRule="auto"/>
              <w:rPr>
                <w:rFonts w:hint="eastAsia"/>
                <w:szCs w:val="28"/>
                <w:lang w:val="en-US" w:eastAsia="zh-CN"/>
              </w:rPr>
            </w:pPr>
          </w:p>
        </w:tc>
      </w:tr>
      <w:tr w14:paraId="66478E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204" w:type="dxa"/>
            <w:vAlign w:val="center"/>
          </w:tcPr>
          <w:p w14:paraId="618C18DD">
            <w:pPr>
              <w:spacing w:before="40" w:after="40" w:line="240" w:lineRule="auto"/>
              <w:rPr>
                <w:rFonts w:hint="default"/>
                <w:szCs w:val="28"/>
                <w:lang w:val="en-US"/>
              </w:rPr>
            </w:pPr>
            <w:r>
              <w:rPr>
                <w:rFonts w:hint="eastAsia"/>
                <w:szCs w:val="28"/>
                <w:lang w:val="en-US" w:eastAsia="zh-CN"/>
              </w:rPr>
              <w:t>公司税最低缴纳额</w:t>
            </w:r>
          </w:p>
        </w:tc>
        <w:tc>
          <w:tcPr>
            <w:tcW w:w="1598" w:type="dxa"/>
            <w:vAlign w:val="center"/>
          </w:tcPr>
          <w:p w14:paraId="56A2AF99">
            <w:pPr>
              <w:spacing w:before="40" w:after="40" w:line="240" w:lineRule="auto"/>
              <w:jc w:val="both"/>
              <w:rPr>
                <w:rFonts w:hint="default" w:eastAsia="微软雅黑"/>
                <w:szCs w:val="28"/>
                <w:lang w:val="en-US" w:eastAsia="zh-CN"/>
              </w:rPr>
            </w:pPr>
            <w:r>
              <w:rPr>
                <w:rFonts w:hint="eastAsia"/>
                <w:szCs w:val="28"/>
                <w:lang w:val="en-US" w:eastAsia="zh-CN"/>
              </w:rPr>
              <w:t>按营业额的0.25%，不低于3000MAD</w:t>
            </w:r>
          </w:p>
        </w:tc>
        <w:tc>
          <w:tcPr>
            <w:tcW w:w="1490" w:type="dxa"/>
            <w:vAlign w:val="center"/>
          </w:tcPr>
          <w:p w14:paraId="3A376E34">
            <w:pPr>
              <w:spacing w:before="40" w:after="40" w:line="240" w:lineRule="auto"/>
              <w:jc w:val="both"/>
              <w:rPr>
                <w:rFonts w:hint="eastAsia"/>
                <w:szCs w:val="28"/>
              </w:rPr>
            </w:pPr>
            <w:r>
              <w:rPr>
                <w:rFonts w:hint="eastAsia"/>
                <w:szCs w:val="28"/>
              </w:rPr>
              <w:t>对于新成立的公司，前36个月内可以豁免</w:t>
            </w:r>
          </w:p>
        </w:tc>
        <w:tc>
          <w:tcPr>
            <w:tcW w:w="1812" w:type="dxa"/>
            <w:vAlign w:val="center"/>
          </w:tcPr>
          <w:p w14:paraId="7B8B90C3">
            <w:pPr>
              <w:spacing w:before="40" w:after="40" w:line="240" w:lineRule="auto"/>
              <w:rPr>
                <w:rFonts w:hint="eastAsia"/>
                <w:szCs w:val="28"/>
              </w:rPr>
            </w:pPr>
            <w:r>
              <w:rPr>
                <w:rFonts w:hint="eastAsia"/>
                <w:szCs w:val="28"/>
              </w:rPr>
              <w:t>在第一季度预缴公司税的同时先行缴纳当年的最低缴纳额</w:t>
            </w:r>
          </w:p>
        </w:tc>
        <w:tc>
          <w:tcPr>
            <w:tcW w:w="1400" w:type="dxa"/>
            <w:vAlign w:val="center"/>
          </w:tcPr>
          <w:p w14:paraId="343D7ACF">
            <w:pPr>
              <w:spacing w:before="40" w:after="40" w:line="240" w:lineRule="auto"/>
              <w:rPr>
                <w:rFonts w:hint="default" w:eastAsia="微软雅黑"/>
                <w:szCs w:val="28"/>
                <w:lang w:val="en-US" w:eastAsia="zh-CN"/>
              </w:rPr>
            </w:pPr>
            <w:r>
              <w:rPr>
                <w:rFonts w:hint="eastAsia"/>
                <w:szCs w:val="28"/>
                <w:lang w:val="en-US" w:eastAsia="zh-CN"/>
              </w:rPr>
              <w:t>3月31日前</w:t>
            </w:r>
          </w:p>
        </w:tc>
        <w:tc>
          <w:tcPr>
            <w:tcW w:w="1130" w:type="dxa"/>
            <w:vAlign w:val="center"/>
          </w:tcPr>
          <w:p w14:paraId="359D1551">
            <w:pPr>
              <w:spacing w:before="40" w:after="40" w:line="240" w:lineRule="auto"/>
              <w:rPr>
                <w:rFonts w:hint="eastAsia"/>
                <w:szCs w:val="28"/>
              </w:rPr>
            </w:pPr>
            <w:r>
              <w:rPr>
                <w:rFonts w:hint="eastAsia"/>
                <w:iCs/>
                <w:szCs w:val="28"/>
                <w:lang w:eastAsia="zh-CN"/>
              </w:rPr>
              <w:t>官方文件</w:t>
            </w:r>
          </w:p>
        </w:tc>
      </w:tr>
    </w:tbl>
    <w:p w14:paraId="76FEDAB7">
      <w:pPr>
        <w:rPr>
          <w:rFonts w:ascii="微软雅黑" w:hAnsi="微软雅黑" w:eastAsia="微软雅黑"/>
          <w:color w:val="auto"/>
          <w:lang w:val="zh-CN" w:eastAsia="zh-CN"/>
        </w:rPr>
      </w:pPr>
      <w:bookmarkStart w:id="37" w:name="_Toc4842"/>
      <w:bookmarkStart w:id="38" w:name="_Toc9070"/>
      <w:bookmarkStart w:id="39" w:name="_Toc16460"/>
      <w:r>
        <w:rPr>
          <w:rFonts w:ascii="微软雅黑" w:hAnsi="微软雅黑" w:eastAsia="微软雅黑"/>
          <w:color w:val="auto"/>
          <w:lang w:val="zh-CN" w:eastAsia="zh-CN"/>
        </w:rPr>
        <w:br w:type="page"/>
      </w:r>
    </w:p>
    <w:p w14:paraId="4F8115C5">
      <w:pPr>
        <w:pStyle w:val="4"/>
        <w:rPr>
          <w:rFonts w:ascii="微软雅黑" w:hAnsi="微软雅黑" w:eastAsia="微软雅黑"/>
          <w:color w:val="auto"/>
          <w:lang w:eastAsia="zh-CN"/>
        </w:rPr>
      </w:pPr>
      <w:bookmarkStart w:id="40" w:name="_Toc6931"/>
      <w:r>
        <w:rPr>
          <w:rFonts w:ascii="微软雅黑" w:hAnsi="微软雅黑" w:eastAsia="微软雅黑"/>
          <w:color w:val="auto"/>
          <w:lang w:val="zh-CN" w:eastAsia="zh-CN"/>
        </w:rPr>
        <w:t>2.3  常设机构（PE）认定规则</w:t>
      </w:r>
      <w:bookmarkEnd w:id="37"/>
      <w:bookmarkEnd w:id="38"/>
      <w:bookmarkEnd w:id="39"/>
      <w:bookmarkEnd w:id="40"/>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158"/>
        <w:gridCol w:w="2158"/>
        <w:gridCol w:w="2158"/>
        <w:gridCol w:w="2158"/>
      </w:tblGrid>
      <w:tr w14:paraId="537CEA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2158" w:type="dxa"/>
            <w:shd w:val="clear" w:color="auto" w:fill="1F4E79"/>
            <w:vAlign w:val="center"/>
          </w:tcPr>
          <w:p w14:paraId="262D1756">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活动类型</w:t>
            </w:r>
          </w:p>
        </w:tc>
        <w:tc>
          <w:tcPr>
            <w:tcW w:w="2158" w:type="dxa"/>
            <w:shd w:val="clear" w:color="auto" w:fill="1F4E79"/>
            <w:vAlign w:val="center"/>
          </w:tcPr>
          <w:p w14:paraId="2AE4FFE2">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PE认定门槛</w:t>
            </w:r>
          </w:p>
        </w:tc>
        <w:tc>
          <w:tcPr>
            <w:tcW w:w="2158" w:type="dxa"/>
            <w:shd w:val="clear" w:color="auto" w:fill="1F4E79"/>
            <w:vAlign w:val="center"/>
          </w:tcPr>
          <w:p w14:paraId="2E393913">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认定后果</w:t>
            </w:r>
          </w:p>
        </w:tc>
        <w:tc>
          <w:tcPr>
            <w:tcW w:w="2158" w:type="dxa"/>
            <w:shd w:val="clear" w:color="auto" w:fill="1F4E79"/>
            <w:vAlign w:val="center"/>
          </w:tcPr>
          <w:p w14:paraId="644F5BAD">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来源</w:t>
            </w:r>
          </w:p>
        </w:tc>
      </w:tr>
      <w:tr w14:paraId="4FCE1A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7A3DAEA7">
            <w:pPr>
              <w:spacing w:before="40" w:after="40" w:line="240" w:lineRule="auto"/>
              <w:rPr>
                <w:rFonts w:hint="eastAsia"/>
                <w:szCs w:val="21"/>
              </w:rPr>
            </w:pPr>
            <w:r>
              <w:rPr>
                <w:szCs w:val="21"/>
                <w:lang w:val="zh-CN" w:eastAsia="zh-CN"/>
              </w:rPr>
              <w:t>工程施工/安装</w:t>
            </w:r>
          </w:p>
        </w:tc>
        <w:tc>
          <w:tcPr>
            <w:tcW w:w="2158" w:type="dxa"/>
            <w:vAlign w:val="center"/>
          </w:tcPr>
          <w:p w14:paraId="4B0029DC">
            <w:pPr>
              <w:spacing w:before="40" w:after="40" w:line="240" w:lineRule="auto"/>
              <w:jc w:val="both"/>
              <w:rPr>
                <w:rFonts w:hint="eastAsia"/>
                <w:szCs w:val="21"/>
              </w:rPr>
            </w:pPr>
            <w:r>
              <w:rPr>
                <w:rFonts w:hint="eastAsia"/>
                <w:szCs w:val="21"/>
              </w:rPr>
              <w:t>工程型常设机构是指连续超过六个月的建筑工地、建筑、装配</w:t>
            </w:r>
          </w:p>
          <w:p w14:paraId="2B6241AB">
            <w:pPr>
              <w:spacing w:before="40" w:after="40" w:line="240" w:lineRule="auto"/>
              <w:jc w:val="both"/>
              <w:rPr>
                <w:rFonts w:hint="eastAsia"/>
                <w:szCs w:val="21"/>
              </w:rPr>
            </w:pPr>
            <w:r>
              <w:rPr>
                <w:rFonts w:hint="eastAsia"/>
                <w:szCs w:val="21"/>
              </w:rPr>
              <w:t>或安装工程以及与其有关的监督管理</w:t>
            </w:r>
            <w:r>
              <w:rPr>
                <w:rFonts w:hint="eastAsia"/>
                <w:szCs w:val="21"/>
                <w:lang w:val="en-US" w:eastAsia="zh-CN"/>
              </w:rPr>
              <w:t>活动</w:t>
            </w:r>
          </w:p>
        </w:tc>
        <w:tc>
          <w:tcPr>
            <w:tcW w:w="2158" w:type="dxa"/>
            <w:vAlign w:val="center"/>
          </w:tcPr>
          <w:p w14:paraId="737E007B">
            <w:pPr>
              <w:spacing w:before="40" w:after="40" w:line="240" w:lineRule="auto"/>
              <w:rPr>
                <w:rFonts w:hint="eastAsia"/>
                <w:szCs w:val="21"/>
                <w:lang w:eastAsia="zh-CN"/>
              </w:rPr>
            </w:pPr>
            <w:r>
              <w:rPr>
                <w:rFonts w:hint="eastAsia"/>
                <w:szCs w:val="21"/>
                <w:lang w:eastAsia="zh-CN"/>
              </w:rPr>
              <w:t>非居民企业在摩洛哥设立的常设机构视同居民企业计算缴纳公司税。</w:t>
            </w:r>
          </w:p>
        </w:tc>
        <w:tc>
          <w:tcPr>
            <w:tcW w:w="2158" w:type="dxa"/>
            <w:vAlign w:val="center"/>
          </w:tcPr>
          <w:p w14:paraId="43E553D6">
            <w:pPr>
              <w:spacing w:before="40" w:after="40" w:line="240" w:lineRule="auto"/>
              <w:rPr>
                <w:rFonts w:hint="default"/>
                <w:szCs w:val="21"/>
                <w:lang w:val="en-US" w:eastAsia="zh-CN"/>
              </w:rPr>
            </w:pPr>
            <w:r>
              <w:rPr>
                <w:rFonts w:hint="eastAsia"/>
                <w:iCs/>
                <w:szCs w:val="21"/>
                <w:lang w:val="en-US" w:eastAsia="zh-CN"/>
              </w:rPr>
              <w:t>国家税务总局《中国居民赴摩洛哥投资税收指南》</w:t>
            </w:r>
          </w:p>
        </w:tc>
      </w:tr>
      <w:tr w14:paraId="37CBDA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30EDA151">
            <w:pPr>
              <w:spacing w:before="40" w:after="40" w:line="240" w:lineRule="auto"/>
              <w:rPr>
                <w:rFonts w:hint="eastAsia"/>
                <w:szCs w:val="21"/>
              </w:rPr>
            </w:pPr>
            <w:r>
              <w:rPr>
                <w:szCs w:val="21"/>
                <w:lang w:val="zh-CN" w:eastAsia="zh-CN"/>
              </w:rPr>
              <w:t>设计/技术服务</w:t>
            </w:r>
          </w:p>
        </w:tc>
        <w:tc>
          <w:tcPr>
            <w:tcW w:w="2158" w:type="dxa"/>
            <w:vAlign w:val="center"/>
          </w:tcPr>
          <w:p w14:paraId="38407B13">
            <w:pPr>
              <w:spacing w:before="40" w:after="40" w:line="240" w:lineRule="auto"/>
              <w:jc w:val="both"/>
              <w:rPr>
                <w:rFonts w:hint="eastAsia"/>
                <w:szCs w:val="21"/>
              </w:rPr>
            </w:pPr>
            <w:r>
              <w:rPr>
                <w:rFonts w:hint="eastAsia"/>
                <w:szCs w:val="21"/>
              </w:rPr>
              <w:t>服务型常设机构是指缔约国一方企业通过其雇员或者雇佣的其</w:t>
            </w:r>
          </w:p>
          <w:p w14:paraId="2752789E">
            <w:pPr>
              <w:spacing w:before="40" w:after="40" w:line="240" w:lineRule="auto"/>
              <w:jc w:val="both"/>
              <w:rPr>
                <w:rFonts w:hint="eastAsia"/>
                <w:szCs w:val="21"/>
              </w:rPr>
            </w:pPr>
            <w:r>
              <w:rPr>
                <w:rFonts w:hint="eastAsia"/>
                <w:szCs w:val="21"/>
              </w:rPr>
              <w:t>他人员在缔约国另一方提供劳务（包括咨询劳务），并且持续时间（为同一个项目或两个及两个以上相关联的项目）在任何十二个月中连续或累计超过六个月</w:t>
            </w:r>
          </w:p>
        </w:tc>
        <w:tc>
          <w:tcPr>
            <w:tcW w:w="2158" w:type="dxa"/>
            <w:vAlign w:val="center"/>
          </w:tcPr>
          <w:p w14:paraId="21EA1739">
            <w:pPr>
              <w:spacing w:before="40" w:after="40" w:line="240" w:lineRule="auto"/>
              <w:rPr>
                <w:rFonts w:hint="eastAsia"/>
                <w:szCs w:val="21"/>
              </w:rPr>
            </w:pPr>
            <w:r>
              <w:rPr>
                <w:rFonts w:hint="eastAsia"/>
                <w:szCs w:val="21"/>
                <w:lang w:eastAsia="zh-CN"/>
              </w:rPr>
              <w:t>非居民企业在摩洛哥设立的常设机构视同居民企业计算缴纳公司税。</w:t>
            </w:r>
          </w:p>
        </w:tc>
        <w:tc>
          <w:tcPr>
            <w:tcW w:w="2158" w:type="dxa"/>
            <w:vAlign w:val="center"/>
          </w:tcPr>
          <w:p w14:paraId="2C89A6AC">
            <w:pPr>
              <w:spacing w:before="40" w:after="40" w:line="240" w:lineRule="auto"/>
              <w:rPr>
                <w:rFonts w:hint="eastAsia"/>
                <w:szCs w:val="21"/>
              </w:rPr>
            </w:pPr>
            <w:r>
              <w:rPr>
                <w:rFonts w:hint="eastAsia"/>
                <w:iCs/>
                <w:szCs w:val="21"/>
                <w:lang w:val="en-US" w:eastAsia="zh-CN"/>
              </w:rPr>
              <w:t>国家税务总局《中国居民赴摩洛哥投资税收指南》</w:t>
            </w:r>
          </w:p>
        </w:tc>
      </w:tr>
      <w:tr w14:paraId="65BE29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2288FA19">
            <w:pPr>
              <w:spacing w:before="40" w:after="40" w:line="240" w:lineRule="auto"/>
              <w:rPr>
                <w:rFonts w:hint="eastAsia"/>
                <w:szCs w:val="21"/>
              </w:rPr>
            </w:pPr>
            <w:r>
              <w:rPr>
                <w:szCs w:val="21"/>
                <w:lang w:val="zh-CN" w:eastAsia="zh-CN"/>
              </w:rPr>
              <w:t>未构成PE时</w:t>
            </w:r>
          </w:p>
        </w:tc>
        <w:tc>
          <w:tcPr>
            <w:tcW w:w="2158" w:type="dxa"/>
            <w:vAlign w:val="center"/>
          </w:tcPr>
          <w:p w14:paraId="7BEF5603">
            <w:pPr>
              <w:spacing w:before="40" w:after="40" w:line="240" w:lineRule="auto"/>
              <w:rPr>
                <w:rFonts w:hint="default"/>
                <w:szCs w:val="21"/>
                <w:lang w:val="en-US"/>
              </w:rPr>
            </w:pPr>
            <w:r>
              <w:rPr>
                <w:rFonts w:hint="eastAsia"/>
                <w:szCs w:val="21"/>
                <w:lang w:val="en-US" w:eastAsia="zh-CN"/>
              </w:rPr>
              <w:t>工期小于6个月且不符合场所型、代理型常设机构标准</w:t>
            </w:r>
          </w:p>
        </w:tc>
        <w:tc>
          <w:tcPr>
            <w:tcW w:w="2158" w:type="dxa"/>
            <w:vAlign w:val="center"/>
          </w:tcPr>
          <w:p w14:paraId="34FF1EEE">
            <w:pPr>
              <w:spacing w:before="40" w:after="40" w:line="240" w:lineRule="auto"/>
              <w:rPr>
                <w:rFonts w:hint="eastAsia"/>
                <w:szCs w:val="21"/>
              </w:rPr>
            </w:pPr>
            <w:r>
              <w:rPr>
                <w:rFonts w:hint="eastAsia"/>
                <w:szCs w:val="21"/>
              </w:rPr>
              <w:t>在摩洛哥未设立常设机构的非居民企业取得的来自于摩洛哥的</w:t>
            </w:r>
          </w:p>
          <w:p w14:paraId="27C3B57D">
            <w:pPr>
              <w:spacing w:before="40" w:after="40" w:line="240" w:lineRule="auto"/>
              <w:rPr>
                <w:rFonts w:hint="eastAsia"/>
                <w:szCs w:val="21"/>
              </w:rPr>
            </w:pPr>
            <w:r>
              <w:rPr>
                <w:rFonts w:hint="eastAsia"/>
                <w:szCs w:val="21"/>
              </w:rPr>
              <w:t>收入由支付人代扣代缴公司税。</w:t>
            </w:r>
          </w:p>
        </w:tc>
        <w:tc>
          <w:tcPr>
            <w:tcW w:w="2158" w:type="dxa"/>
            <w:vAlign w:val="center"/>
          </w:tcPr>
          <w:p w14:paraId="1A1654C1">
            <w:pPr>
              <w:spacing w:before="40" w:after="40" w:line="240" w:lineRule="auto"/>
              <w:rPr>
                <w:rFonts w:hint="eastAsia"/>
                <w:szCs w:val="21"/>
              </w:rPr>
            </w:pPr>
            <w:r>
              <w:rPr>
                <w:rFonts w:hint="eastAsia"/>
                <w:iCs/>
                <w:szCs w:val="21"/>
                <w:lang w:val="en-US" w:eastAsia="zh-CN"/>
              </w:rPr>
              <w:t>国家税务总局《中国居民赴摩洛哥投资税收指南》</w:t>
            </w:r>
          </w:p>
        </w:tc>
      </w:tr>
    </w:tbl>
    <w:p w14:paraId="438D8FE1">
      <w:pPr>
        <w:rPr>
          <w:rFonts w:ascii="微软雅黑" w:hAnsi="微软雅黑" w:eastAsia="微软雅黑"/>
          <w:color w:val="auto"/>
          <w:lang w:val="zh-CN" w:eastAsia="zh-CN"/>
        </w:rPr>
      </w:pPr>
      <w:bookmarkStart w:id="41" w:name="_Toc13433"/>
      <w:bookmarkStart w:id="42" w:name="_Toc2659"/>
      <w:bookmarkStart w:id="43" w:name="_Toc28104"/>
      <w:r>
        <w:rPr>
          <w:rFonts w:ascii="微软雅黑" w:hAnsi="微软雅黑" w:eastAsia="微软雅黑"/>
          <w:color w:val="auto"/>
          <w:lang w:val="zh-CN" w:eastAsia="zh-CN"/>
        </w:rPr>
        <w:br w:type="page"/>
      </w:r>
    </w:p>
    <w:p w14:paraId="20C8A6CC">
      <w:pPr>
        <w:pStyle w:val="4"/>
        <w:rPr>
          <w:rFonts w:ascii="微软雅黑" w:hAnsi="微软雅黑" w:eastAsia="微软雅黑"/>
          <w:color w:val="auto"/>
        </w:rPr>
      </w:pPr>
      <w:bookmarkStart w:id="44" w:name="_Toc23461"/>
      <w:r>
        <w:rPr>
          <w:rFonts w:ascii="微软雅黑" w:hAnsi="微软雅黑" w:eastAsia="微软雅黑"/>
          <w:color w:val="auto"/>
          <w:lang w:val="zh-CN" w:eastAsia="zh-CN"/>
        </w:rPr>
        <w:t>2.4  外汇管理政策速览</w:t>
      </w:r>
      <w:bookmarkEnd w:id="41"/>
      <w:bookmarkEnd w:id="42"/>
      <w:bookmarkEnd w:id="43"/>
      <w:bookmarkEnd w:id="44"/>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404"/>
        <w:gridCol w:w="4616"/>
        <w:gridCol w:w="1604"/>
      </w:tblGrid>
      <w:tr w14:paraId="65297E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2404" w:type="dxa"/>
            <w:shd w:val="clear" w:color="auto" w:fill="1F4E79"/>
            <w:vAlign w:val="center"/>
          </w:tcPr>
          <w:p w14:paraId="4CB3A591">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w:t>
            </w:r>
          </w:p>
        </w:tc>
        <w:tc>
          <w:tcPr>
            <w:tcW w:w="4616" w:type="dxa"/>
            <w:shd w:val="clear" w:color="auto" w:fill="1F4E79"/>
            <w:vAlign w:val="center"/>
          </w:tcPr>
          <w:p w14:paraId="22E39421">
            <w:pPr>
              <w:spacing w:before="40" w:after="40" w:line="240" w:lineRule="auto"/>
              <w:jc w:val="center"/>
              <w:rPr>
                <w:rFonts w:hint="eastAsia"/>
                <w:color w:val="FFFFFF" w:themeColor="background1"/>
                <w:szCs w:val="21"/>
                <w14:textFill>
                  <w14:solidFill>
                    <w14:schemeClr w14:val="bg1"/>
                  </w14:solidFill>
                </w14:textFill>
              </w:rPr>
            </w:pPr>
            <w:r>
              <w:rPr>
                <w:rFonts w:hint="eastAsia"/>
                <w:b/>
                <w:color w:val="FFFFFF" w:themeColor="background1"/>
                <w:szCs w:val="21"/>
                <w:lang w:val="zh-CN" w:eastAsia="zh-CN"/>
                <w14:textFill>
                  <w14:solidFill>
                    <w14:schemeClr w14:val="bg1"/>
                  </w14:solidFill>
                </w14:textFill>
              </w:rPr>
              <w:t>简要</w:t>
            </w:r>
            <w:r>
              <w:rPr>
                <w:b/>
                <w:color w:val="FFFFFF" w:themeColor="background1"/>
                <w:szCs w:val="21"/>
                <w:lang w:val="zh-CN" w:eastAsia="zh-CN"/>
                <w14:textFill>
                  <w14:solidFill>
                    <w14:schemeClr w14:val="bg1"/>
                  </w14:solidFill>
                </w14:textFill>
              </w:rPr>
              <w:t>情况</w:t>
            </w:r>
          </w:p>
        </w:tc>
        <w:tc>
          <w:tcPr>
            <w:tcW w:w="1604" w:type="dxa"/>
            <w:shd w:val="clear" w:color="auto" w:fill="1F4E79"/>
            <w:vAlign w:val="center"/>
          </w:tcPr>
          <w:p w14:paraId="0FB67169">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来源</w:t>
            </w:r>
          </w:p>
        </w:tc>
      </w:tr>
      <w:tr w14:paraId="3EE8B0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04" w:type="dxa"/>
            <w:vAlign w:val="center"/>
          </w:tcPr>
          <w:p w14:paraId="03DB0EB9">
            <w:pPr>
              <w:spacing w:before="40" w:after="40" w:line="240" w:lineRule="auto"/>
              <w:rPr>
                <w:rFonts w:hint="eastAsia"/>
                <w:szCs w:val="21"/>
              </w:rPr>
            </w:pPr>
            <w:r>
              <w:rPr>
                <w:szCs w:val="21"/>
                <w:lang w:val="zh-CN" w:eastAsia="zh-CN"/>
              </w:rPr>
              <w:t>本币是否自由兑换</w:t>
            </w:r>
          </w:p>
        </w:tc>
        <w:tc>
          <w:tcPr>
            <w:tcW w:w="4616" w:type="dxa"/>
            <w:vAlign w:val="center"/>
          </w:tcPr>
          <w:p w14:paraId="05D0786C">
            <w:pPr>
              <w:spacing w:before="40" w:after="40" w:line="240" w:lineRule="auto"/>
              <w:rPr>
                <w:rFonts w:hint="default" w:eastAsia="微软雅黑"/>
                <w:szCs w:val="21"/>
                <w:lang w:val="en-US" w:eastAsia="zh-CN"/>
              </w:rPr>
            </w:pPr>
            <w:r>
              <w:rPr>
                <w:rFonts w:hint="eastAsia"/>
                <w:szCs w:val="21"/>
                <w:lang w:val="en-US" w:eastAsia="zh-CN"/>
              </w:rPr>
              <w:t>不可自由兑换</w:t>
            </w:r>
          </w:p>
        </w:tc>
        <w:tc>
          <w:tcPr>
            <w:tcW w:w="1604" w:type="dxa"/>
            <w:vAlign w:val="center"/>
          </w:tcPr>
          <w:p w14:paraId="29A876F7">
            <w:pPr>
              <w:spacing w:before="40" w:after="40" w:line="240" w:lineRule="auto"/>
              <w:rPr>
                <w:rFonts w:hint="eastAsia"/>
                <w:szCs w:val="21"/>
                <w:lang w:eastAsia="zh-CN"/>
              </w:rPr>
            </w:pPr>
            <w:r>
              <w:rPr>
                <w:rFonts w:hint="eastAsia"/>
                <w:iCs/>
                <w:szCs w:val="21"/>
                <w:lang w:eastAsia="zh-CN"/>
              </w:rPr>
              <w:t>官方文件</w:t>
            </w:r>
          </w:p>
        </w:tc>
      </w:tr>
      <w:tr w14:paraId="3E07F2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04" w:type="dxa"/>
            <w:vAlign w:val="center"/>
          </w:tcPr>
          <w:p w14:paraId="40A24DE5">
            <w:pPr>
              <w:spacing w:before="40" w:after="40" w:line="240" w:lineRule="auto"/>
              <w:rPr>
                <w:szCs w:val="21"/>
                <w:lang w:val="zh-CN" w:eastAsia="zh-CN"/>
              </w:rPr>
            </w:pPr>
            <w:r>
              <w:rPr>
                <w:szCs w:val="21"/>
                <w:lang w:val="zh-CN" w:eastAsia="zh-CN"/>
              </w:rPr>
              <w:t>可开立外币账户</w:t>
            </w:r>
            <w:r>
              <w:rPr>
                <w:rFonts w:hint="eastAsia"/>
                <w:szCs w:val="21"/>
                <w:lang w:val="zh-CN" w:eastAsia="zh-CN"/>
              </w:rPr>
              <w:t>的种类</w:t>
            </w:r>
          </w:p>
        </w:tc>
        <w:tc>
          <w:tcPr>
            <w:tcW w:w="4616" w:type="dxa"/>
            <w:vAlign w:val="center"/>
          </w:tcPr>
          <w:p w14:paraId="2D932754">
            <w:pPr>
              <w:spacing w:before="40" w:after="40" w:line="240" w:lineRule="auto"/>
              <w:rPr>
                <w:rFonts w:hint="default"/>
                <w:szCs w:val="21"/>
                <w:lang w:val="en-US" w:eastAsia="zh-CN"/>
              </w:rPr>
            </w:pPr>
            <w:r>
              <w:rPr>
                <w:rFonts w:hint="eastAsia"/>
                <w:szCs w:val="21"/>
                <w:lang w:val="en-US" w:eastAsia="zh-CN"/>
              </w:rPr>
              <w:t>美元/欧元</w:t>
            </w:r>
          </w:p>
        </w:tc>
        <w:tc>
          <w:tcPr>
            <w:tcW w:w="1604" w:type="dxa"/>
            <w:vAlign w:val="center"/>
          </w:tcPr>
          <w:p w14:paraId="015892E4">
            <w:pPr>
              <w:spacing w:before="40" w:after="40" w:line="240" w:lineRule="auto"/>
              <w:rPr>
                <w:rFonts w:hint="eastAsia"/>
                <w:szCs w:val="21"/>
                <w:lang w:eastAsia="zh-CN"/>
              </w:rPr>
            </w:pPr>
            <w:r>
              <w:rPr>
                <w:rFonts w:hint="eastAsia"/>
                <w:iCs/>
                <w:szCs w:val="21"/>
                <w:lang w:eastAsia="zh-CN"/>
              </w:rPr>
              <w:t>官方文件</w:t>
            </w:r>
          </w:p>
        </w:tc>
      </w:tr>
      <w:tr w14:paraId="2233E5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04" w:type="dxa"/>
            <w:vAlign w:val="center"/>
          </w:tcPr>
          <w:p w14:paraId="7FBE953C">
            <w:pPr>
              <w:spacing w:before="40" w:after="40" w:line="240" w:lineRule="auto"/>
              <w:rPr>
                <w:rFonts w:hint="eastAsia"/>
                <w:szCs w:val="21"/>
              </w:rPr>
            </w:pPr>
            <w:r>
              <w:rPr>
                <w:szCs w:val="21"/>
                <w:lang w:val="zh-CN" w:eastAsia="zh-CN"/>
              </w:rPr>
              <w:t>利润汇出是否受限</w:t>
            </w:r>
          </w:p>
        </w:tc>
        <w:tc>
          <w:tcPr>
            <w:tcW w:w="4616" w:type="dxa"/>
            <w:vAlign w:val="center"/>
          </w:tcPr>
          <w:p w14:paraId="4D702704">
            <w:pPr>
              <w:spacing w:before="40" w:after="40" w:line="240" w:lineRule="auto"/>
              <w:rPr>
                <w:rFonts w:hint="eastAsia" w:eastAsia="微软雅黑"/>
                <w:szCs w:val="21"/>
                <w:lang w:val="en-US" w:eastAsia="zh-CN"/>
              </w:rPr>
            </w:pPr>
            <w:r>
              <w:rPr>
                <w:rFonts w:hint="eastAsia"/>
                <w:szCs w:val="21"/>
                <w:lang w:val="en-US" w:eastAsia="zh-CN"/>
              </w:rPr>
              <w:t>是</w:t>
            </w:r>
          </w:p>
        </w:tc>
        <w:tc>
          <w:tcPr>
            <w:tcW w:w="1604" w:type="dxa"/>
            <w:vAlign w:val="center"/>
          </w:tcPr>
          <w:p w14:paraId="6295A6FB">
            <w:pPr>
              <w:spacing w:before="40" w:after="40" w:line="240" w:lineRule="auto"/>
              <w:rPr>
                <w:rFonts w:hint="eastAsia"/>
                <w:szCs w:val="21"/>
              </w:rPr>
            </w:pPr>
            <w:r>
              <w:rPr>
                <w:rFonts w:hint="eastAsia"/>
                <w:iCs/>
                <w:szCs w:val="21"/>
                <w:lang w:eastAsia="zh-CN"/>
              </w:rPr>
              <w:t>官方文件</w:t>
            </w:r>
          </w:p>
        </w:tc>
      </w:tr>
      <w:tr w14:paraId="0D8138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04" w:type="dxa"/>
            <w:vAlign w:val="center"/>
          </w:tcPr>
          <w:p w14:paraId="236A7F7D">
            <w:pPr>
              <w:spacing w:before="40" w:after="40" w:line="240" w:lineRule="auto"/>
              <w:rPr>
                <w:rFonts w:hint="eastAsia"/>
                <w:szCs w:val="21"/>
              </w:rPr>
            </w:pPr>
            <w:r>
              <w:rPr>
                <w:szCs w:val="21"/>
                <w:lang w:val="zh-CN" w:eastAsia="zh-CN"/>
              </w:rPr>
              <w:t>跨境付款</w:t>
            </w:r>
            <w:r>
              <w:rPr>
                <w:rFonts w:hint="eastAsia"/>
                <w:szCs w:val="21"/>
                <w:lang w:val="zh-CN" w:eastAsia="zh-CN"/>
              </w:rPr>
              <w:t>是否受限</w:t>
            </w:r>
          </w:p>
        </w:tc>
        <w:tc>
          <w:tcPr>
            <w:tcW w:w="4616" w:type="dxa"/>
            <w:vAlign w:val="center"/>
          </w:tcPr>
          <w:p w14:paraId="47A9A9B7">
            <w:pPr>
              <w:spacing w:before="40" w:after="40" w:line="240" w:lineRule="auto"/>
              <w:rPr>
                <w:rFonts w:hint="eastAsia" w:eastAsia="微软雅黑"/>
                <w:szCs w:val="21"/>
                <w:lang w:val="en-US" w:eastAsia="zh-CN"/>
              </w:rPr>
            </w:pPr>
            <w:r>
              <w:rPr>
                <w:rFonts w:hint="eastAsia"/>
                <w:szCs w:val="21"/>
                <w:lang w:val="en-US" w:eastAsia="zh-CN"/>
              </w:rPr>
              <w:t>是</w:t>
            </w:r>
          </w:p>
        </w:tc>
        <w:tc>
          <w:tcPr>
            <w:tcW w:w="1604" w:type="dxa"/>
            <w:vAlign w:val="center"/>
          </w:tcPr>
          <w:p w14:paraId="52E09A03">
            <w:pPr>
              <w:spacing w:before="40" w:after="40" w:line="240" w:lineRule="auto"/>
              <w:rPr>
                <w:rFonts w:hint="eastAsia"/>
                <w:szCs w:val="21"/>
              </w:rPr>
            </w:pPr>
            <w:r>
              <w:rPr>
                <w:rFonts w:hint="eastAsia"/>
                <w:iCs/>
                <w:szCs w:val="21"/>
                <w:lang w:eastAsia="zh-CN"/>
              </w:rPr>
              <w:t>官方文件</w:t>
            </w:r>
          </w:p>
        </w:tc>
      </w:tr>
      <w:tr w14:paraId="04A068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04" w:type="dxa"/>
            <w:vAlign w:val="center"/>
          </w:tcPr>
          <w:p w14:paraId="315B0D84">
            <w:pPr>
              <w:spacing w:before="40" w:after="40" w:line="240" w:lineRule="auto"/>
              <w:rPr>
                <w:rFonts w:hint="eastAsia"/>
                <w:szCs w:val="21"/>
              </w:rPr>
            </w:pPr>
            <w:r>
              <w:rPr>
                <w:szCs w:val="21"/>
                <w:lang w:val="zh-CN" w:eastAsia="zh-CN"/>
              </w:rPr>
              <w:t>近年汇率走势及波动</w:t>
            </w:r>
          </w:p>
        </w:tc>
        <w:tc>
          <w:tcPr>
            <w:tcW w:w="4616" w:type="dxa"/>
            <w:vAlign w:val="center"/>
          </w:tcPr>
          <w:p w14:paraId="703BAFC9">
            <w:pPr>
              <w:spacing w:before="40" w:after="40" w:line="240" w:lineRule="auto"/>
              <w:jc w:val="both"/>
              <w:rPr>
                <w:rFonts w:hint="eastAsia"/>
                <w:szCs w:val="21"/>
              </w:rPr>
            </w:pPr>
            <w:r>
              <w:rPr>
                <w:rFonts w:hint="eastAsia"/>
                <w:szCs w:val="21"/>
              </w:rPr>
              <w:t>摩洛哥实行有管理的浮动汇率制度，从1973 年以来实行盯住一篮子货币的固定汇率，其货币篮子由欧元和美元组成，权重分别为 60%和 40%，波动区间控制在上下浮动0.3%，超过波动区间马格里布银行会在外汇市场上进行干预。从 2018 年起，汇率波动区间扩大至上下浮动2.5%。总体来看，摩洛哥迪拉姆汇率比较稳定，自2018年以来，央行仅干预过两次外汇市场（2018年1月和2021年下半年）。</w:t>
            </w:r>
          </w:p>
          <w:p w14:paraId="0D22455E">
            <w:pPr>
              <w:spacing w:before="40" w:after="40" w:line="240" w:lineRule="auto"/>
              <w:jc w:val="both"/>
              <w:rPr>
                <w:rFonts w:hint="eastAsia"/>
                <w:szCs w:val="21"/>
              </w:rPr>
            </w:pPr>
            <w:r>
              <w:rPr>
                <w:rFonts w:hint="eastAsia"/>
                <w:szCs w:val="21"/>
              </w:rPr>
              <w:t>摩洛哥计划于2026年起逐步过渡到浮动汇率制度，目前正处于从钉住货币篮子向完全自由浮动过渡的关键改革期。从2026年起，汇率波动区间扩大至上下浮动5.0%，并计划于2027年实施通胀目标制。</w:t>
            </w:r>
          </w:p>
        </w:tc>
        <w:tc>
          <w:tcPr>
            <w:tcW w:w="1604" w:type="dxa"/>
            <w:vAlign w:val="center"/>
          </w:tcPr>
          <w:p w14:paraId="76CBD467">
            <w:pPr>
              <w:spacing w:before="40" w:after="40" w:line="240" w:lineRule="auto"/>
              <w:rPr>
                <w:rFonts w:hint="eastAsia"/>
                <w:szCs w:val="21"/>
              </w:rPr>
            </w:pPr>
            <w:r>
              <w:rPr>
                <w:rFonts w:hint="eastAsia"/>
                <w:iCs/>
                <w:szCs w:val="21"/>
                <w:lang w:eastAsia="zh-CN"/>
              </w:rPr>
              <w:t>官方文件</w:t>
            </w:r>
          </w:p>
        </w:tc>
      </w:tr>
    </w:tbl>
    <w:p w14:paraId="0B1A5FC5">
      <w:pPr>
        <w:pStyle w:val="4"/>
        <w:rPr>
          <w:rFonts w:ascii="微软雅黑" w:hAnsi="微软雅黑" w:eastAsia="微软雅黑"/>
          <w:color w:val="auto"/>
        </w:rPr>
      </w:pPr>
      <w:bookmarkStart w:id="45" w:name="_Toc21033"/>
      <w:bookmarkStart w:id="46" w:name="_Toc20582"/>
      <w:bookmarkStart w:id="47" w:name="_Toc27599"/>
      <w:bookmarkStart w:id="48" w:name="_Toc13995"/>
      <w:r>
        <w:rPr>
          <w:rFonts w:ascii="微软雅黑" w:hAnsi="微软雅黑" w:eastAsia="微软雅黑"/>
          <w:color w:val="auto"/>
          <w:lang w:val="zh-CN" w:eastAsia="zh-CN"/>
        </w:rPr>
        <w:t>2.5  公司已落地项目概览</w:t>
      </w:r>
      <w:bookmarkEnd w:id="45"/>
      <w:bookmarkEnd w:id="46"/>
      <w:bookmarkEnd w:id="47"/>
      <w:bookmarkEnd w:id="48"/>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1699"/>
        <w:gridCol w:w="1700"/>
        <w:gridCol w:w="1700"/>
        <w:gridCol w:w="1713"/>
        <w:gridCol w:w="2038"/>
      </w:tblGrid>
      <w:tr w14:paraId="287CE0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blHeader/>
          <w:jc w:val="center"/>
        </w:trPr>
        <w:tc>
          <w:tcPr>
            <w:tcW w:w="1724" w:type="dxa"/>
            <w:shd w:val="clear" w:color="auto" w:fill="1F4E79"/>
            <w:vAlign w:val="center"/>
          </w:tcPr>
          <w:p w14:paraId="4F877A19">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项目名称</w:t>
            </w:r>
          </w:p>
        </w:tc>
        <w:tc>
          <w:tcPr>
            <w:tcW w:w="1725" w:type="dxa"/>
            <w:shd w:val="clear" w:color="auto" w:fill="1F4E79"/>
            <w:vAlign w:val="center"/>
          </w:tcPr>
          <w:p w14:paraId="1B63EC6C">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承接单位</w:t>
            </w:r>
          </w:p>
        </w:tc>
        <w:tc>
          <w:tcPr>
            <w:tcW w:w="1725" w:type="dxa"/>
            <w:shd w:val="clear" w:color="auto" w:fill="1F4E79"/>
            <w:vAlign w:val="center"/>
          </w:tcPr>
          <w:p w14:paraId="6371AED1">
            <w:pPr>
              <w:spacing w:before="40" w:after="40" w:line="240" w:lineRule="auto"/>
              <w:jc w:val="center"/>
              <w:rPr>
                <w:rFonts w:hint="eastAsia"/>
                <w:color w:val="FFFFFF" w:themeColor="background1"/>
                <w:szCs w:val="21"/>
                <w14:textFill>
                  <w14:solidFill>
                    <w14:schemeClr w14:val="bg1"/>
                  </w14:solidFill>
                </w14:textFill>
              </w:rPr>
            </w:pPr>
            <w:r>
              <w:rPr>
                <w:rFonts w:hint="eastAsia"/>
                <w:b/>
                <w:color w:val="FFFFFF" w:themeColor="background1"/>
                <w:szCs w:val="21"/>
                <w:lang w:val="zh-CN" w:eastAsia="zh-CN"/>
                <w14:textFill>
                  <w14:solidFill>
                    <w14:schemeClr w14:val="bg1"/>
                  </w14:solidFill>
                </w14:textFill>
              </w:rPr>
              <w:t>当地设立</w:t>
            </w:r>
            <w:r>
              <w:rPr>
                <w:b/>
                <w:color w:val="FFFFFF" w:themeColor="background1"/>
                <w:szCs w:val="21"/>
                <w:lang w:val="zh-CN" w:eastAsia="zh-CN"/>
                <w14:textFill>
                  <w14:solidFill>
                    <w14:schemeClr w14:val="bg1"/>
                  </w14:solidFill>
                </w14:textFill>
              </w:rPr>
              <w:t>主体形式</w:t>
            </w:r>
          </w:p>
        </w:tc>
        <w:tc>
          <w:tcPr>
            <w:tcW w:w="1725" w:type="dxa"/>
            <w:shd w:val="clear" w:color="auto" w:fill="1F4E79"/>
            <w:vAlign w:val="center"/>
          </w:tcPr>
          <w:p w14:paraId="1B4C81FD">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工期</w:t>
            </w:r>
          </w:p>
        </w:tc>
        <w:tc>
          <w:tcPr>
            <w:tcW w:w="1725" w:type="dxa"/>
            <w:shd w:val="clear" w:color="auto" w:fill="1F4E79"/>
            <w:vAlign w:val="center"/>
          </w:tcPr>
          <w:p w14:paraId="61237643">
            <w:pPr>
              <w:spacing w:before="40" w:after="40" w:line="240" w:lineRule="auto"/>
              <w:jc w:val="center"/>
              <w:rPr>
                <w:rFonts w:hint="eastAsia"/>
                <w:color w:val="FFFFFF" w:themeColor="background1"/>
                <w:szCs w:val="21"/>
                <w14:textFill>
                  <w14:solidFill>
                    <w14:schemeClr w14:val="bg1"/>
                  </w14:solidFill>
                </w14:textFill>
              </w:rPr>
            </w:pPr>
            <w:r>
              <w:rPr>
                <w:b/>
                <w:color w:val="FFFFFF" w:themeColor="background1"/>
                <w:szCs w:val="21"/>
                <w:lang w:val="zh-CN" w:eastAsia="zh-CN"/>
                <w14:textFill>
                  <w14:solidFill>
                    <w14:schemeClr w14:val="bg1"/>
                  </w14:solidFill>
                </w14:textFill>
              </w:rPr>
              <w:t>合同额</w:t>
            </w:r>
          </w:p>
        </w:tc>
      </w:tr>
      <w:tr w14:paraId="30BF9D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724" w:type="dxa"/>
            <w:vAlign w:val="center"/>
          </w:tcPr>
          <w:p w14:paraId="59C6FB9E">
            <w:pPr>
              <w:spacing w:before="40" w:after="40" w:line="240" w:lineRule="auto"/>
              <w:rPr>
                <w:rFonts w:hint="default" w:eastAsia="微软雅黑"/>
                <w:szCs w:val="21"/>
                <w:lang w:val="en-US" w:eastAsia="zh-CN"/>
              </w:rPr>
            </w:pPr>
            <w:r>
              <w:rPr>
                <w:rFonts w:hint="eastAsia"/>
                <w:szCs w:val="21"/>
                <w:lang w:val="en-US" w:eastAsia="zh-CN"/>
              </w:rPr>
              <w:t>马拉喀什硫酸钴生产项目</w:t>
            </w:r>
          </w:p>
        </w:tc>
        <w:tc>
          <w:tcPr>
            <w:tcW w:w="1725" w:type="dxa"/>
            <w:vAlign w:val="center"/>
          </w:tcPr>
          <w:p w14:paraId="41AFBC62">
            <w:pPr>
              <w:spacing w:before="40" w:after="40" w:line="240" w:lineRule="auto"/>
              <w:rPr>
                <w:rFonts w:hint="default" w:eastAsia="微软雅黑"/>
                <w:szCs w:val="21"/>
                <w:lang w:val="en-US" w:eastAsia="zh-CN"/>
              </w:rPr>
            </w:pPr>
            <w:r>
              <w:rPr>
                <w:rFonts w:hint="eastAsia"/>
                <w:szCs w:val="21"/>
                <w:lang w:val="en-US" w:eastAsia="zh-CN"/>
              </w:rPr>
              <w:t>中国轻工业长沙工程有限公司</w:t>
            </w:r>
          </w:p>
        </w:tc>
        <w:tc>
          <w:tcPr>
            <w:tcW w:w="1725" w:type="dxa"/>
            <w:vAlign w:val="center"/>
          </w:tcPr>
          <w:p w14:paraId="0DDAC93B">
            <w:pPr>
              <w:spacing w:before="40" w:after="40" w:line="240" w:lineRule="auto"/>
              <w:rPr>
                <w:rFonts w:hint="eastAsia"/>
                <w:szCs w:val="21"/>
                <w:lang w:eastAsia="zh-CN"/>
              </w:rPr>
            </w:pPr>
            <w:r>
              <w:rPr>
                <w:rFonts w:hint="eastAsia"/>
                <w:szCs w:val="21"/>
                <w:lang w:val="en-US" w:eastAsia="zh-CN"/>
              </w:rPr>
              <w:t>分公司</w:t>
            </w:r>
          </w:p>
        </w:tc>
        <w:tc>
          <w:tcPr>
            <w:tcW w:w="1725" w:type="dxa"/>
            <w:vAlign w:val="center"/>
          </w:tcPr>
          <w:p w14:paraId="1D6696CE">
            <w:pPr>
              <w:spacing w:before="40" w:after="40" w:line="240" w:lineRule="auto"/>
              <w:rPr>
                <w:rFonts w:hint="default" w:eastAsia="微软雅黑"/>
                <w:szCs w:val="21"/>
                <w:lang w:val="en-US" w:eastAsia="zh-CN"/>
              </w:rPr>
            </w:pPr>
            <w:r>
              <w:rPr>
                <w:rFonts w:hint="eastAsia"/>
                <w:szCs w:val="21"/>
                <w:lang w:val="en-US" w:eastAsia="zh-CN"/>
              </w:rPr>
              <w:t>2023.12-2027.5</w:t>
            </w:r>
          </w:p>
        </w:tc>
        <w:tc>
          <w:tcPr>
            <w:tcW w:w="1725" w:type="dxa"/>
            <w:vAlign w:val="center"/>
          </w:tcPr>
          <w:p w14:paraId="03B4236C">
            <w:pPr>
              <w:spacing w:before="40" w:after="40" w:line="240" w:lineRule="auto"/>
              <w:rPr>
                <w:rFonts w:hint="default" w:eastAsia="微软雅黑"/>
                <w:szCs w:val="21"/>
                <w:lang w:val="en-US" w:eastAsia="zh-CN"/>
              </w:rPr>
            </w:pPr>
            <w:r>
              <w:rPr>
                <w:rFonts w:hint="eastAsia"/>
                <w:szCs w:val="21"/>
              </w:rPr>
              <w:t>36,019,338.00</w:t>
            </w:r>
            <w:r>
              <w:rPr>
                <w:rFonts w:hint="eastAsia"/>
                <w:szCs w:val="21"/>
                <w:lang w:val="en-US" w:eastAsia="zh-CN"/>
              </w:rPr>
              <w:t>USD</w:t>
            </w:r>
          </w:p>
        </w:tc>
      </w:tr>
      <w:tr w14:paraId="755B735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1724" w:type="dxa"/>
            <w:vAlign w:val="center"/>
          </w:tcPr>
          <w:p w14:paraId="4213E5CE">
            <w:pPr>
              <w:spacing w:before="40" w:after="40" w:line="240" w:lineRule="auto"/>
              <w:rPr>
                <w:rFonts w:hint="default" w:eastAsia="微软雅黑"/>
                <w:szCs w:val="21"/>
                <w:lang w:val="en-US" w:eastAsia="zh-CN"/>
              </w:rPr>
            </w:pPr>
            <w:r>
              <w:rPr>
                <w:rFonts w:hint="eastAsia"/>
                <w:szCs w:val="21"/>
                <w:lang w:val="en-US" w:eastAsia="zh-CN"/>
              </w:rPr>
              <w:t>纳祖尔海水淡化项目</w:t>
            </w:r>
          </w:p>
        </w:tc>
        <w:tc>
          <w:tcPr>
            <w:tcW w:w="1725" w:type="dxa"/>
            <w:vAlign w:val="center"/>
          </w:tcPr>
          <w:p w14:paraId="1063F0DF">
            <w:pPr>
              <w:spacing w:before="40" w:after="40" w:line="240" w:lineRule="auto"/>
              <w:rPr>
                <w:rFonts w:hint="eastAsia"/>
                <w:szCs w:val="21"/>
              </w:rPr>
            </w:pPr>
            <w:r>
              <w:rPr>
                <w:rFonts w:hint="eastAsia"/>
                <w:szCs w:val="21"/>
                <w:lang w:val="en-US" w:eastAsia="zh-CN"/>
              </w:rPr>
              <w:t>中国轻工业长沙工程有限公司</w:t>
            </w:r>
          </w:p>
        </w:tc>
        <w:tc>
          <w:tcPr>
            <w:tcW w:w="1725" w:type="dxa"/>
            <w:vAlign w:val="center"/>
          </w:tcPr>
          <w:p w14:paraId="651C571A">
            <w:pPr>
              <w:spacing w:before="40" w:after="40" w:line="240" w:lineRule="auto"/>
              <w:rPr>
                <w:rFonts w:hint="eastAsia"/>
                <w:szCs w:val="21"/>
              </w:rPr>
            </w:pPr>
            <w:r>
              <w:rPr>
                <w:rFonts w:hint="eastAsia"/>
                <w:szCs w:val="21"/>
                <w:lang w:val="en-US" w:eastAsia="zh-CN"/>
              </w:rPr>
              <w:t>分公司</w:t>
            </w:r>
          </w:p>
        </w:tc>
        <w:tc>
          <w:tcPr>
            <w:tcW w:w="1725" w:type="dxa"/>
            <w:vAlign w:val="center"/>
          </w:tcPr>
          <w:p w14:paraId="0B467437">
            <w:pPr>
              <w:spacing w:before="40" w:after="40" w:line="240" w:lineRule="auto"/>
              <w:rPr>
                <w:rFonts w:hint="default" w:eastAsia="微软雅黑"/>
                <w:szCs w:val="21"/>
                <w:lang w:val="en-US" w:eastAsia="zh-CN"/>
              </w:rPr>
            </w:pPr>
            <w:r>
              <w:rPr>
                <w:rFonts w:hint="eastAsia"/>
                <w:szCs w:val="21"/>
                <w:lang w:val="en-US" w:eastAsia="zh-CN"/>
              </w:rPr>
              <w:t>2024.12-2026.10</w:t>
            </w:r>
          </w:p>
        </w:tc>
        <w:tc>
          <w:tcPr>
            <w:tcW w:w="1725" w:type="dxa"/>
            <w:vAlign w:val="center"/>
          </w:tcPr>
          <w:p w14:paraId="28E50772">
            <w:pPr>
              <w:spacing w:before="40" w:after="40" w:line="240" w:lineRule="auto"/>
              <w:rPr>
                <w:rFonts w:hint="default" w:eastAsia="微软雅黑"/>
                <w:szCs w:val="21"/>
                <w:lang w:val="en-US" w:eastAsia="zh-CN"/>
              </w:rPr>
            </w:pPr>
            <w:r>
              <w:rPr>
                <w:rFonts w:hint="eastAsia"/>
                <w:szCs w:val="21"/>
              </w:rPr>
              <w:t>24,932,074.72</w:t>
            </w:r>
            <w:r>
              <w:rPr>
                <w:rFonts w:hint="eastAsia"/>
                <w:szCs w:val="21"/>
                <w:lang w:val="en-US" w:eastAsia="zh-CN"/>
              </w:rPr>
              <w:t>USD</w:t>
            </w:r>
          </w:p>
        </w:tc>
      </w:tr>
    </w:tbl>
    <w:p w14:paraId="69F67DE0">
      <w:pPr>
        <w:rPr>
          <w:rFonts w:ascii="微软雅黑" w:hAnsi="微软雅黑" w:eastAsia="微软雅黑"/>
          <w:color w:val="auto"/>
          <w:lang w:val="zh-CN" w:eastAsia="zh-CN"/>
        </w:rPr>
      </w:pPr>
      <w:bookmarkStart w:id="49" w:name="_Toc22170"/>
      <w:bookmarkStart w:id="50" w:name="_Toc15237"/>
      <w:bookmarkStart w:id="51" w:name="_Toc9913"/>
      <w:r>
        <w:rPr>
          <w:rFonts w:ascii="微软雅黑" w:hAnsi="微软雅黑" w:eastAsia="微软雅黑"/>
          <w:color w:val="auto"/>
          <w:lang w:val="zh-CN" w:eastAsia="zh-CN"/>
        </w:rPr>
        <w:br w:type="page"/>
      </w:r>
    </w:p>
    <w:p w14:paraId="016DDE8F">
      <w:pPr>
        <w:pStyle w:val="3"/>
        <w:rPr>
          <w:rFonts w:ascii="微软雅黑" w:hAnsi="微软雅黑" w:eastAsia="微软雅黑"/>
          <w:color w:val="auto"/>
          <w:lang w:val="zh-CN" w:eastAsia="zh-CN"/>
        </w:rPr>
      </w:pPr>
      <w:bookmarkStart w:id="52" w:name="_Toc13528"/>
      <w:r>
        <w:rPr>
          <w:rFonts w:ascii="微软雅黑" w:hAnsi="微软雅黑" w:eastAsia="微软雅黑"/>
          <w:color w:val="auto"/>
          <w:lang w:val="zh-CN" w:eastAsia="zh-CN"/>
        </w:rPr>
        <w:t>第三章  国别基础概况</w:t>
      </w:r>
      <w:bookmarkEnd w:id="49"/>
      <w:bookmarkEnd w:id="50"/>
      <w:bookmarkEnd w:id="51"/>
      <w:bookmarkEnd w:id="52"/>
    </w:p>
    <w:p w14:paraId="3992B299">
      <w:pPr>
        <w:pStyle w:val="4"/>
        <w:rPr>
          <w:rFonts w:ascii="微软雅黑" w:hAnsi="微软雅黑" w:eastAsia="微软雅黑"/>
          <w:color w:val="auto"/>
          <w:lang w:eastAsia="zh-CN"/>
        </w:rPr>
      </w:pPr>
      <w:bookmarkStart w:id="53" w:name="_Toc2913"/>
      <w:bookmarkStart w:id="54" w:name="_Toc15204"/>
      <w:bookmarkStart w:id="55" w:name="_Toc13123"/>
      <w:bookmarkStart w:id="56" w:name="_Toc7234"/>
      <w:r>
        <w:rPr>
          <w:rFonts w:ascii="微软雅黑" w:hAnsi="微软雅黑" w:eastAsia="微软雅黑"/>
          <w:color w:val="auto"/>
          <w:lang w:val="zh-CN" w:eastAsia="zh-CN"/>
        </w:rPr>
        <w:t>3.1  地缘、人文、法律与营商环境</w:t>
      </w:r>
      <w:bookmarkEnd w:id="53"/>
      <w:bookmarkEnd w:id="54"/>
      <w:bookmarkEnd w:id="55"/>
      <w:bookmarkEnd w:id="56"/>
    </w:p>
    <w:p w14:paraId="5496682C">
      <w:pPr>
        <w:pStyle w:val="5"/>
        <w:spacing w:before="40" w:after="40"/>
        <w:ind w:left="567"/>
        <w:rPr>
          <w:sz w:val="24"/>
          <w:szCs w:val="24"/>
          <w:lang w:val="zh-CN" w:eastAsia="zh-CN"/>
        </w:rPr>
      </w:pPr>
      <w:bookmarkStart w:id="57" w:name="_Toc19969"/>
      <w:bookmarkStart w:id="58" w:name="_Toc16404"/>
      <w:bookmarkStart w:id="59" w:name="_Toc20773"/>
      <w:bookmarkStart w:id="60" w:name="_Toc6109"/>
      <w:r>
        <w:rPr>
          <w:rFonts w:hint="eastAsia"/>
          <w:sz w:val="24"/>
          <w:szCs w:val="24"/>
          <w:lang w:val="en-US" w:eastAsia="zh-CN"/>
        </w:rPr>
        <w:t>3.1.1</w:t>
      </w:r>
      <w:r>
        <w:rPr>
          <w:sz w:val="24"/>
          <w:szCs w:val="24"/>
          <w:lang w:val="zh-CN" w:eastAsia="zh-CN"/>
        </w:rPr>
        <w:t>地理与政治</w:t>
      </w:r>
      <w:bookmarkEnd w:id="57"/>
      <w:bookmarkEnd w:id="58"/>
      <w:bookmarkEnd w:id="59"/>
      <w:bookmarkEnd w:id="60"/>
    </w:p>
    <w:p w14:paraId="55E4C455">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地处非洲西北角，摩洛哥东部及东南部与阿尔及利亚接壤，南部为西撒哈拉，西濒浩瀚的大西洋，北临地中海，隔直布罗陀海峡与西班牙相望，扼地中海西端出入门户。摩洛哥距欧洲仅14公里，是连接欧盟、阿拉伯世界（中东）和非洲三大市场的枢纽。</w:t>
      </w:r>
    </w:p>
    <w:p w14:paraId="3994CC54">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实行君主制，国王不仅是国家元首，还是武装部队的最高统帅，拥有最高权力。摩洛哥实行多党制，各党均宣布拥护国王和伊斯兰教，在大政方针上与国王保持一致。目前，摩政局总体保持稳定，但摩区域发展不均衡、失业率较高，游行、罢工等事件仍有发生。</w:t>
      </w:r>
    </w:p>
    <w:p w14:paraId="6B56CEF4">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2002年8月，中摩双方签署《避免双重征税协定》，2006年8月开始生效。</w:t>
      </w:r>
    </w:p>
    <w:p w14:paraId="7C4397C2">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2016年5月，中国与摩洛哥两国中央银行签署货币互换协议，互换规模为100亿元人民币/150亿迪拉姆，有效期3年，至今未实际执行。</w:t>
      </w:r>
    </w:p>
    <w:p w14:paraId="01CB695F">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2016年5月，摩洛哥宣布，自6月1日起对所有中国公民实施旅游免签。</w:t>
      </w:r>
    </w:p>
    <w:p w14:paraId="2B63F227">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2017年11月，外交部长王毅在北京同摩洛哥外交与国际合作大臣布里达共同签署《中华人民共和国政府与摩洛哥王国政府关于共同推进丝绸之路经济带和21世纪海上丝绸之路的谅解备忘录》，摩洛哥成为首个签署该文件的马格里布国家。</w:t>
      </w:r>
    </w:p>
    <w:p w14:paraId="0AC338B9">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2022年1月5日，中国国家发展改革委副主任宁吉喆与摩洛哥外交大臣布里达分别代表中摩两国政府签署《中华人民共和国政府与摩洛哥王国政府关于共同推进“一带一路”建设的合作规划》。摩洛哥成为北非地区首个与中国签署共建“一带一路”合作规划的国家。</w:t>
      </w:r>
    </w:p>
    <w:p w14:paraId="7A0032AD">
      <w:pPr>
        <w:spacing w:before="40" w:after="40"/>
        <w:ind w:left="0" w:firstLine="480" w:firstLineChars="200"/>
        <w:jc w:val="both"/>
        <w:rPr>
          <w:rFonts w:hint="eastAsia"/>
          <w:sz w:val="24"/>
          <w:szCs w:val="24"/>
          <w:lang w:val="zh-CN" w:eastAsia="zh-CN"/>
        </w:rPr>
      </w:pPr>
      <w:r>
        <w:rPr>
          <w:rFonts w:hint="default" w:ascii="微软雅黑" w:hAnsi="微软雅黑" w:eastAsia="微软雅黑" w:cstheme="minorBidi"/>
          <w:sz w:val="24"/>
          <w:szCs w:val="24"/>
          <w:lang w:val="zh-CN" w:eastAsia="zh-CN"/>
        </w:rPr>
        <w:t>2024年，中摩双边贸易总额为90.4亿美元，同比增长21.5%。其中中国出口额为77.4亿美元，同比增长20%，进口额为13亿美元，同比增长32.7%。</w:t>
      </w:r>
    </w:p>
    <w:p w14:paraId="1870738F">
      <w:pPr>
        <w:pStyle w:val="5"/>
        <w:spacing w:before="40" w:after="40"/>
        <w:ind w:left="567"/>
        <w:jc w:val="both"/>
        <w:rPr>
          <w:sz w:val="24"/>
          <w:szCs w:val="24"/>
          <w:lang w:val="zh-CN" w:eastAsia="zh-CN"/>
        </w:rPr>
      </w:pPr>
      <w:bookmarkStart w:id="61" w:name="_Toc17725"/>
      <w:bookmarkStart w:id="62" w:name="_Toc7399"/>
      <w:bookmarkStart w:id="63" w:name="_Toc7596"/>
      <w:bookmarkStart w:id="64" w:name="_Toc32329"/>
      <w:r>
        <w:rPr>
          <w:rFonts w:hint="eastAsia"/>
          <w:sz w:val="24"/>
          <w:szCs w:val="24"/>
          <w:lang w:val="en-US" w:eastAsia="zh-CN"/>
        </w:rPr>
        <w:t>3.1.2</w:t>
      </w:r>
      <w:r>
        <w:rPr>
          <w:sz w:val="24"/>
          <w:szCs w:val="24"/>
          <w:lang w:val="zh-CN" w:eastAsia="zh-CN"/>
        </w:rPr>
        <w:t>经济概况</w:t>
      </w:r>
      <w:bookmarkEnd w:id="61"/>
      <w:bookmarkEnd w:id="62"/>
      <w:bookmarkEnd w:id="63"/>
      <w:bookmarkEnd w:id="64"/>
    </w:p>
    <w:p w14:paraId="6EDDD051">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sz w:val="24"/>
          <w:szCs w:val="24"/>
          <w:lang w:val="zh-CN" w:eastAsia="zh-CN"/>
        </w:rPr>
        <w:t>（</w:t>
      </w:r>
      <w:r>
        <w:rPr>
          <w:rFonts w:hint="eastAsia"/>
          <w:sz w:val="24"/>
          <w:szCs w:val="24"/>
          <w:lang w:val="en-US" w:eastAsia="zh-CN"/>
        </w:rPr>
        <w:t>1）</w:t>
      </w:r>
      <w:r>
        <w:rPr>
          <w:rFonts w:hint="default" w:ascii="微软雅黑" w:hAnsi="微软雅黑" w:eastAsia="微软雅黑" w:cstheme="minorBidi"/>
          <w:sz w:val="24"/>
          <w:szCs w:val="24"/>
          <w:lang w:val="zh-CN" w:eastAsia="zh-CN"/>
        </w:rPr>
        <w:t>经济体量：</w:t>
      </w:r>
    </w:p>
    <w:p w14:paraId="73A9C5AA">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是以第三产业经济为主、中等收入水平的发展中国家，是非洲第五大、北非第三大经济体。根据国际货币基金组织（IMF）2026年4月发布的预测，摩洛哥2026年名义国内生产总值（GDP）预计约为1943.3亿美元，人均GDP约5110美元，经济增长率预计为4.9%</w:t>
      </w:r>
    </w:p>
    <w:p w14:paraId="66DF9082">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zh-CN" w:eastAsia="zh-CN"/>
        </w:rPr>
        <w:t>（</w:t>
      </w:r>
      <w:r>
        <w:rPr>
          <w:rFonts w:hint="eastAsia" w:cstheme="minorBidi"/>
          <w:sz w:val="24"/>
          <w:szCs w:val="24"/>
          <w:lang w:val="en-US" w:eastAsia="zh-CN"/>
        </w:rPr>
        <w:t>2）</w:t>
      </w:r>
      <w:r>
        <w:rPr>
          <w:rFonts w:hint="default" w:ascii="微软雅黑" w:hAnsi="微软雅黑" w:eastAsia="微软雅黑" w:cstheme="minorBidi"/>
          <w:sz w:val="24"/>
          <w:szCs w:val="24"/>
          <w:lang w:val="zh-CN" w:eastAsia="zh-CN"/>
        </w:rPr>
        <w:t>主要产业：</w:t>
      </w:r>
    </w:p>
    <w:p w14:paraId="00FC199D">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经济以汽车制造、磷酸盐开采、纺织业、农业和旅游业为支柱。其中，汽车业已成为该国第一大出口创汇产业，定位为欧洲的制造中心。此外，航空、新能源（太阳能）和数字经济也是其重点发展的新兴领域。</w:t>
      </w:r>
    </w:p>
    <w:p w14:paraId="67F07988">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zh-CN" w:eastAsia="zh-CN"/>
        </w:rPr>
        <w:t>（</w:t>
      </w:r>
      <w:r>
        <w:rPr>
          <w:rFonts w:hint="eastAsia" w:cstheme="minorBidi"/>
          <w:sz w:val="24"/>
          <w:szCs w:val="24"/>
          <w:lang w:val="en-US" w:eastAsia="zh-CN"/>
        </w:rPr>
        <w:t>3）</w:t>
      </w:r>
      <w:r>
        <w:rPr>
          <w:rFonts w:hint="default" w:ascii="微软雅黑" w:hAnsi="微软雅黑" w:eastAsia="微软雅黑" w:cstheme="minorBidi"/>
          <w:sz w:val="24"/>
          <w:szCs w:val="24"/>
          <w:lang w:val="zh-CN" w:eastAsia="zh-CN"/>
        </w:rPr>
        <w:t>中资企业数量和主要聚集领域：</w:t>
      </w:r>
    </w:p>
    <w:p w14:paraId="3E61EAAF">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2024年，摩洛哥向中国出口的主要商品是电机及零件、铜制品、矿产品、非针织或非钩编服装等。摩洛哥自中国进口的前五大商品是机械设备及零件、电气电机设备、车辆及零部件、塑料制品、钢铁制品、纺织原料等。</w:t>
      </w:r>
    </w:p>
    <w:p w14:paraId="511D8D2D">
      <w:pPr>
        <w:spacing w:before="40" w:after="40"/>
        <w:ind w:left="0" w:firstLine="480" w:firstLineChars="200"/>
        <w:jc w:val="both"/>
        <w:rPr>
          <w:rFonts w:hint="eastAsia" w:ascii="华文仿宋" w:hAnsi="华文仿宋" w:eastAsia="华文仿宋" w:cs="华文仿宋"/>
          <w:sz w:val="24"/>
          <w:szCs w:val="24"/>
          <w:lang w:val="zh-CN" w:eastAsia="zh-CN"/>
        </w:rPr>
      </w:pPr>
      <w:r>
        <w:rPr>
          <w:rFonts w:hint="default" w:ascii="微软雅黑" w:hAnsi="微软雅黑" w:eastAsia="微软雅黑" w:cstheme="minorBidi"/>
          <w:sz w:val="24"/>
          <w:szCs w:val="24"/>
          <w:lang w:val="zh-CN" w:eastAsia="zh-CN"/>
        </w:rPr>
        <w:t>据中国商务部统计，2024年中国企业在摩洛哥新签合同额14.2亿美元，完成营业额3.97亿美元，年末在摩洛哥劳务人员380人。根据2025年3月驻摩洛哥王国大使馆经济商务处发布的摩洛哥中资企业协会会员名录，中资企业共有65家，主要涉及制造业、服务业、基建、能源等领域。</w:t>
      </w:r>
    </w:p>
    <w:p w14:paraId="3648538B">
      <w:pPr>
        <w:pStyle w:val="5"/>
        <w:spacing w:before="40" w:after="40"/>
        <w:ind w:left="567"/>
        <w:jc w:val="both"/>
        <w:rPr>
          <w:sz w:val="24"/>
          <w:szCs w:val="24"/>
          <w:lang w:val="zh-CN" w:eastAsia="zh-CN"/>
        </w:rPr>
      </w:pPr>
      <w:bookmarkStart w:id="65" w:name="_Toc2755"/>
      <w:bookmarkStart w:id="66" w:name="_Toc7573"/>
      <w:bookmarkStart w:id="67" w:name="_Toc27865"/>
      <w:bookmarkStart w:id="68" w:name="_Toc11242"/>
      <w:r>
        <w:rPr>
          <w:rFonts w:hint="eastAsia"/>
          <w:sz w:val="24"/>
          <w:szCs w:val="24"/>
          <w:lang w:val="en-US" w:eastAsia="zh-CN"/>
        </w:rPr>
        <w:t>3.1.3</w:t>
      </w:r>
      <w:r>
        <w:rPr>
          <w:sz w:val="24"/>
          <w:szCs w:val="24"/>
          <w:lang w:val="zh-CN" w:eastAsia="zh-CN"/>
        </w:rPr>
        <w:t>法律与营商环境：</w:t>
      </w:r>
      <w:bookmarkEnd w:id="65"/>
      <w:bookmarkEnd w:id="66"/>
      <w:bookmarkEnd w:id="67"/>
      <w:bookmarkEnd w:id="68"/>
    </w:p>
    <w:p w14:paraId="37C536E7">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zh-CN" w:eastAsia="zh-CN"/>
        </w:rPr>
        <w:t>（</w:t>
      </w:r>
      <w:r>
        <w:rPr>
          <w:rFonts w:hint="eastAsia" w:cstheme="minorBidi"/>
          <w:sz w:val="24"/>
          <w:szCs w:val="24"/>
          <w:lang w:val="en-US" w:eastAsia="zh-CN"/>
        </w:rPr>
        <w:t>1）</w:t>
      </w:r>
      <w:r>
        <w:rPr>
          <w:rFonts w:hint="default" w:ascii="微软雅黑" w:hAnsi="微软雅黑" w:eastAsia="微软雅黑" w:cstheme="minorBidi"/>
          <w:sz w:val="24"/>
          <w:szCs w:val="24"/>
          <w:lang w:val="zh-CN" w:eastAsia="zh-CN"/>
        </w:rPr>
        <w:t>摩洛哥法律体系：</w:t>
      </w:r>
    </w:p>
    <w:p w14:paraId="74F25848">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的法律体系深受法国民法传统影响，同时融合了伊斯兰教法（Sharia）与犹太传统元素。宪法是最高法律渊源，其次是皇家法令（Dahir）、议会通过的法律及行政法规。2011年宪法改革扩大了议会与政府职权，并设立了独立的宪法法院，负责审查法律的合宪性（但无权审查皇室立法）。核心法典包括1956年《民法典》、1996年《商法典》、《劳动法典》及《投资宪章》等。实行大陆法系的成文法审判模式，同时设有世俗法院与宗教法院并行的双轨制。法院层级包括初审法院、上诉法院、最高法院及行政法院、商事法院等专门法庭。政府致力于提升商业法规的透明度和效率，设立了“一站式”投资服务窗口，但法律诉讼程序通常使用阿拉伯语，周期较长。</w:t>
      </w:r>
    </w:p>
    <w:p w14:paraId="2AB219CC">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zh-CN" w:eastAsia="zh-CN"/>
        </w:rPr>
        <w:t>（</w:t>
      </w:r>
      <w:r>
        <w:rPr>
          <w:rFonts w:hint="eastAsia" w:cstheme="minorBidi"/>
          <w:sz w:val="24"/>
          <w:szCs w:val="24"/>
          <w:lang w:val="en-US" w:eastAsia="zh-CN"/>
        </w:rPr>
        <w:t>2）</w:t>
      </w:r>
      <w:r>
        <w:rPr>
          <w:rFonts w:hint="default" w:ascii="微软雅黑" w:hAnsi="微软雅黑" w:eastAsia="微软雅黑" w:cstheme="minorBidi"/>
          <w:sz w:val="24"/>
          <w:szCs w:val="24"/>
          <w:lang w:val="zh-CN" w:eastAsia="zh-CN"/>
        </w:rPr>
        <w:t>外资准入限制：</w:t>
      </w:r>
    </w:p>
    <w:p w14:paraId="1183ED98">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摩洛哥对外资整体持开放态度，实行国民待遇原则，但在少数关键领域设有明确的准入限制。</w:t>
      </w:r>
    </w:p>
    <w:p w14:paraId="3727E0F0">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b/>
          <w:bCs/>
          <w:sz w:val="24"/>
          <w:szCs w:val="24"/>
          <w:lang w:val="zh-CN" w:eastAsia="zh-CN"/>
        </w:rPr>
        <w:t>禁止进入的行业：</w:t>
      </w:r>
    </w:p>
    <w:p w14:paraId="7BD2369C">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a</w:t>
      </w:r>
      <w:r>
        <w:rPr>
          <w:rFonts w:hint="default" w:ascii="微软雅黑" w:hAnsi="微软雅黑" w:eastAsia="微软雅黑" w:cstheme="minorBidi"/>
          <w:sz w:val="24"/>
          <w:szCs w:val="24"/>
          <w:lang w:val="zh-CN" w:eastAsia="zh-CN"/>
        </w:rPr>
        <w:t>磷酸盐开采：磷酸盐是摩洛哥的战略命脉资源，该行业完全由国家垄断，禁止外资进入。</w:t>
      </w:r>
    </w:p>
    <w:p w14:paraId="4CAC5825">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b</w:t>
      </w:r>
      <w:r>
        <w:rPr>
          <w:rFonts w:hint="default" w:ascii="微软雅黑" w:hAnsi="微软雅黑" w:eastAsia="微软雅黑" w:cstheme="minorBidi"/>
          <w:sz w:val="24"/>
          <w:szCs w:val="24"/>
          <w:lang w:val="zh-CN" w:eastAsia="zh-CN"/>
        </w:rPr>
        <w:t>国防军工：武器、弹药及危害国家安全的相关产业。</w:t>
      </w:r>
    </w:p>
    <w:p w14:paraId="50003485">
      <w:pPr>
        <w:spacing w:before="40" w:after="40"/>
        <w:ind w:left="0" w:firstLine="480" w:firstLineChars="200"/>
        <w:rPr>
          <w:rFonts w:hint="default" w:ascii="微软雅黑" w:hAnsi="微软雅黑" w:eastAsia="微软雅黑" w:cstheme="minorBidi"/>
          <w:sz w:val="24"/>
          <w:szCs w:val="24"/>
          <w:lang w:val="zh-CN" w:eastAsia="zh-CN"/>
        </w:rPr>
      </w:pPr>
      <w:r>
        <w:rPr>
          <w:rFonts w:hint="default" w:ascii="微软雅黑" w:hAnsi="微软雅黑" w:eastAsia="微软雅黑" w:cstheme="minorBidi"/>
          <w:b/>
          <w:bCs/>
          <w:sz w:val="24"/>
          <w:szCs w:val="24"/>
          <w:lang w:val="zh-CN" w:eastAsia="zh-CN"/>
        </w:rPr>
        <w:t>限制进入的行业（设有股比或经营门槛）：</w:t>
      </w:r>
    </w:p>
    <w:p w14:paraId="38A24237">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a</w:t>
      </w:r>
      <w:r>
        <w:rPr>
          <w:rFonts w:hint="default" w:ascii="微软雅黑" w:hAnsi="微软雅黑" w:eastAsia="微软雅黑" w:cstheme="minorBidi"/>
          <w:sz w:val="24"/>
          <w:szCs w:val="24"/>
          <w:lang w:val="zh-CN" w:eastAsia="zh-CN"/>
        </w:rPr>
        <w:t>航空与海事：外资在航空、海洋渔业及海运公司的持股比例不得超过49%。</w:t>
      </w:r>
    </w:p>
    <w:p w14:paraId="0F3B12F9">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b</w:t>
      </w:r>
      <w:r>
        <w:rPr>
          <w:rFonts w:hint="default" w:ascii="微软雅黑" w:hAnsi="微软雅黑" w:eastAsia="微软雅黑" w:cstheme="minorBidi"/>
          <w:sz w:val="24"/>
          <w:szCs w:val="24"/>
          <w:lang w:val="zh-CN" w:eastAsia="zh-CN"/>
        </w:rPr>
        <w:t>农业与林业：外国投资者不能购买农业或林业土地，只能通过长期租赁（最长期限40年且可续租）的方式获取使用权。</w:t>
      </w:r>
    </w:p>
    <w:p w14:paraId="3C53EE5A">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c</w:t>
      </w:r>
      <w:r>
        <w:rPr>
          <w:rFonts w:hint="default" w:ascii="微软雅黑" w:hAnsi="微软雅黑" w:eastAsia="微软雅黑" w:cstheme="minorBidi"/>
          <w:sz w:val="24"/>
          <w:szCs w:val="24"/>
          <w:lang w:val="zh-CN" w:eastAsia="zh-CN"/>
        </w:rPr>
        <w:t>金融业：设立银行有较高的最低资本金要求（如吸纳公众存款的机构需2亿迪拉姆），且资本金须以本地货币持有。</w:t>
      </w:r>
    </w:p>
    <w:p w14:paraId="444B3D72">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d</w:t>
      </w:r>
      <w:r>
        <w:rPr>
          <w:rFonts w:hint="default" w:ascii="微软雅黑" w:hAnsi="微软雅黑" w:eastAsia="微软雅黑" w:cstheme="minorBidi"/>
          <w:sz w:val="24"/>
          <w:szCs w:val="24"/>
          <w:lang w:val="zh-CN" w:eastAsia="zh-CN"/>
        </w:rPr>
        <w:t>文化产业：电影拍摄公司必须雇佣一定比例的本地持证人员（如外国剧组25%的专业岗位须由本地人员担任）。</w:t>
      </w:r>
    </w:p>
    <w:p w14:paraId="33975362">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zh-CN" w:eastAsia="zh-CN"/>
        </w:rPr>
        <w:t>（</w:t>
      </w:r>
      <w:r>
        <w:rPr>
          <w:rFonts w:hint="eastAsia" w:cstheme="minorBidi"/>
          <w:sz w:val="24"/>
          <w:szCs w:val="24"/>
          <w:lang w:val="en-US" w:eastAsia="zh-CN"/>
        </w:rPr>
        <w:t>3）</w:t>
      </w:r>
      <w:r>
        <w:rPr>
          <w:rFonts w:hint="default" w:ascii="微软雅黑" w:hAnsi="微软雅黑" w:eastAsia="微软雅黑" w:cstheme="minorBidi"/>
          <w:sz w:val="24"/>
          <w:szCs w:val="24"/>
          <w:lang w:val="zh-CN" w:eastAsia="zh-CN"/>
        </w:rPr>
        <w:t>投资审批与外汇管理：</w:t>
      </w:r>
    </w:p>
    <w:p w14:paraId="30194306">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审批机构：普通项目由摩洛哥投资发展署（AMDIE）审核；金融、能源等限制类行业需联合行业主管部门复审。</w:t>
      </w:r>
    </w:p>
    <w:p w14:paraId="0EE24B24">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外汇管制：摩洛哥实行外汇管制。外资股本必须以外币形式（如美元、欧元）从境外注入，并在摩洛哥银行生成外汇入账证明，否则当地实体将无法向境外母公司汇回利润或股息。</w:t>
      </w:r>
    </w:p>
    <w:p w14:paraId="13C8D883">
      <w:pPr>
        <w:spacing w:before="40" w:after="40"/>
        <w:ind w:left="0" w:firstLine="480" w:firstLineChars="200"/>
        <w:jc w:val="both"/>
        <w:rPr>
          <w:rFonts w:hint="default" w:ascii="华文仿宋" w:hAnsi="华文仿宋" w:eastAsia="华文仿宋" w:cs="华文仿宋"/>
          <w:sz w:val="24"/>
          <w:szCs w:val="24"/>
          <w:lang w:val="en-US" w:eastAsia="zh-CN"/>
        </w:rPr>
      </w:pPr>
      <w:r>
        <w:rPr>
          <w:rFonts w:hint="eastAsia"/>
          <w:sz w:val="24"/>
          <w:szCs w:val="24"/>
          <w:lang w:val="zh-CN" w:eastAsia="zh-CN"/>
        </w:rPr>
        <w:t>（</w:t>
      </w:r>
      <w:r>
        <w:rPr>
          <w:rFonts w:hint="eastAsia"/>
          <w:sz w:val="24"/>
          <w:szCs w:val="24"/>
          <w:lang w:val="en-US" w:eastAsia="zh-CN"/>
        </w:rPr>
        <w:t>4）</w:t>
      </w:r>
      <w:r>
        <w:rPr>
          <w:sz w:val="24"/>
          <w:szCs w:val="24"/>
          <w:lang w:val="zh-CN" w:eastAsia="zh-CN"/>
        </w:rPr>
        <w:t>中资企业普遍反映的营商环境优劣</w:t>
      </w:r>
      <w:r>
        <w:rPr>
          <w:rFonts w:hint="eastAsia"/>
          <w:sz w:val="24"/>
          <w:szCs w:val="24"/>
          <w:lang w:val="en-US" w:eastAsia="zh-CN"/>
        </w:rPr>
        <w:t>:</w:t>
      </w:r>
    </w:p>
    <w:p w14:paraId="617C506F">
      <w:pPr>
        <w:spacing w:before="40" w:after="40"/>
        <w:ind w:left="0" w:firstLine="480" w:firstLineChars="200"/>
        <w:rPr>
          <w:rFonts w:hint="default" w:ascii="微软雅黑" w:hAnsi="微软雅黑" w:eastAsia="微软雅黑" w:cstheme="minorBidi"/>
          <w:sz w:val="24"/>
          <w:szCs w:val="24"/>
          <w:lang w:val="en-US" w:eastAsia="zh-CN"/>
        </w:rPr>
      </w:pPr>
      <w:r>
        <w:rPr>
          <w:rFonts w:hint="default" w:ascii="微软雅黑" w:hAnsi="微软雅黑" w:eastAsia="微软雅黑" w:cstheme="minorBidi"/>
          <w:b/>
          <w:bCs/>
          <w:sz w:val="24"/>
          <w:szCs w:val="24"/>
          <w:lang w:val="zh-CN" w:eastAsia="zh-CN"/>
        </w:rPr>
        <w:t>优势与机遇</w:t>
      </w:r>
      <w:r>
        <w:rPr>
          <w:rFonts w:hint="eastAsia" w:cstheme="minorBidi"/>
          <w:sz w:val="24"/>
          <w:szCs w:val="24"/>
          <w:lang w:val="en-US" w:eastAsia="zh-CN"/>
        </w:rPr>
        <w:t>:</w:t>
      </w:r>
    </w:p>
    <w:p w14:paraId="1D112C66">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a </w:t>
      </w:r>
      <w:r>
        <w:rPr>
          <w:rFonts w:hint="default" w:ascii="微软雅黑" w:hAnsi="微软雅黑" w:eastAsia="微软雅黑" w:cstheme="minorBidi"/>
          <w:sz w:val="24"/>
          <w:szCs w:val="24"/>
          <w:lang w:val="zh-CN" w:eastAsia="zh-CN"/>
        </w:rPr>
        <w:t>政策与地理红利：摩洛哥政局长期稳定，且与欧盟、美国、土耳其等主要市场签有自贸协定。中资企业可借此规避贸易壁垒（如针对欧美的配额限制），辐射欧美市场。</w:t>
      </w:r>
    </w:p>
    <w:p w14:paraId="3B76B91D">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b</w:t>
      </w:r>
      <w:r>
        <w:rPr>
          <w:rFonts w:hint="default" w:ascii="微软雅黑" w:hAnsi="微软雅黑" w:eastAsia="微软雅黑" w:cstheme="minorBidi"/>
          <w:sz w:val="24"/>
          <w:szCs w:val="24"/>
          <w:lang w:val="zh-CN" w:eastAsia="zh-CN"/>
        </w:rPr>
        <w:t>投资补贴丰厚：根据2022年新版《投资宪章》，符合条件的企业（投资额≥5000万迪拉姆或创造≥150个岗位）可享受多项补贴，最高可达总投资额的30%。对于创造就业、环保、男女平等等项目还有额外加分。</w:t>
      </w:r>
    </w:p>
    <w:p w14:paraId="338616AE">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c </w:t>
      </w:r>
      <w:r>
        <w:rPr>
          <w:rFonts w:hint="default" w:ascii="微软雅黑" w:hAnsi="微软雅黑" w:eastAsia="微软雅黑" w:cstheme="minorBidi"/>
          <w:sz w:val="24"/>
          <w:szCs w:val="24"/>
          <w:lang w:val="zh-CN" w:eastAsia="zh-CN"/>
        </w:rPr>
        <w:t>重点区域税收优惠：在“工业加速区”（如丹吉尔汽车城）内设厂的企业，通常可享受前5年免缴公司税（企业所得税），后续按20% 征收的优惠，且免缴进口关税和增值税。</w:t>
      </w:r>
    </w:p>
    <w:p w14:paraId="55568F7C">
      <w:pPr>
        <w:spacing w:before="40" w:after="40"/>
        <w:ind w:left="0" w:firstLine="480" w:firstLineChars="200"/>
        <w:rPr>
          <w:rFonts w:hint="default" w:ascii="微软雅黑" w:hAnsi="微软雅黑" w:eastAsia="微软雅黑" w:cstheme="minorBidi"/>
          <w:sz w:val="24"/>
          <w:szCs w:val="24"/>
          <w:lang w:val="zh-CN" w:eastAsia="zh-CN"/>
        </w:rPr>
      </w:pPr>
      <w:r>
        <w:rPr>
          <w:rFonts w:hint="default" w:ascii="微软雅黑" w:hAnsi="微软雅黑" w:eastAsia="微软雅黑" w:cstheme="minorBidi"/>
          <w:b/>
          <w:bCs/>
          <w:sz w:val="24"/>
          <w:szCs w:val="24"/>
          <w:lang w:val="zh-CN" w:eastAsia="zh-CN"/>
        </w:rPr>
        <w:t>劣势与挑战</w:t>
      </w:r>
      <w:r>
        <w:rPr>
          <w:rFonts w:hint="eastAsia" w:cstheme="minorBidi"/>
          <w:sz w:val="24"/>
          <w:szCs w:val="24"/>
          <w:lang w:val="en-US" w:eastAsia="zh-CN"/>
        </w:rPr>
        <w:t>:</w:t>
      </w:r>
    </w:p>
    <w:p w14:paraId="3EFBCF81">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a </w:t>
      </w:r>
      <w:r>
        <w:rPr>
          <w:rFonts w:hint="default" w:ascii="微软雅黑" w:hAnsi="微软雅黑" w:eastAsia="微软雅黑" w:cstheme="minorBidi"/>
          <w:sz w:val="24"/>
          <w:szCs w:val="24"/>
          <w:lang w:val="zh-CN" w:eastAsia="zh-CN"/>
        </w:rPr>
        <w:t>行政效率与隐性成本：虽然设立了“一站式”窗口，但审批流程依然冗长。例如申请政府补贴（如哈桑二世基金）、办理工作许可和居留证（需每年更新，周期长、材料繁琐）耗费大量时间成本。</w:t>
      </w:r>
    </w:p>
    <w:p w14:paraId="0CBCAC11">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b</w:t>
      </w:r>
      <w:r>
        <w:rPr>
          <w:rFonts w:hint="default" w:ascii="微软雅黑" w:hAnsi="微软雅黑" w:eastAsia="微软雅黑" w:cstheme="minorBidi"/>
          <w:sz w:val="24"/>
          <w:szCs w:val="24"/>
          <w:lang w:val="zh-CN" w:eastAsia="zh-CN"/>
        </w:rPr>
        <w:t>劳工与工会问题：用工成本高：摩洛哥法定最低月薪约285美元，但中层管理人员薪资较高，且社保及个税负担重。</w:t>
      </w:r>
    </w:p>
    <w:p w14:paraId="7B6ECEBF">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c </w:t>
      </w:r>
      <w:r>
        <w:rPr>
          <w:rFonts w:hint="default" w:ascii="微软雅黑" w:hAnsi="微软雅黑" w:eastAsia="微软雅黑" w:cstheme="minorBidi"/>
          <w:sz w:val="24"/>
          <w:szCs w:val="24"/>
          <w:lang w:val="zh-CN" w:eastAsia="zh-CN"/>
        </w:rPr>
        <w:t>解雇难：当地工会势力较强，劳动法保护倾向员工，解雇成本高。中资企业通常优先雇佣当地员工（项目本地化率要求不低于70%），但这导致中方技术人员派驻困难。</w:t>
      </w:r>
    </w:p>
    <w:p w14:paraId="2F6313F0">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d </w:t>
      </w:r>
      <w:r>
        <w:rPr>
          <w:rFonts w:hint="default" w:ascii="微软雅黑" w:hAnsi="微软雅黑" w:eastAsia="微软雅黑" w:cstheme="minorBidi"/>
          <w:sz w:val="24"/>
          <w:szCs w:val="24"/>
          <w:lang w:val="zh-CN" w:eastAsia="zh-CN"/>
        </w:rPr>
        <w:t>语言障碍：虽然法语通用，但法律诉讼及部分行政文件使用阿拉伯语，沟通障碍增加合规风险。</w:t>
      </w:r>
    </w:p>
    <w:p w14:paraId="2AF81CDB">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eastAsia" w:cstheme="minorBidi"/>
          <w:sz w:val="24"/>
          <w:szCs w:val="24"/>
          <w:lang w:val="en-US" w:eastAsia="zh-CN"/>
        </w:rPr>
        <w:t xml:space="preserve">e </w:t>
      </w:r>
      <w:r>
        <w:rPr>
          <w:rFonts w:hint="default" w:ascii="微软雅黑" w:hAnsi="微软雅黑" w:eastAsia="微软雅黑" w:cstheme="minorBidi"/>
          <w:sz w:val="24"/>
          <w:szCs w:val="24"/>
          <w:lang w:val="zh-CN" w:eastAsia="zh-CN"/>
        </w:rPr>
        <w:t>配套与市场局限：</w:t>
      </w:r>
    </w:p>
    <w:p w14:paraId="1AE891FA">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供应链薄弱：摩洛哥本地制造业配套不足，原材料、辅料及部分零部件依赖进口，拉高了采购和物流成本。</w:t>
      </w:r>
    </w:p>
    <w:p w14:paraId="7ED665DA">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本地市场有限：人口约3780万，内需规模有限，企业往往定位为“出口加工基地”。</w:t>
      </w:r>
    </w:p>
    <w:p w14:paraId="03F07FF9">
      <w:pPr>
        <w:spacing w:before="40" w:after="40"/>
        <w:ind w:left="0" w:firstLine="480" w:firstLineChars="200"/>
        <w:jc w:val="both"/>
        <w:rPr>
          <w:rFonts w:hint="eastAsia" w:ascii="华文仿宋" w:hAnsi="华文仿宋" w:eastAsia="华文仿宋" w:cs="华文仿宋"/>
          <w:sz w:val="24"/>
          <w:szCs w:val="24"/>
          <w:lang w:val="zh-CN" w:eastAsia="zh-CN"/>
        </w:rPr>
      </w:pPr>
      <w:r>
        <w:rPr>
          <w:rFonts w:hint="eastAsia" w:cstheme="minorBidi"/>
          <w:sz w:val="24"/>
          <w:szCs w:val="24"/>
          <w:lang w:val="en-US" w:eastAsia="zh-CN"/>
        </w:rPr>
        <w:t xml:space="preserve">f </w:t>
      </w:r>
      <w:r>
        <w:rPr>
          <w:rFonts w:hint="default" w:ascii="微软雅黑" w:hAnsi="微软雅黑" w:eastAsia="微软雅黑" w:cstheme="minorBidi"/>
          <w:sz w:val="24"/>
          <w:szCs w:val="24"/>
          <w:lang w:val="zh-CN" w:eastAsia="zh-CN"/>
        </w:rPr>
        <w:t>合规风险：摩洛哥法律体系完备，执法严格，且广泛采用欧洲标准（中国标准通常不被直接认可）。企业需特别注意环保、税务及反商业贿赂方面的合规审查</w:t>
      </w:r>
      <w:r>
        <w:rPr>
          <w:rFonts w:hint="eastAsia" w:cstheme="minorBidi"/>
          <w:sz w:val="24"/>
          <w:szCs w:val="24"/>
          <w:lang w:val="zh-CN" w:eastAsia="zh-CN"/>
        </w:rPr>
        <w:t>。</w:t>
      </w:r>
    </w:p>
    <w:p w14:paraId="7A190FC0">
      <w:pPr>
        <w:pStyle w:val="5"/>
        <w:spacing w:before="40" w:after="40"/>
        <w:ind w:left="567"/>
        <w:rPr>
          <w:sz w:val="24"/>
          <w:szCs w:val="24"/>
          <w:lang w:val="zh-CN" w:eastAsia="zh-CN"/>
        </w:rPr>
      </w:pPr>
      <w:bookmarkStart w:id="69" w:name="_Toc209"/>
      <w:bookmarkStart w:id="70" w:name="_Toc31372"/>
      <w:bookmarkStart w:id="71" w:name="_Toc29616"/>
      <w:bookmarkStart w:id="72" w:name="_Toc1073"/>
      <w:r>
        <w:rPr>
          <w:rFonts w:hint="eastAsia"/>
          <w:sz w:val="24"/>
          <w:szCs w:val="24"/>
          <w:lang w:val="en-US" w:eastAsia="zh-CN"/>
        </w:rPr>
        <w:t>3.1.4</w:t>
      </w:r>
      <w:r>
        <w:rPr>
          <w:sz w:val="24"/>
          <w:szCs w:val="24"/>
          <w:lang w:val="zh-CN" w:eastAsia="zh-CN"/>
        </w:rPr>
        <w:t xml:space="preserve"> 文化习俗影响</w:t>
      </w:r>
      <w:bookmarkEnd w:id="69"/>
      <w:bookmarkEnd w:id="70"/>
      <w:bookmarkEnd w:id="71"/>
      <w:bookmarkEnd w:id="72"/>
    </w:p>
    <w:p w14:paraId="7881CEB0">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伊斯兰教是摩洛哥国教，99.8%的居民信奉伊斯兰教，主要为逊尼派；少数人口信奉基督教和犹太教。</w:t>
      </w:r>
    </w:p>
    <w:p w14:paraId="3422C4C9">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节假日较多，法定节日和庆典分为世俗节日和宗教节日两类。主要节日为国庆节（登基日）和独立日。世俗节日和庆典日按公历计算，各放假1天。宗教节日的具体时间按伊斯兰历计算，每年日期不确定。开斋节、宰牲节、穆罕默德诞辰各放假3天，回历新年放假1天。开斋节和宰牲节日期由宗教基金和伊斯兰事务部在前月末视月亮的盈亏等条件确定后，通过公共媒介宣布。摩洛哥各个节日如果适逢与公历假日重叠，不再累加。周六、周日为公休日。</w:t>
      </w:r>
    </w:p>
    <w:p w14:paraId="14BC14FA">
      <w:pPr>
        <w:spacing w:before="40" w:after="40"/>
        <w:ind w:left="0" w:firstLine="480" w:firstLineChars="200"/>
        <w:rPr>
          <w:rFonts w:hint="default"/>
          <w:sz w:val="24"/>
          <w:szCs w:val="24"/>
          <w:lang w:val="zh-CN" w:eastAsia="zh-CN"/>
        </w:rPr>
      </w:pPr>
      <w:r>
        <w:rPr>
          <w:rFonts w:hint="default" w:ascii="微软雅黑" w:hAnsi="微软雅黑" w:eastAsia="微软雅黑" w:cstheme="minorBidi"/>
          <w:sz w:val="24"/>
          <w:szCs w:val="24"/>
          <w:lang w:val="zh-CN" w:eastAsia="zh-CN"/>
        </w:rPr>
        <w:t>摩洛哥主要节假日一览表：</w:t>
      </w:r>
    </w:p>
    <w:tbl>
      <w:tblPr>
        <w:tblStyle w:val="29"/>
        <w:tblW w:w="88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278"/>
        <w:gridCol w:w="3568"/>
      </w:tblGrid>
      <w:tr w14:paraId="06AF2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40DF3D61">
            <w:pPr>
              <w:keepNext/>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节日名称</w:t>
            </w:r>
          </w:p>
        </w:tc>
        <w:tc>
          <w:tcPr>
            <w:tcW w:w="3568"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7557DC3D">
            <w:pPr>
              <w:keepNext/>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日期</w:t>
            </w:r>
          </w:p>
        </w:tc>
      </w:tr>
      <w:tr w14:paraId="4BE84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8CF7B02">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元旦</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7BCA314">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1月1日</w:t>
            </w:r>
          </w:p>
        </w:tc>
      </w:tr>
      <w:tr w14:paraId="70945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B928708">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独立宣言发表日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C3D41FA">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1月11日</w:t>
            </w:r>
          </w:p>
        </w:tc>
      </w:tr>
      <w:tr w14:paraId="522B9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3472A0E">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五一劳动节</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581F294">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kern w:val="0"/>
                <w:sz w:val="21"/>
                <w:szCs w:val="21"/>
                <w:u w:val="none"/>
                <w:lang w:val="en-US" w:eastAsia="zh-CN" w:bidi="ar"/>
              </w:rPr>
              <w:t>5月1日</w:t>
            </w:r>
          </w:p>
        </w:tc>
      </w:tr>
      <w:tr w14:paraId="5AF00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95A88CA">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开斋节</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5B0FB66">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随伊历变化</w:t>
            </w:r>
          </w:p>
        </w:tc>
      </w:tr>
      <w:tr w14:paraId="5F207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18377FF">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国庆节(登基日)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4A8F9EA">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7月30日</w:t>
            </w:r>
          </w:p>
        </w:tc>
      </w:tr>
      <w:tr w14:paraId="2D66E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7CDE007">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宰牲节</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5211F41">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随伊历变化</w:t>
            </w:r>
          </w:p>
        </w:tc>
      </w:tr>
      <w:tr w14:paraId="40E79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2C8EBE3">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收复西撒纪念日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8648A7C">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8月14日</w:t>
            </w:r>
          </w:p>
        </w:tc>
      </w:tr>
      <w:tr w14:paraId="2387D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EBD6A3D">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国王和人民革命日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EB80290">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kern w:val="0"/>
                <w:sz w:val="21"/>
                <w:szCs w:val="21"/>
                <w:u w:val="none"/>
                <w:lang w:val="en-US" w:eastAsia="zh-CN" w:bidi="ar"/>
              </w:rPr>
              <w:t>8月20日</w:t>
            </w:r>
          </w:p>
        </w:tc>
      </w:tr>
      <w:tr w14:paraId="13065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2302CD9">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青年节(国王诞辰)</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99622E5">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kern w:val="0"/>
                <w:sz w:val="21"/>
                <w:szCs w:val="21"/>
                <w:u w:val="none"/>
                <w:lang w:val="en-US" w:eastAsia="zh-CN" w:bidi="ar"/>
              </w:rPr>
              <w:t>8月21日</w:t>
            </w:r>
          </w:p>
        </w:tc>
      </w:tr>
      <w:tr w14:paraId="564B8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EC8E515">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伊斯兰新年</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5B8CC43">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随伊历变化</w:t>
            </w:r>
          </w:p>
        </w:tc>
      </w:tr>
      <w:tr w14:paraId="0F218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4AF748E">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绿色进军日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0065C7F">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11月6日</w:t>
            </w:r>
          </w:p>
        </w:tc>
      </w:tr>
      <w:tr w14:paraId="5268D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5D00A0B">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穆罕默德先知诞辰</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4952D37">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cs="微软雅黑"/>
                <w:sz w:val="21"/>
                <w:szCs w:val="21"/>
                <w:lang w:val="en-US" w:eastAsia="zh-CN" w:bidi="ar"/>
              </w:rPr>
              <w:t>随伊历变化</w:t>
            </w:r>
          </w:p>
        </w:tc>
      </w:tr>
      <w:tr w14:paraId="5B21B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27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A7CB84D">
            <w:pPr>
              <w:keepNext w:val="0"/>
              <w:keepLines w:val="0"/>
              <w:widowControl/>
              <w:suppressLineNumbers w:val="0"/>
              <w:adjustRightInd w:val="0"/>
              <w:snapToGrid w:val="0"/>
              <w:spacing w:after="0" w:line="240" w:lineRule="auto"/>
              <w:ind w:left="0" w:leftChars="0" w:right="0" w:rightChars="0" w:firstLine="0" w:firstLineChars="0"/>
              <w:jc w:val="left"/>
              <w:textAlignment w:val="center"/>
              <w:rPr>
                <w:rFonts w:hint="eastAsia" w:cs="微软雅黑"/>
                <w:sz w:val="21"/>
                <w:szCs w:val="21"/>
                <w:lang w:val="en-US" w:eastAsia="zh-CN" w:bidi="ar"/>
              </w:rPr>
            </w:pPr>
            <w:r>
              <w:rPr>
                <w:rFonts w:hint="eastAsia" w:cs="微软雅黑"/>
                <w:sz w:val="21"/>
                <w:szCs w:val="21"/>
                <w:lang w:val="en-US" w:eastAsia="zh-CN" w:bidi="ar"/>
              </w:rPr>
              <w:t>独立日</w:t>
            </w:r>
          </w:p>
        </w:tc>
        <w:tc>
          <w:tcPr>
            <w:tcW w:w="3568"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3E45736">
            <w:pPr>
              <w:keepNext w:val="0"/>
              <w:keepLines w:val="0"/>
              <w:widowControl/>
              <w:suppressLineNumbers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kern w:val="0"/>
                <w:sz w:val="21"/>
                <w:szCs w:val="21"/>
                <w:u w:val="none"/>
                <w:lang w:val="en-US" w:eastAsia="zh-CN" w:bidi="ar"/>
              </w:rPr>
              <w:t>11月18日</w:t>
            </w:r>
          </w:p>
        </w:tc>
      </w:tr>
    </w:tbl>
    <w:p w14:paraId="76AA8259">
      <w:pPr>
        <w:spacing w:before="40" w:after="40"/>
        <w:ind w:left="0"/>
        <w:rPr>
          <w:rFonts w:hint="default"/>
          <w:sz w:val="24"/>
          <w:szCs w:val="24"/>
          <w:lang w:val="en-US" w:eastAsia="zh-CN"/>
        </w:rPr>
      </w:pPr>
    </w:p>
    <w:p w14:paraId="6A0C7C85">
      <w:pPr>
        <w:pStyle w:val="4"/>
        <w:rPr>
          <w:rFonts w:ascii="微软雅黑" w:hAnsi="微软雅黑" w:eastAsia="微软雅黑"/>
          <w:color w:val="auto"/>
          <w:lang w:eastAsia="zh-CN"/>
        </w:rPr>
      </w:pPr>
      <w:bookmarkStart w:id="73" w:name="_Toc24357"/>
      <w:bookmarkStart w:id="74" w:name="_Toc14673"/>
      <w:bookmarkStart w:id="75" w:name="_Toc25603"/>
      <w:bookmarkStart w:id="76" w:name="_Toc25884"/>
      <w:r>
        <w:rPr>
          <w:rFonts w:ascii="微软雅黑" w:hAnsi="微软雅黑" w:eastAsia="微软雅黑"/>
          <w:color w:val="auto"/>
          <w:lang w:val="zh-CN" w:eastAsia="zh-CN"/>
        </w:rPr>
        <w:t>3.2  中资企业落地现状</w:t>
      </w:r>
      <w:bookmarkEnd w:id="73"/>
      <w:bookmarkEnd w:id="74"/>
      <w:bookmarkEnd w:id="75"/>
      <w:bookmarkEnd w:id="76"/>
    </w:p>
    <w:p w14:paraId="6372E0F3">
      <w:pPr>
        <w:pStyle w:val="5"/>
        <w:spacing w:before="40" w:after="40"/>
        <w:ind w:left="567"/>
        <w:rPr>
          <w:rFonts w:hint="default"/>
          <w:sz w:val="24"/>
          <w:szCs w:val="24"/>
          <w:lang w:val="en-US" w:eastAsia="zh-CN"/>
        </w:rPr>
      </w:pPr>
      <w:bookmarkStart w:id="77" w:name="_Toc22844"/>
      <w:bookmarkStart w:id="78" w:name="_Toc13922"/>
      <w:bookmarkStart w:id="79" w:name="_Toc21431"/>
      <w:bookmarkStart w:id="80" w:name="_Toc16939"/>
      <w:r>
        <w:rPr>
          <w:rFonts w:hint="eastAsia"/>
          <w:sz w:val="24"/>
          <w:szCs w:val="24"/>
          <w:lang w:val="en-US" w:eastAsia="zh-CN"/>
        </w:rPr>
        <w:t>3.2.1中资企业发展情况：</w:t>
      </w:r>
      <w:bookmarkEnd w:id="77"/>
      <w:bookmarkEnd w:id="78"/>
      <w:bookmarkEnd w:id="79"/>
      <w:bookmarkEnd w:id="80"/>
    </w:p>
    <w:p w14:paraId="7EB06756">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中国企业在摩洛哥主要聚集在卡萨布兰卡（Casablanca）、丹吉尔（Tangier）和盖尼特拉（Kenitra）三大城市。中信戴卡、南京协众、南京奥特佳、重庆瑞格和中国航空汽车工业控股有限公司控股的耐世特等5家中国汽车零部件制造商在盖尼特拉保税区投资设厂，均于2019年内正式投产，目前运营良好。青岛森麒麟入驻丹吉尔科技园，2025年正式投产。另有国轩高科、贝特瑞、中伟在摩投资设厂生产新能源电池材料，江苏中天科技在丹吉尔汽车城投资设立光缆工厂。</w:t>
      </w:r>
    </w:p>
    <w:p w14:paraId="3239CAF5">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最主要的一条高铁线路——丹卡高铁线，土建工程部分由中国中铁负责，电建参建；另一条摩洛哥重要的高铁线路——盖尼特拉至马拉喀什高铁，总投资87亿美元，也有中国企业的参与：中铁建4局、中铁20局、山东高速集团、中能建葛洲坝集团、中海外集团分别中标五个标段，中标金额共13亿美元。</w:t>
      </w:r>
    </w:p>
    <w:p w14:paraId="2F6FC481">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丹吉尔地中海港（Tanger Med）、丹吉尔科技城（Tanger Tech）也都是由中国企业参与建设。尤其是丹吉尔科技城，是中摩两国重大产能合作项目，项目总投资约15亿欧元，被称作“摩洛哥小上海”。</w:t>
      </w:r>
    </w:p>
    <w:p w14:paraId="6A1FABCB">
      <w:pPr>
        <w:pStyle w:val="5"/>
        <w:spacing w:before="40" w:after="40"/>
        <w:ind w:left="567"/>
        <w:jc w:val="both"/>
        <w:rPr>
          <w:rFonts w:hint="default"/>
          <w:sz w:val="24"/>
          <w:szCs w:val="24"/>
          <w:lang w:val="en-US" w:eastAsia="zh-CN"/>
        </w:rPr>
      </w:pPr>
      <w:bookmarkStart w:id="81" w:name="_Toc13625"/>
      <w:bookmarkStart w:id="82" w:name="_Toc15298"/>
      <w:bookmarkStart w:id="83" w:name="_Toc18"/>
      <w:bookmarkStart w:id="84" w:name="_Toc25645"/>
      <w:r>
        <w:rPr>
          <w:rFonts w:hint="eastAsia"/>
          <w:sz w:val="24"/>
          <w:szCs w:val="24"/>
          <w:lang w:val="en-US" w:eastAsia="zh-CN"/>
        </w:rPr>
        <w:t>3.2.2</w:t>
      </w:r>
      <w:r>
        <w:rPr>
          <w:sz w:val="24"/>
          <w:szCs w:val="24"/>
          <w:lang w:val="zh-CN" w:eastAsia="zh-CN"/>
        </w:rPr>
        <w:t xml:space="preserve"> </w:t>
      </w:r>
      <w:r>
        <w:rPr>
          <w:rFonts w:hint="eastAsia" w:ascii="微软雅黑" w:hAnsi="微软雅黑" w:eastAsia="微软雅黑"/>
          <w:color w:val="auto"/>
          <w:highlight w:val="none"/>
          <w:lang w:val="en-US" w:eastAsia="zh-CN"/>
        </w:rPr>
        <w:t>中国海诚各经营单位</w:t>
      </w:r>
      <w:r>
        <w:rPr>
          <w:rFonts w:hint="eastAsia"/>
          <w:color w:val="auto"/>
          <w:highlight w:val="none"/>
          <w:lang w:val="en-US" w:eastAsia="zh-CN"/>
        </w:rPr>
        <w:t>在摩洛哥</w:t>
      </w:r>
      <w:r>
        <w:rPr>
          <w:rFonts w:hint="eastAsia"/>
          <w:sz w:val="24"/>
          <w:szCs w:val="24"/>
          <w:lang w:val="en-US" w:eastAsia="zh-CN"/>
        </w:rPr>
        <w:t>业务开展情况：</w:t>
      </w:r>
      <w:bookmarkEnd w:id="81"/>
      <w:bookmarkEnd w:id="82"/>
      <w:bookmarkEnd w:id="83"/>
      <w:bookmarkEnd w:id="84"/>
    </w:p>
    <w:p w14:paraId="5D2D10BE">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2023年11月，中国海诚下属子公司中国轻工业长沙工程有限公司（简称</w:t>
      </w:r>
      <w:r>
        <w:rPr>
          <w:rFonts w:hint="eastAsia" w:cstheme="minorBidi"/>
          <w:sz w:val="24"/>
          <w:szCs w:val="24"/>
          <w:lang w:val="zh-CN" w:eastAsia="zh-CN"/>
        </w:rPr>
        <w:t>中国海诚长沙公司</w:t>
      </w:r>
      <w:r>
        <w:rPr>
          <w:rFonts w:hint="default" w:ascii="微软雅黑" w:hAnsi="微软雅黑" w:eastAsia="微软雅黑" w:cstheme="minorBidi"/>
          <w:sz w:val="24"/>
          <w:szCs w:val="24"/>
          <w:lang w:val="zh-CN" w:eastAsia="zh-CN"/>
        </w:rPr>
        <w:t>）与摩洛哥摩洛哥马拉锦矿业集团（Managem Group）旗下摩洛哥盖马萨绿色冶金公司旗下摩洛哥盖玛萨绿色冶金公司（Guemassa Green Metallurgy）和REMINEX公司，签约马拉喀什电池级硫酸</w:t>
      </w:r>
      <w:r>
        <w:rPr>
          <w:rFonts w:hint="eastAsia" w:cstheme="minorBidi"/>
          <w:sz w:val="24"/>
          <w:szCs w:val="24"/>
          <w:lang w:val="zh-CN" w:eastAsia="zh-CN"/>
        </w:rPr>
        <w:t>钴</w:t>
      </w:r>
      <w:r>
        <w:rPr>
          <w:rFonts w:hint="default" w:ascii="微软雅黑" w:hAnsi="微软雅黑" w:eastAsia="微软雅黑" w:cstheme="minorBidi"/>
          <w:sz w:val="24"/>
          <w:szCs w:val="24"/>
          <w:lang w:val="zh-CN" w:eastAsia="zh-CN"/>
        </w:rPr>
        <w:t>生产项目战略合作协议。该项目位于马拉喀什（Marrakech）盖玛萨工业园区（Guemassa），设计年产能5850吨电池级硫酸</w:t>
      </w:r>
      <w:r>
        <w:rPr>
          <w:rFonts w:hint="eastAsia" w:cstheme="minorBidi"/>
          <w:sz w:val="24"/>
          <w:szCs w:val="24"/>
          <w:lang w:val="zh-CN" w:eastAsia="zh-CN"/>
        </w:rPr>
        <w:t>钴</w:t>
      </w:r>
      <w:r>
        <w:rPr>
          <w:rFonts w:hint="default" w:ascii="微软雅黑" w:hAnsi="微软雅黑" w:eastAsia="微软雅黑" w:cstheme="minorBidi"/>
          <w:sz w:val="24"/>
          <w:szCs w:val="24"/>
          <w:lang w:val="zh-CN" w:eastAsia="zh-CN"/>
        </w:rPr>
        <w:t>，预计将于2025年投产。该项目覆盖“冶炼浸出—净化除杂—萃取分离—蒸发结晶”全流程工艺设计，同步提供全套设备采购安装、调试及开车服务。依托当地高砷钴矿资源，项目建成后将成为摩洛哥乃至非洲单体规模最大的电池级硫酸钴生产工厂。</w:t>
      </w:r>
    </w:p>
    <w:p w14:paraId="0EA288AC">
      <w:pPr>
        <w:spacing w:before="40" w:after="40"/>
        <w:ind w:left="0" w:firstLine="480" w:firstLineChars="200"/>
        <w:jc w:val="both"/>
        <w:rPr>
          <w:rFonts w:hint="eastAsia"/>
          <w:sz w:val="24"/>
          <w:szCs w:val="24"/>
          <w:lang w:val="zh-CN" w:eastAsia="zh-CN"/>
        </w:rPr>
      </w:pPr>
      <w:r>
        <w:rPr>
          <w:rFonts w:hint="default" w:ascii="微软雅黑" w:hAnsi="微软雅黑" w:eastAsia="微软雅黑" w:cstheme="minorBidi"/>
          <w:sz w:val="24"/>
          <w:szCs w:val="24"/>
          <w:lang w:val="zh-CN" w:eastAsia="zh-CN"/>
        </w:rPr>
        <w:t>2024年10月，</w:t>
      </w:r>
      <w:r>
        <w:rPr>
          <w:rFonts w:hint="eastAsia" w:cstheme="minorBidi"/>
          <w:sz w:val="24"/>
          <w:szCs w:val="24"/>
          <w:lang w:val="zh-CN" w:eastAsia="zh-CN"/>
        </w:rPr>
        <w:t>中国海诚长沙公司</w:t>
      </w:r>
      <w:r>
        <w:rPr>
          <w:rFonts w:hint="default" w:ascii="微软雅黑" w:hAnsi="微软雅黑" w:eastAsia="微软雅黑" w:cstheme="minorBidi"/>
          <w:sz w:val="24"/>
          <w:szCs w:val="24"/>
          <w:lang w:val="zh-CN" w:eastAsia="zh-CN"/>
        </w:rPr>
        <w:t>与摩洛哥Nador West Med公司签署摩洛哥纳祖尔海水淡化项目总承包合同。摩洛哥纳祖尔海水淡化项目采用一种基于反渗透技术，利用海水脱盐方式生产淡水。该技术利用高压泵将海水压入反渗透膜中，通过膜的微孔过滤，将盐分和杂质分离，最终得到淡水，能快速、稳定满足当地居民饮用水和工业供水需求，实现水资源利用的开源增量。</w:t>
      </w:r>
    </w:p>
    <w:p w14:paraId="6027B7F7">
      <w:pPr>
        <w:pStyle w:val="4"/>
        <w:rPr>
          <w:rFonts w:ascii="微软雅黑" w:hAnsi="微软雅黑" w:eastAsia="微软雅黑"/>
          <w:color w:val="auto"/>
          <w:lang w:eastAsia="zh-CN"/>
        </w:rPr>
      </w:pPr>
      <w:bookmarkStart w:id="85" w:name="_Toc27612"/>
      <w:bookmarkStart w:id="86" w:name="_Toc28265"/>
      <w:bookmarkStart w:id="87" w:name="_Toc8910"/>
      <w:bookmarkStart w:id="88" w:name="_Toc24015"/>
      <w:r>
        <w:rPr>
          <w:rFonts w:ascii="微软雅黑" w:hAnsi="微软雅黑" w:eastAsia="微软雅黑"/>
          <w:color w:val="auto"/>
          <w:lang w:val="zh-CN" w:eastAsia="zh-CN"/>
        </w:rPr>
        <w:t>3.3  通用风险提示</w:t>
      </w:r>
      <w:bookmarkEnd w:id="85"/>
      <w:bookmarkEnd w:id="86"/>
      <w:bookmarkEnd w:id="87"/>
      <w:bookmarkEnd w:id="88"/>
    </w:p>
    <w:p w14:paraId="30E91BEB">
      <w:pPr>
        <w:pStyle w:val="5"/>
        <w:spacing w:before="40" w:after="40"/>
        <w:ind w:left="567"/>
        <w:jc w:val="both"/>
        <w:rPr>
          <w:rFonts w:hint="default" w:ascii="微软雅黑" w:hAnsi="微软雅黑" w:eastAsia="微软雅黑" w:cstheme="minorBidi"/>
          <w:sz w:val="24"/>
          <w:szCs w:val="24"/>
          <w:lang w:val="zh-CN" w:eastAsia="zh-CN"/>
        </w:rPr>
      </w:pPr>
      <w:bookmarkStart w:id="89" w:name="_Toc23516"/>
      <w:bookmarkStart w:id="90" w:name="_Toc14803"/>
      <w:bookmarkStart w:id="91" w:name="_Toc5503"/>
      <w:bookmarkStart w:id="92" w:name="_Toc19065"/>
      <w:r>
        <w:rPr>
          <w:rFonts w:hint="eastAsia" w:cstheme="minorBidi"/>
          <w:sz w:val="24"/>
          <w:szCs w:val="24"/>
          <w:lang w:val="en-US" w:eastAsia="zh-CN"/>
        </w:rPr>
        <w:t>3.3.1</w:t>
      </w:r>
      <w:r>
        <w:rPr>
          <w:rFonts w:hint="default" w:ascii="微软雅黑" w:hAnsi="微软雅黑" w:eastAsia="微软雅黑" w:cstheme="minorBidi"/>
          <w:sz w:val="24"/>
          <w:szCs w:val="24"/>
          <w:lang w:val="zh-CN" w:eastAsia="zh-CN"/>
        </w:rPr>
        <w:t>法规与技术标准风险</w:t>
      </w:r>
      <w:bookmarkEnd w:id="89"/>
      <w:bookmarkEnd w:id="90"/>
      <w:bookmarkEnd w:id="91"/>
      <w:bookmarkEnd w:id="92"/>
    </w:p>
    <w:p w14:paraId="311BD7F7">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摩洛哥法律体系采用法语区大陆法，工程、劳工、税务法规与欧盟 / 法国高度趋同，合规成本高；在施工规范、建材与设备标准方面普遍采用欧盟（EN）或法国（NF）标准，有别于中国国标，设计与施工返工风险高；许可、环评、消防与安全审查流程长、文件繁、自由裁量大。</w:t>
      </w:r>
    </w:p>
    <w:p w14:paraId="5200903C">
      <w:pPr>
        <w:pStyle w:val="5"/>
        <w:spacing w:before="40" w:after="40"/>
        <w:ind w:left="567"/>
        <w:jc w:val="both"/>
        <w:rPr>
          <w:rFonts w:hint="default" w:ascii="微软雅黑" w:hAnsi="微软雅黑" w:eastAsia="微软雅黑" w:cstheme="minorBidi"/>
          <w:sz w:val="24"/>
          <w:szCs w:val="24"/>
          <w:lang w:val="zh-CN" w:eastAsia="zh-CN"/>
        </w:rPr>
      </w:pPr>
      <w:bookmarkStart w:id="93" w:name="_Toc4650"/>
      <w:bookmarkStart w:id="94" w:name="_Toc1238"/>
      <w:bookmarkStart w:id="95" w:name="_Toc12365"/>
      <w:bookmarkStart w:id="96" w:name="_Toc7181"/>
      <w:r>
        <w:rPr>
          <w:rFonts w:hint="eastAsia" w:cstheme="minorBidi"/>
          <w:sz w:val="24"/>
          <w:szCs w:val="24"/>
          <w:lang w:val="en-US" w:eastAsia="zh-CN"/>
        </w:rPr>
        <w:t>3.3.2</w:t>
      </w:r>
      <w:r>
        <w:rPr>
          <w:rFonts w:hint="default" w:ascii="微软雅黑" w:hAnsi="微软雅黑" w:eastAsia="微软雅黑" w:cstheme="minorBidi"/>
          <w:sz w:val="24"/>
          <w:szCs w:val="24"/>
          <w:lang w:val="zh-CN" w:eastAsia="zh-CN"/>
        </w:rPr>
        <w:t>供应链与资源风险</w:t>
      </w:r>
      <w:bookmarkEnd w:id="93"/>
      <w:bookmarkEnd w:id="94"/>
      <w:bookmarkEnd w:id="95"/>
      <w:bookmarkEnd w:id="96"/>
    </w:p>
    <w:p w14:paraId="32BA73F8">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摩洛哥工业基础弱，钢材、水泥、机电设备等依赖进口，价格波动大、交货周期长；港口清关慢、内陆运输效率低，物流成本占比高；核心建材（如水泥）寡头垄断，价格受操控，成本可控性差。</w:t>
      </w:r>
    </w:p>
    <w:p w14:paraId="70C70E7F">
      <w:pPr>
        <w:pStyle w:val="5"/>
        <w:spacing w:before="40" w:after="40"/>
        <w:ind w:left="567"/>
        <w:jc w:val="both"/>
        <w:rPr>
          <w:rFonts w:hint="default" w:ascii="微软雅黑" w:hAnsi="微软雅黑" w:eastAsia="微软雅黑" w:cstheme="minorBidi"/>
          <w:sz w:val="24"/>
          <w:szCs w:val="24"/>
          <w:lang w:val="zh-CN" w:eastAsia="zh-CN"/>
        </w:rPr>
      </w:pPr>
      <w:bookmarkStart w:id="97" w:name="_Toc744"/>
      <w:bookmarkStart w:id="98" w:name="_Toc31151"/>
      <w:bookmarkStart w:id="99" w:name="_Toc9656"/>
      <w:bookmarkStart w:id="100" w:name="_Toc31276"/>
      <w:r>
        <w:rPr>
          <w:rFonts w:hint="eastAsia" w:cstheme="minorBidi"/>
          <w:sz w:val="24"/>
          <w:szCs w:val="24"/>
          <w:lang w:val="en-US" w:eastAsia="zh-CN"/>
        </w:rPr>
        <w:t>3.3.3</w:t>
      </w:r>
      <w:r>
        <w:rPr>
          <w:rFonts w:hint="default" w:ascii="微软雅黑" w:hAnsi="微软雅黑" w:eastAsia="微软雅黑" w:cstheme="minorBidi"/>
          <w:sz w:val="24"/>
          <w:szCs w:val="24"/>
          <w:lang w:val="zh-CN" w:eastAsia="zh-CN"/>
        </w:rPr>
        <w:t>合规与腐败风险</w:t>
      </w:r>
      <w:bookmarkEnd w:id="97"/>
      <w:bookmarkEnd w:id="98"/>
      <w:bookmarkEnd w:id="99"/>
      <w:bookmarkEnd w:id="100"/>
    </w:p>
    <w:p w14:paraId="327B5E82">
      <w:pPr>
        <w:spacing w:before="40" w:after="40"/>
        <w:ind w:left="0" w:firstLine="480" w:firstLineChars="200"/>
        <w:jc w:val="both"/>
        <w:rPr>
          <w:rFonts w:hint="default" w:ascii="微软雅黑" w:hAnsi="微软雅黑" w:eastAsia="微软雅黑" w:cstheme="minorBidi"/>
          <w:sz w:val="24"/>
          <w:szCs w:val="24"/>
          <w:lang w:val="zh-CN" w:eastAsia="zh-CN"/>
        </w:rPr>
      </w:pPr>
      <w:r>
        <w:rPr>
          <w:rFonts w:hint="default" w:ascii="微软雅黑" w:hAnsi="微软雅黑" w:eastAsia="微软雅黑" w:cstheme="minorBidi"/>
          <w:sz w:val="24"/>
          <w:szCs w:val="24"/>
          <w:lang w:val="zh-CN" w:eastAsia="zh-CN"/>
        </w:rPr>
        <w:t>摩洛哥法律健全，但个别腐败和利益输送等情况也不时发生。审批、许可、验收等环节</w:t>
      </w:r>
      <w:r>
        <w:rPr>
          <w:rFonts w:hint="eastAsia" w:cstheme="minorBidi"/>
          <w:sz w:val="24"/>
          <w:szCs w:val="24"/>
          <w:lang w:val="en-US" w:eastAsia="zh-CN"/>
        </w:rPr>
        <w:t>存在可能被索取贿赂、权力寻租问题</w:t>
      </w:r>
      <w:r>
        <w:rPr>
          <w:rFonts w:hint="default" w:ascii="微软雅黑" w:hAnsi="微软雅黑" w:eastAsia="微软雅黑" w:cstheme="minorBidi"/>
          <w:sz w:val="24"/>
          <w:szCs w:val="24"/>
          <w:lang w:val="zh-CN" w:eastAsia="zh-CN"/>
        </w:rPr>
        <w:t>，合规与廉政风险高。法规与政策执行弹性大、透明度低，合规不确定性高。一些利益集团关系盘根错节，透明度低，有时项目推荐的供应商暗藏利益关系，企业需做好防范与应对。此外，一些中介机构、咨询机构和法律顾问公司专业素养低，有欺骗客户的情况。</w:t>
      </w:r>
    </w:p>
    <w:p w14:paraId="5066E6A1">
      <w:pPr>
        <w:pStyle w:val="5"/>
        <w:spacing w:before="40" w:after="40"/>
        <w:ind w:left="567" w:leftChars="0"/>
        <w:jc w:val="both"/>
        <w:rPr>
          <w:rFonts w:hint="default" w:ascii="微软雅黑" w:hAnsi="微软雅黑" w:eastAsia="微软雅黑" w:cstheme="minorBidi"/>
          <w:sz w:val="24"/>
          <w:szCs w:val="24"/>
          <w:lang w:val="zh-CN" w:eastAsia="zh-CN"/>
        </w:rPr>
      </w:pPr>
      <w:bookmarkStart w:id="101" w:name="_Toc9559"/>
      <w:bookmarkStart w:id="102" w:name="_Toc8208"/>
      <w:bookmarkStart w:id="103" w:name="_Toc26968"/>
      <w:bookmarkStart w:id="104" w:name="_Toc1774"/>
      <w:r>
        <w:rPr>
          <w:rFonts w:hint="eastAsia" w:cstheme="minorBidi"/>
          <w:sz w:val="24"/>
          <w:szCs w:val="24"/>
          <w:lang w:val="en-US" w:eastAsia="zh-CN" w:bidi="ar-SA"/>
        </w:rPr>
        <w:t>3.3.4</w:t>
      </w:r>
      <w:r>
        <w:rPr>
          <w:rFonts w:hint="default" w:ascii="微软雅黑" w:hAnsi="微软雅黑" w:eastAsia="微软雅黑" w:cstheme="minorBidi"/>
          <w:sz w:val="24"/>
          <w:szCs w:val="24"/>
          <w:lang w:val="zh-CN" w:eastAsia="zh-CN"/>
        </w:rPr>
        <w:t>劳工管理风险</w:t>
      </w:r>
      <w:bookmarkEnd w:id="101"/>
      <w:bookmarkEnd w:id="102"/>
      <w:bookmarkEnd w:id="103"/>
      <w:bookmarkEnd w:id="104"/>
    </w:p>
    <w:p w14:paraId="5A869425">
      <w:pPr>
        <w:pStyle w:val="17"/>
        <w:spacing w:before="40" w:after="40"/>
        <w:jc w:val="both"/>
        <w:rPr>
          <w:rFonts w:hint="default" w:ascii="微软雅黑" w:hAnsi="微软雅黑" w:eastAsia="微软雅黑" w:cstheme="minorBidi"/>
          <w:sz w:val="24"/>
          <w:szCs w:val="22"/>
          <w:lang w:val="zh-CN" w:eastAsia="zh-CN"/>
        </w:rPr>
      </w:pPr>
      <w:r>
        <w:rPr>
          <w:rFonts w:hint="default" w:ascii="微软雅黑" w:hAnsi="微软雅黑" w:eastAsia="微软雅黑" w:cstheme="minorBidi"/>
          <w:sz w:val="24"/>
          <w:szCs w:val="22"/>
          <w:lang w:val="zh-CN" w:eastAsia="zh-CN"/>
        </w:rPr>
        <w:t>项目普遍要求本地员工比例不低于70%，且雇佣外籍员工需申请复杂的工作许可和居。中资企业人员在获得就业许可和工作签证后到摩洛哥，6个月以内的可申办签证延期，但申办周期长、费用高。如果工作期限超过6个月，须办理居住证。需要注意的是，2016年6月摩洛哥开始对中国公民入境免签证，居留期为90天，不得在摩洛哥工作。如果在摩洛哥工作，需要提前办理就业许可。可持经就业部门签字同意的“外国人就业合同”“无犯罪记录证明”等材料，向摩洛哥警察总局或地方警察局申办居住证。承包工程企业业主有义务协助承包工程企业人员办理居住证。如系新办居住证，须申请人本国国内开具“无犯罪记录证明”，并进行公证与认证。如系申请居住证延期，须向摩洛哥司法部申请开具“无犯罪记录证明”。当地政府给予在摩洛哥中国人长期居留的期限一般仅为一年，需每年更新。当地工会影响力大，企业解雇当地员工成本较高。法定每周工作44小时，且节假日较多，对工程进度控制构成挑战。</w:t>
      </w:r>
    </w:p>
    <w:p w14:paraId="1BC0F4DC">
      <w:pPr>
        <w:pStyle w:val="5"/>
        <w:spacing w:before="40" w:after="40"/>
        <w:ind w:left="567" w:leftChars="0" w:firstLineChars="0"/>
        <w:jc w:val="both"/>
        <w:rPr>
          <w:rFonts w:hint="default"/>
          <w:sz w:val="24"/>
          <w:szCs w:val="24"/>
          <w:lang w:val="zh-CN" w:eastAsia="zh-CN"/>
        </w:rPr>
      </w:pPr>
      <w:bookmarkStart w:id="105" w:name="_Toc18628"/>
      <w:bookmarkStart w:id="106" w:name="_Toc19302"/>
      <w:bookmarkStart w:id="107" w:name="_Toc12041"/>
      <w:bookmarkStart w:id="108" w:name="_Toc30574"/>
      <w:r>
        <w:rPr>
          <w:rFonts w:hint="eastAsia" w:cstheme="minorBidi"/>
          <w:sz w:val="24"/>
          <w:szCs w:val="24"/>
          <w:lang w:val="en-US" w:eastAsia="zh-CN" w:bidi="ar-SA"/>
        </w:rPr>
        <w:t>3.3.5</w:t>
      </w:r>
      <w:r>
        <w:rPr>
          <w:rFonts w:hint="default"/>
          <w:sz w:val="24"/>
          <w:szCs w:val="24"/>
          <w:lang w:val="zh-CN" w:eastAsia="zh-CN"/>
        </w:rPr>
        <w:t>安全与社会风险</w:t>
      </w:r>
      <w:bookmarkEnd w:id="105"/>
      <w:bookmarkEnd w:id="106"/>
      <w:bookmarkEnd w:id="107"/>
      <w:bookmarkEnd w:id="108"/>
    </w:p>
    <w:p w14:paraId="6C0A26A0">
      <w:pPr>
        <w:numPr>
          <w:ilvl w:val="-1"/>
          <w:numId w:val="0"/>
        </w:numPr>
        <w:spacing w:before="40" w:after="40"/>
        <w:ind w:left="0" w:leftChars="0" w:firstLine="480" w:firstLineChars="200"/>
        <w:jc w:val="both"/>
        <w:rPr>
          <w:rFonts w:hint="default"/>
          <w:sz w:val="24"/>
          <w:szCs w:val="24"/>
          <w:lang w:val="zh-CN" w:eastAsia="zh-CN"/>
        </w:rPr>
      </w:pPr>
      <w:r>
        <w:rPr>
          <w:rFonts w:hint="default"/>
          <w:sz w:val="24"/>
          <w:szCs w:val="24"/>
          <w:lang w:val="zh-CN" w:eastAsia="zh-CN"/>
        </w:rPr>
        <w:t>摩洛哥在西撒哈拉地区存在领土争议，该区域地位未决，涉及项目可能面临法律和政治复杂性；因西撒哈拉领土争端，摩洛哥与阿尔及利亚关系持续紧张；摩洛哥社会总体稳定，但仍面临国际恐怖主义滋扰风险，大型工程项目需将安保措施纳入规划；因区域发展不均、贫富差距、失业率较高等问题，游行、罢工事件仍有发生，可能引发局部社会动荡或对中资项目的负面情绪。</w:t>
      </w:r>
    </w:p>
    <w:p w14:paraId="73DE7FB8">
      <w:pPr>
        <w:rPr>
          <w:rFonts w:ascii="微软雅黑" w:hAnsi="微软雅黑" w:eastAsia="微软雅黑"/>
          <w:color w:val="auto"/>
          <w:lang w:val="zh-CN" w:eastAsia="zh-CN"/>
        </w:rPr>
      </w:pPr>
      <w:bookmarkStart w:id="109" w:name="_Toc15202"/>
      <w:bookmarkStart w:id="110" w:name="_Toc13666"/>
      <w:bookmarkStart w:id="111" w:name="_Toc14870"/>
      <w:r>
        <w:rPr>
          <w:rFonts w:ascii="微软雅黑" w:hAnsi="微软雅黑" w:eastAsia="微软雅黑"/>
          <w:color w:val="auto"/>
          <w:lang w:val="zh-CN" w:eastAsia="zh-CN"/>
        </w:rPr>
        <w:br w:type="page"/>
      </w:r>
    </w:p>
    <w:p w14:paraId="4F330DAC">
      <w:pPr>
        <w:pStyle w:val="3"/>
        <w:rPr>
          <w:rFonts w:ascii="微软雅黑" w:hAnsi="微软雅黑" w:eastAsia="微软雅黑"/>
          <w:color w:val="auto"/>
          <w:lang w:eastAsia="zh-CN"/>
        </w:rPr>
      </w:pPr>
      <w:bookmarkStart w:id="112" w:name="_Toc13457"/>
      <w:r>
        <w:rPr>
          <w:rFonts w:ascii="微软雅黑" w:hAnsi="微软雅黑" w:eastAsia="微软雅黑"/>
          <w:color w:val="auto"/>
          <w:lang w:val="zh-CN" w:eastAsia="zh-CN"/>
        </w:rPr>
        <w:t>第四章  国别财税与外汇监管环境</w:t>
      </w:r>
      <w:bookmarkEnd w:id="109"/>
      <w:bookmarkEnd w:id="110"/>
      <w:bookmarkEnd w:id="111"/>
      <w:bookmarkEnd w:id="112"/>
    </w:p>
    <w:p w14:paraId="458FC256">
      <w:pPr>
        <w:pStyle w:val="4"/>
        <w:rPr>
          <w:rFonts w:ascii="微软雅黑" w:hAnsi="微软雅黑" w:eastAsia="微软雅黑"/>
          <w:color w:val="auto"/>
          <w:lang w:eastAsia="zh-CN"/>
        </w:rPr>
      </w:pPr>
      <w:bookmarkStart w:id="113" w:name="_Toc6246"/>
      <w:bookmarkStart w:id="114" w:name="_Toc30622"/>
      <w:bookmarkStart w:id="115" w:name="_Toc16775"/>
      <w:bookmarkStart w:id="116" w:name="_Toc5323"/>
      <w:r>
        <w:rPr>
          <w:rFonts w:ascii="微软雅黑" w:hAnsi="微软雅黑" w:eastAsia="微软雅黑"/>
          <w:color w:val="auto"/>
          <w:lang w:val="zh-CN" w:eastAsia="zh-CN"/>
        </w:rPr>
        <w:t>4.1  属地监管体系</w:t>
      </w:r>
      <w:bookmarkEnd w:id="113"/>
      <w:bookmarkEnd w:id="114"/>
      <w:bookmarkEnd w:id="115"/>
      <w:bookmarkEnd w:id="116"/>
    </w:p>
    <w:p w14:paraId="461F8306">
      <w:pPr>
        <w:pStyle w:val="5"/>
        <w:widowControl/>
        <w:numPr>
          <w:ilvl w:val="-1"/>
          <w:numId w:val="0"/>
        </w:numPr>
        <w:ind w:left="0" w:leftChars="0" w:firstLine="480" w:firstLineChars="200"/>
        <w:rPr>
          <w:rFonts w:hint="eastAsia" w:ascii="微软雅黑" w:hAnsi="微软雅黑" w:eastAsia="微软雅黑" w:cstheme="minorBidi"/>
          <w:b w:val="0"/>
          <w:szCs w:val="24"/>
          <w:lang w:val="zh-CN" w:eastAsia="zh-CN"/>
        </w:rPr>
      </w:pPr>
      <w:bookmarkStart w:id="117" w:name="_Toc26331"/>
      <w:bookmarkStart w:id="118" w:name="_Toc26766"/>
      <w:bookmarkStart w:id="119" w:name="_Toc24839"/>
      <w:bookmarkStart w:id="120" w:name="_Toc23981"/>
      <w:bookmarkStart w:id="121" w:name="_Toc5087"/>
      <w:r>
        <w:rPr>
          <w:rFonts w:hint="eastAsia" w:cstheme="minorBidi"/>
          <w:sz w:val="24"/>
          <w:szCs w:val="24"/>
          <w:lang w:val="en-US" w:eastAsia="zh-CN"/>
        </w:rPr>
        <w:t>4.1.1</w:t>
      </w:r>
      <w:r>
        <w:rPr>
          <w:rFonts w:hint="eastAsia" w:cstheme="minorBidi"/>
          <w:szCs w:val="24"/>
          <w:lang w:val="zh-CN" w:eastAsia="zh-CN"/>
        </w:rPr>
        <w:t>税务监管</w:t>
      </w:r>
      <w:bookmarkEnd w:id="117"/>
      <w:bookmarkEnd w:id="118"/>
      <w:bookmarkEnd w:id="119"/>
      <w:bookmarkEnd w:id="120"/>
      <w:bookmarkEnd w:id="121"/>
    </w:p>
    <w:p w14:paraId="7EFB645E">
      <w:pPr>
        <w:pStyle w:val="17"/>
        <w:widowControl/>
        <w:jc w:val="both"/>
        <w:rPr>
          <w:rFonts w:hint="eastAsia" w:ascii="微软雅黑" w:hAnsi="微软雅黑" w:eastAsia="微软雅黑" w:cstheme="minorBidi"/>
          <w:color w:val="auto"/>
          <w:sz w:val="24"/>
          <w:szCs w:val="22"/>
          <w:lang w:val="zh-CN" w:eastAsia="zh-CN"/>
        </w:rPr>
      </w:pPr>
      <w:r>
        <w:rPr>
          <w:rFonts w:hint="eastAsia" w:ascii="微软雅黑" w:hAnsi="微软雅黑" w:eastAsia="微软雅黑" w:cstheme="minorBidi"/>
          <w:color w:val="auto"/>
          <w:sz w:val="24"/>
          <w:szCs w:val="22"/>
          <w:lang w:val="zh-CN" w:eastAsia="zh-CN"/>
        </w:rPr>
        <w:t>摩洛哥实行全国统一的税收制度，由国家税务总局统一管理。国家税由税务机关直接负责，征收的主要税种包括公司税、个人所得税、增值税、资本税和印花税等；地方税属于地方政府负责，由税务机关代为监管，征收的主要税种包括居住税和经营租赁税等。外商投资企业及分支机构在摩洛哥开展经营活动，需完成以下税务登记程序：首先，向摩洛哥工业、贸易、绿色和数字经济部下属的工商产权局（OMPIC）申请工商注册号及ICE企业码（Identifiant Commun de l‘Entreprise），外国企业在区域投资中心（CRI）完成注册后获得ICE、IF、RC等编号，注册流程平均约3至6周。关于常设机构认定，根据中摩税收协定，中国公司未在摩洛哥注册分支机构、工程持续时间不超过6个月且不满足其他常设机构条件时，通常不构成常设机构；在摩洛哥持续时间超过6个月的非注册管理机构（项目管理部、办公室等）及当地注册的分公司均构成常设机构，需进行税务登记；在当地注册的子公司则为摩洛哥居民企业，按居民企业纳税。</w:t>
      </w:r>
    </w:p>
    <w:p w14:paraId="569FEA35">
      <w:pPr>
        <w:pStyle w:val="5"/>
        <w:widowControl/>
        <w:numPr>
          <w:ilvl w:val="-1"/>
          <w:numId w:val="0"/>
        </w:numPr>
        <w:ind w:left="0" w:leftChars="0" w:firstLine="480" w:firstLineChars="200"/>
        <w:rPr>
          <w:rFonts w:hint="eastAsia" w:ascii="微软雅黑" w:hAnsi="微软雅黑" w:eastAsia="微软雅黑" w:cstheme="minorBidi"/>
          <w:b w:val="0"/>
          <w:szCs w:val="24"/>
          <w:lang w:eastAsia="zh-CN"/>
        </w:rPr>
      </w:pPr>
      <w:bookmarkStart w:id="122" w:name="_Toc8356"/>
      <w:bookmarkStart w:id="123" w:name="_Toc23866"/>
      <w:bookmarkStart w:id="124" w:name="_Toc3270"/>
      <w:bookmarkStart w:id="125" w:name="_Toc10390"/>
      <w:bookmarkStart w:id="126" w:name="_Toc27284"/>
      <w:r>
        <w:rPr>
          <w:rFonts w:hint="eastAsia" w:cstheme="minorBidi"/>
          <w:sz w:val="24"/>
          <w:szCs w:val="24"/>
          <w:lang w:val="en-US" w:eastAsia="zh-CN"/>
        </w:rPr>
        <w:t>4.1.2</w:t>
      </w:r>
      <w:r>
        <w:rPr>
          <w:rFonts w:hint="eastAsia" w:cstheme="minorBidi"/>
          <w:szCs w:val="24"/>
          <w:lang w:eastAsia="zh-CN"/>
        </w:rPr>
        <w:t>会计与审计监管</w:t>
      </w:r>
      <w:bookmarkEnd w:id="122"/>
      <w:bookmarkEnd w:id="123"/>
      <w:bookmarkEnd w:id="124"/>
      <w:bookmarkEnd w:id="125"/>
      <w:bookmarkEnd w:id="126"/>
    </w:p>
    <w:p w14:paraId="4A2EEDA6">
      <w:pPr>
        <w:pStyle w:val="17"/>
        <w:spacing w:before="40" w:after="40"/>
        <w:ind w:left="0" w:firstLine="480" w:firstLineChars="200"/>
        <w:jc w:val="both"/>
        <w:rPr>
          <w:rFonts w:hint="eastAsia"/>
          <w:sz w:val="24"/>
          <w:szCs w:val="28"/>
          <w:lang w:eastAsia="zh-CN"/>
        </w:rPr>
      </w:pPr>
      <w:r>
        <w:rPr>
          <w:rFonts w:hint="eastAsia" w:ascii="微软雅黑" w:hAnsi="微软雅黑" w:eastAsia="微软雅黑" w:cstheme="minorBidi"/>
          <w:color w:val="auto"/>
          <w:sz w:val="24"/>
          <w:szCs w:val="22"/>
        </w:rPr>
        <w:t>摩洛哥的会计体系主要基于法国商法模式的会计总方案（CGNC）。从2026年起，摩洛哥第17-24号法律草案将强制要求公共利益实体（含上市公司、银行及大型金融机构）按照国际财务报告准则（IFRS）编制合并财务报告，中小企业可选择继续适用CGNC或部分采用IFRS for SMEs。法定审计方面，股份有限公司（SA）、上市公司、银行以及年营业额超过一定门槛的有限责任公司（SARL）必须进行法定审计，由持牌特许会计师或法定审计师出具审计意见。企业须在财年结束后3个月内编制完成财务报表（资产负债表、利润表和相关信息表），并在股东批准会召开后30日内向商业法院备案。近年来，摩洛哥逐步加强对在摩外商投资企业、自贸区企业和出口型制造商的审计要求。</w:t>
      </w:r>
    </w:p>
    <w:p w14:paraId="17692A83">
      <w:pPr>
        <w:pStyle w:val="4"/>
        <w:rPr>
          <w:rFonts w:ascii="微软雅黑" w:hAnsi="微软雅黑" w:eastAsia="微软雅黑"/>
          <w:color w:val="auto"/>
          <w:lang w:eastAsia="zh-CN"/>
        </w:rPr>
      </w:pPr>
      <w:bookmarkStart w:id="127" w:name="_Toc15182"/>
      <w:bookmarkStart w:id="128" w:name="_Toc30340"/>
      <w:bookmarkStart w:id="129" w:name="_Toc17185"/>
      <w:bookmarkStart w:id="130" w:name="_Toc24665"/>
      <w:r>
        <w:rPr>
          <w:rFonts w:ascii="微软雅黑" w:hAnsi="微软雅黑" w:eastAsia="微软雅黑"/>
          <w:color w:val="auto"/>
          <w:lang w:val="zh-CN" w:eastAsia="zh-CN"/>
        </w:rPr>
        <w:t>4.2  核心税收制度</w:t>
      </w:r>
      <w:bookmarkEnd w:id="127"/>
      <w:bookmarkEnd w:id="128"/>
      <w:bookmarkEnd w:id="129"/>
      <w:bookmarkEnd w:id="130"/>
    </w:p>
    <w:p w14:paraId="3CFCAB22">
      <w:pPr>
        <w:pStyle w:val="5"/>
        <w:widowControl/>
        <w:numPr>
          <w:ilvl w:val="-1"/>
          <w:numId w:val="0"/>
        </w:numPr>
        <w:ind w:left="0" w:leftChars="0" w:firstLine="480" w:firstLineChars="200"/>
        <w:rPr>
          <w:rFonts w:hint="eastAsia"/>
          <w:lang w:val="en-US" w:eastAsia="zh-CN"/>
        </w:rPr>
      </w:pPr>
      <w:bookmarkStart w:id="131" w:name="_Toc16925"/>
      <w:bookmarkStart w:id="132" w:name="_Toc19677"/>
      <w:bookmarkStart w:id="133" w:name="_Toc31199"/>
      <w:bookmarkStart w:id="134" w:name="_Toc10807"/>
      <w:bookmarkStart w:id="135" w:name="_Toc29132"/>
      <w:r>
        <w:rPr>
          <w:rFonts w:hint="eastAsia"/>
          <w:lang w:val="en-US" w:eastAsia="zh-CN"/>
        </w:rPr>
        <w:t>4.2.1</w:t>
      </w:r>
      <w:r>
        <w:t>企业所得税</w:t>
      </w:r>
      <w:bookmarkEnd w:id="131"/>
      <w:r>
        <w:rPr>
          <w:rFonts w:hint="eastAsia"/>
          <w:lang w:eastAsia="zh-CN"/>
        </w:rPr>
        <w:t>（</w:t>
      </w:r>
      <w:r>
        <w:rPr>
          <w:rFonts w:hint="eastAsia"/>
          <w:lang w:val="en-US" w:eastAsia="zh-CN"/>
        </w:rPr>
        <w:t>公司税）</w:t>
      </w:r>
      <w:bookmarkEnd w:id="132"/>
      <w:bookmarkEnd w:id="133"/>
      <w:bookmarkEnd w:id="134"/>
      <w:bookmarkEnd w:id="135"/>
    </w:p>
    <w:p w14:paraId="0794944E">
      <w:pPr>
        <w:pStyle w:val="17"/>
        <w:widowControl/>
        <w:ind w:firstLine="480" w:firstLineChars="200"/>
        <w:jc w:val="both"/>
      </w:pPr>
      <w:r>
        <w:t>摩洛哥公司税采用属人兼属地税制，法定注册地位于摩洛哥的企业为居民企业（需就全球所得纳税），法定注册地位于摩洛哥以外的企业为非居民企业（仅就来源于摩洛哥的所得纳税），实际管理机构所在地不影响判定。构成常设机构的分公司或子公司按净利润计算公司税，允许扣除与经营活动相关的合理成本费用（人工、材料、折旧、管理费及与非居民企业相关的日常费用，需提供证明）。从事工程、建筑或组装活动的外国承包商，可选择以合同所得（不含增值税）的8%作为税基计算公司税</w:t>
      </w:r>
      <w:r>
        <w:rPr>
          <w:rFonts w:hint="eastAsia"/>
          <w:lang w:eastAsia="zh-CN"/>
        </w:rPr>
        <w:t>，</w:t>
      </w:r>
      <w:r>
        <w:t>当项目预计净利润率低于8%时可选择普通计税方式，高于8%时可选择包税方式。2022</w:t>
      </w:r>
      <w:r>
        <w:rPr>
          <w:rFonts w:hint="eastAsia"/>
          <w:lang w:val="en-US" w:eastAsia="zh-CN"/>
        </w:rPr>
        <w:t>-</w:t>
      </w:r>
      <w:r>
        <w:t>2026年税率改革路径如下：</w:t>
      </w:r>
    </w:p>
    <w:tbl>
      <w:tblPr>
        <w:tblStyle w:val="29"/>
        <w:tblW w:w="8843"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504"/>
        <w:gridCol w:w="1267"/>
        <w:gridCol w:w="1268"/>
        <w:gridCol w:w="1268"/>
        <w:gridCol w:w="1268"/>
        <w:gridCol w:w="1268"/>
      </w:tblGrid>
      <w:tr w14:paraId="08932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trPr>
        <w:tc>
          <w:tcPr>
            <w:tcW w:w="2297"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76CA0FB1">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应纳税所得额所属区间</w:t>
            </w:r>
          </w:p>
          <w:p w14:paraId="77A86EC1">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(摩洛哥迪拉姆)</w:t>
            </w:r>
          </w:p>
        </w:tc>
        <w:tc>
          <w:tcPr>
            <w:tcW w:w="0" w:type="auto"/>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62491BB8">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2022年度税率</w:t>
            </w:r>
          </w:p>
          <w:p w14:paraId="6750072B">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w:t>
            </w:r>
          </w:p>
        </w:tc>
        <w:tc>
          <w:tcPr>
            <w:tcW w:w="0" w:type="auto"/>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33AC52E0">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2023年度税率</w:t>
            </w:r>
          </w:p>
          <w:p w14:paraId="49E7734F">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w:t>
            </w:r>
          </w:p>
        </w:tc>
        <w:tc>
          <w:tcPr>
            <w:tcW w:w="0" w:type="auto"/>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7D5D45C0">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2024年度税率</w:t>
            </w:r>
          </w:p>
          <w:p w14:paraId="6E3D4906">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w:t>
            </w:r>
          </w:p>
        </w:tc>
        <w:tc>
          <w:tcPr>
            <w:tcW w:w="0" w:type="auto"/>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44956EFF">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2025年度税率</w:t>
            </w:r>
          </w:p>
          <w:p w14:paraId="7396DA24">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w:t>
            </w:r>
          </w:p>
        </w:tc>
        <w:tc>
          <w:tcPr>
            <w:tcW w:w="1341"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616E1647">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2026年度税率</w:t>
            </w:r>
          </w:p>
          <w:p w14:paraId="3B38609F">
            <w:pPr>
              <w:keepNext/>
              <w:keepLines w:val="0"/>
              <w:pageBreakBefore w:val="0"/>
              <w:widowControl/>
              <w:suppressLineNumbers w:val="0"/>
              <w:kinsoku/>
              <w:wordWrap/>
              <w:overflowPunct/>
              <w:topLinePunct w:val="0"/>
              <w:autoSpaceDE/>
              <w:autoSpaceDN/>
              <w:bidi w:val="0"/>
              <w:adjustRightInd w:val="0"/>
              <w:snapToGrid w:val="0"/>
              <w:spacing w:after="0" w:line="240" w:lineRule="atLeast"/>
              <w:jc w:val="center"/>
              <w:textAlignment w:val="cente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1"/>
                <w:szCs w:val="21"/>
                <w:u w:val="none"/>
                <w:lang w:val="en-US" w:eastAsia="zh-CN" w:bidi="ar"/>
                <w14:textFill>
                  <w14:solidFill>
                    <w14:schemeClr w14:val="bg1"/>
                  </w14:solidFill>
                </w14:textFill>
              </w:rPr>
              <w:t>(%)</w:t>
            </w:r>
          </w:p>
        </w:tc>
      </w:tr>
      <w:tr w14:paraId="1B82F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297"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46D4700">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300,000及以下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2879383">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righ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0D65CC3">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12.5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C4E8282">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15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0B8C34B8">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17.5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1E203CB">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r>
      <w:tr w14:paraId="03A56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297"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B2B1D8B">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300,001—1,000,000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8D8B638">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righ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D6CC04A">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9D1F07C">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7A7F23DF">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08B12A2">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r>
      <w:tr w14:paraId="01261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297"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5825ABE3">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1,000,001—100,000,000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C463C99">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righ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31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49F0AFE4">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28.25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B2BB4CF">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25.5 </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2AF69507">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22.75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32E0375E">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20 </w:t>
            </w:r>
          </w:p>
        </w:tc>
      </w:tr>
      <w:tr w14:paraId="56B2E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2297"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5E719A3">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cs="微软雅黑"/>
                <w:sz w:val="21"/>
                <w:szCs w:val="21"/>
                <w:lang w:val="en-US" w:eastAsia="zh-CN" w:bidi="ar"/>
              </w:rPr>
              <w:t>100,000,000以上</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3997594">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righ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31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A4D6461">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32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123815BB">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33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6ED19580">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34 </w:t>
            </w:r>
          </w:p>
        </w:tc>
        <w:tc>
          <w:tcPr>
            <w:tcW w:w="134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14:paraId="0661FADA">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 xml:space="preserve">35 </w:t>
            </w:r>
          </w:p>
        </w:tc>
      </w:tr>
    </w:tbl>
    <w:p w14:paraId="78D0AD92">
      <w:pPr>
        <w:pStyle w:val="17"/>
        <w:widowControl/>
        <w:jc w:val="both"/>
        <w:rPr>
          <w:rFonts w:hint="eastAsia" w:eastAsia="微软雅黑"/>
          <w:lang w:val="en-US" w:eastAsia="zh-CN"/>
        </w:rPr>
      </w:pPr>
      <w:r>
        <w:t>与经营活动直接相关的成本费用可据实扣除；不符合税法规定或与经营活动无关的支出不得扣除。分公司和子公司还需缴纳0.25%的最低</w:t>
      </w:r>
      <w:r>
        <w:rPr>
          <w:rFonts w:hint="eastAsia"/>
          <w:lang w:val="en-US" w:eastAsia="zh-CN"/>
        </w:rPr>
        <w:t>缴纳额</w:t>
      </w:r>
      <w:r>
        <w:t>（CM，按年营业额计），</w:t>
      </w:r>
      <w:r>
        <w:rPr>
          <w:rFonts w:hint="eastAsia"/>
          <w:lang w:val="en-US" w:eastAsia="zh-CN"/>
        </w:rPr>
        <w:t>且不得低于3000摩洛哥迪拉姆，</w:t>
      </w:r>
      <w:r>
        <w:t>新设立企业前36个月免征。</w:t>
      </w:r>
    </w:p>
    <w:p w14:paraId="52411FA1">
      <w:r>
        <w:br w:type="page"/>
      </w:r>
    </w:p>
    <w:tbl>
      <w:tblPr>
        <w:tblStyle w:val="29"/>
        <w:tblW w:w="88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72"/>
        <w:gridCol w:w="2087"/>
        <w:gridCol w:w="2600"/>
        <w:gridCol w:w="3084"/>
      </w:tblGrid>
      <w:tr w14:paraId="63B74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57983584">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sz w:val="21"/>
                <w:szCs w:val="21"/>
                <w:u w:val="none"/>
                <w:lang w:val="zh-CN" w:eastAsia="zh-CN"/>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对比维度</w:t>
            </w:r>
          </w:p>
        </w:tc>
        <w:tc>
          <w:tcPr>
            <w:tcW w:w="2087"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763D991D">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sz w:val="21"/>
                <w:szCs w:val="21"/>
                <w:u w:val="none"/>
                <w:lang w:val="zh-CN" w:eastAsia="zh-CN"/>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不构成常设机构（</w:t>
            </w:r>
            <w:r>
              <w:rPr>
                <w:rFonts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Non-PE</w:t>
            </w: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w:t>
            </w:r>
          </w:p>
        </w:tc>
        <w:tc>
          <w:tcPr>
            <w:tcW w:w="2600" w:type="dxa"/>
            <w:tcBorders>
              <w:top w:val="single" w:color="000000" w:sz="4" w:space="0"/>
              <w:left w:val="single" w:color="000000" w:sz="4" w:space="0"/>
              <w:bottom w:val="single" w:color="000000" w:sz="4" w:space="0"/>
              <w:right w:val="single" w:color="000000" w:sz="4" w:space="0"/>
            </w:tcBorders>
            <w:shd w:val="clear" w:color="auto" w:fill="1F497D" w:themeFill="text2"/>
            <w:tcMar>
              <w:left w:w="108" w:type="dxa"/>
              <w:right w:w="108" w:type="dxa"/>
            </w:tcMar>
            <w:vAlign w:val="center"/>
          </w:tcPr>
          <w:p w14:paraId="02AED346">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构成常设机构</w:t>
            </w:r>
          </w:p>
          <w:p w14:paraId="1642892C">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sz w:val="21"/>
                <w:szCs w:val="21"/>
                <w:u w:val="none"/>
                <w:lang w:val="zh-CN" w:eastAsia="zh-CN"/>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w:t>
            </w:r>
            <w:r>
              <w:rPr>
                <w:rFonts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PE/</w:t>
            </w: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分公司）</w:t>
            </w:r>
          </w:p>
        </w:tc>
        <w:tc>
          <w:tcPr>
            <w:tcW w:w="3084" w:type="dxa"/>
            <w:tcBorders>
              <w:top w:val="single" w:color="000000" w:sz="4" w:space="0"/>
              <w:left w:val="single" w:color="000000" w:sz="4" w:space="0"/>
              <w:bottom w:val="single" w:color="000000" w:sz="4" w:space="0"/>
              <w:right w:val="single" w:color="000000" w:sz="4" w:space="0"/>
            </w:tcBorders>
            <w:shd w:val="clear" w:color="auto" w:fill="1F497D" w:themeFill="text2"/>
            <w:noWrap/>
            <w:tcMar>
              <w:left w:w="108" w:type="dxa"/>
              <w:right w:w="108" w:type="dxa"/>
            </w:tcMar>
            <w:vAlign w:val="center"/>
          </w:tcPr>
          <w:p w14:paraId="1C9976D3">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子公司</w:t>
            </w:r>
          </w:p>
          <w:p w14:paraId="06BF3382">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center"/>
              <w:textAlignment w:val="auto"/>
              <w:rPr>
                <w:rFonts w:hint="default" w:ascii="微软雅黑" w:hAnsi="微软雅黑" w:eastAsia="微软雅黑" w:cstheme="minorBidi"/>
                <w:b/>
                <w:i w:val="0"/>
                <w:iCs w:val="0"/>
                <w:color w:val="FFFFFF" w:themeColor="background1"/>
                <w:sz w:val="21"/>
                <w:szCs w:val="21"/>
                <w:u w:val="none"/>
                <w:lang w:val="zh-CN" w:eastAsia="zh-CN"/>
                <w14:textFill>
                  <w14:solidFill>
                    <w14:schemeClr w14:val="bg1"/>
                  </w14:solidFill>
                </w14:textFill>
              </w:rPr>
            </w:pPr>
            <w:r>
              <w:rPr>
                <w:rFonts w:hint="default" w:ascii="微软雅黑" w:hAnsi="微软雅黑" w:eastAsia="微软雅黑" w:cstheme="minorBidi"/>
                <w:b/>
                <w:i w:val="0"/>
                <w:iCs w:val="0"/>
                <w:color w:val="FFFFFF" w:themeColor="background1"/>
                <w:kern w:val="0"/>
                <w:sz w:val="21"/>
                <w:szCs w:val="21"/>
                <w:u w:val="none"/>
                <w:lang w:val="zh-CN" w:eastAsia="zh-CN" w:bidi="ar"/>
                <w14:textFill>
                  <w14:solidFill>
                    <w14:schemeClr w14:val="bg1"/>
                  </w14:solidFill>
                </w14:textFill>
              </w:rPr>
              <w:t>（SARL/SA）</w:t>
            </w:r>
          </w:p>
        </w:tc>
      </w:tr>
      <w:tr w14:paraId="3EAC7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2972088F">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核心判定标准</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2E5A8464">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工程持续时间</w:t>
            </w:r>
            <w:r>
              <w:rPr>
                <w:rFonts w:ascii="微软雅黑" w:hAnsi="微软雅黑" w:eastAsia="微软雅黑" w:cstheme="minorBidi"/>
                <w:i w:val="0"/>
                <w:iCs w:val="0"/>
                <w:color w:val="auto"/>
                <w:kern w:val="0"/>
                <w:sz w:val="21"/>
                <w:szCs w:val="21"/>
                <w:u w:val="none"/>
                <w:lang w:val="zh-CN" w:eastAsia="zh-CN" w:bidi="ar"/>
              </w:rPr>
              <w:t>&lt;6</w:t>
            </w:r>
            <w:r>
              <w:rPr>
                <w:rFonts w:hint="default" w:ascii="微软雅黑" w:hAnsi="微软雅黑" w:eastAsia="微软雅黑" w:cstheme="minorBidi"/>
                <w:i w:val="0"/>
                <w:iCs w:val="0"/>
                <w:color w:val="auto"/>
                <w:kern w:val="0"/>
                <w:sz w:val="21"/>
                <w:szCs w:val="21"/>
                <w:u w:val="none"/>
                <w:lang w:val="zh-CN" w:eastAsia="zh-CN" w:bidi="ar"/>
              </w:rPr>
              <w:t>个月，且不满足其他</w:t>
            </w:r>
            <w:r>
              <w:rPr>
                <w:rFonts w:ascii="微软雅黑" w:hAnsi="微软雅黑" w:eastAsia="微软雅黑" w:cstheme="minorBidi"/>
                <w:i w:val="0"/>
                <w:iCs w:val="0"/>
                <w:color w:val="auto"/>
                <w:kern w:val="0"/>
                <w:sz w:val="21"/>
                <w:szCs w:val="21"/>
                <w:u w:val="none"/>
                <w:lang w:val="zh-CN" w:eastAsia="zh-CN" w:bidi="ar"/>
              </w:rPr>
              <w:t>PE</w:t>
            </w:r>
            <w:r>
              <w:rPr>
                <w:rFonts w:hint="default" w:ascii="微软雅黑" w:hAnsi="微软雅黑" w:eastAsia="微软雅黑" w:cstheme="minorBidi"/>
                <w:i w:val="0"/>
                <w:iCs w:val="0"/>
                <w:color w:val="auto"/>
                <w:kern w:val="0"/>
                <w:sz w:val="21"/>
                <w:szCs w:val="21"/>
                <w:u w:val="none"/>
                <w:lang w:val="zh-CN" w:eastAsia="zh-CN" w:bidi="ar"/>
              </w:rPr>
              <w:t>条件</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33ACF9A">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工程持续时间</w:t>
            </w:r>
            <w:r>
              <w:rPr>
                <w:rFonts w:ascii="微软雅黑" w:hAnsi="微软雅黑" w:eastAsia="微软雅黑" w:cstheme="minorBidi"/>
                <w:i w:val="0"/>
                <w:iCs w:val="0"/>
                <w:color w:val="auto"/>
                <w:kern w:val="0"/>
                <w:sz w:val="21"/>
                <w:szCs w:val="21"/>
                <w:u w:val="none"/>
                <w:lang w:val="zh-CN" w:eastAsia="zh-CN" w:bidi="ar"/>
              </w:rPr>
              <w:t>≥6</w:t>
            </w:r>
            <w:r>
              <w:rPr>
                <w:rFonts w:hint="default" w:ascii="微软雅黑" w:hAnsi="微软雅黑" w:eastAsia="微软雅黑" w:cstheme="minorBidi"/>
                <w:i w:val="0"/>
                <w:iCs w:val="0"/>
                <w:color w:val="auto"/>
                <w:kern w:val="0"/>
                <w:sz w:val="21"/>
                <w:szCs w:val="21"/>
                <w:u w:val="none"/>
                <w:lang w:val="zh-CN" w:eastAsia="zh-CN" w:bidi="ar"/>
              </w:rPr>
              <w:t>个月，或注册分公司</w:t>
            </w:r>
          </w:p>
        </w:tc>
        <w:tc>
          <w:tcPr>
            <w:tcW w:w="308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5463B014">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在摩洛哥注册成立的独立法人</w:t>
            </w:r>
          </w:p>
        </w:tc>
      </w:tr>
      <w:tr w14:paraId="1DDC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5D5FB0F">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纳税身份认定</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569F09B">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被视为在摩洛哥没有应税存在</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3F4BB49E">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摩洛哥非居民企业，被视为在摩洛哥有应税存在，需进行税务登记</w:t>
            </w:r>
          </w:p>
        </w:tc>
        <w:tc>
          <w:tcPr>
            <w:tcW w:w="308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2E587CF7">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摩洛哥居民企业，需进行税务登记</w:t>
            </w:r>
          </w:p>
        </w:tc>
      </w:tr>
      <w:tr w14:paraId="01EB8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1FEBC07">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核心纳税模式</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55B9E28">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预提税（业主代扣代缴）</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3A5E255">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公司税（</w:t>
            </w:r>
            <w:r>
              <w:rPr>
                <w:rFonts w:ascii="微软雅黑" w:hAnsi="微软雅黑" w:eastAsia="微软雅黑" w:cstheme="minorBidi"/>
                <w:i w:val="0"/>
                <w:iCs w:val="0"/>
                <w:color w:val="auto"/>
                <w:kern w:val="0"/>
                <w:sz w:val="21"/>
                <w:szCs w:val="21"/>
                <w:u w:val="none"/>
                <w:lang w:val="zh-CN" w:eastAsia="zh-CN" w:bidi="ar"/>
              </w:rPr>
              <w:t>IS</w:t>
            </w:r>
            <w:r>
              <w:rPr>
                <w:rFonts w:hint="default" w:ascii="微软雅黑" w:hAnsi="微软雅黑" w:eastAsia="微软雅黑" w:cstheme="minorBidi"/>
                <w:i w:val="0"/>
                <w:iCs w:val="0"/>
                <w:color w:val="auto"/>
                <w:kern w:val="0"/>
                <w:sz w:val="21"/>
                <w:szCs w:val="21"/>
                <w:u w:val="none"/>
                <w:lang w:val="zh-CN" w:eastAsia="zh-CN" w:bidi="ar"/>
              </w:rPr>
              <w:t>）</w:t>
            </w:r>
            <w:r>
              <w:rPr>
                <w:rFonts w:ascii="微软雅黑" w:hAnsi="微软雅黑" w:eastAsia="微软雅黑" w:cstheme="minorBidi"/>
                <w:i w:val="0"/>
                <w:iCs w:val="0"/>
                <w:color w:val="auto"/>
                <w:kern w:val="0"/>
                <w:sz w:val="21"/>
                <w:szCs w:val="21"/>
                <w:u w:val="none"/>
                <w:lang w:val="zh-CN" w:eastAsia="zh-CN" w:bidi="ar"/>
              </w:rPr>
              <w:t xml:space="preserve">+ </w:t>
            </w:r>
            <w:r>
              <w:rPr>
                <w:rFonts w:hint="default" w:ascii="微软雅黑" w:hAnsi="微软雅黑" w:eastAsia="微软雅黑" w:cstheme="minorBidi"/>
                <w:i w:val="0"/>
                <w:iCs w:val="0"/>
                <w:color w:val="auto"/>
                <w:kern w:val="0"/>
                <w:sz w:val="21"/>
                <w:szCs w:val="21"/>
                <w:u w:val="none"/>
                <w:lang w:val="zh-CN" w:eastAsia="zh-CN" w:bidi="ar"/>
              </w:rPr>
              <w:t>年度汇算清缴</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3A61CDC">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公司税（</w:t>
            </w:r>
            <w:r>
              <w:rPr>
                <w:rFonts w:ascii="微软雅黑" w:hAnsi="微软雅黑" w:eastAsia="微软雅黑" w:cstheme="minorBidi"/>
                <w:i w:val="0"/>
                <w:iCs w:val="0"/>
                <w:color w:val="auto"/>
                <w:kern w:val="0"/>
                <w:sz w:val="21"/>
                <w:szCs w:val="21"/>
                <w:u w:val="none"/>
                <w:lang w:val="zh-CN" w:eastAsia="zh-CN" w:bidi="ar"/>
              </w:rPr>
              <w:t>IS</w:t>
            </w:r>
            <w:r>
              <w:rPr>
                <w:rFonts w:hint="default" w:ascii="微软雅黑" w:hAnsi="微软雅黑" w:eastAsia="微软雅黑" w:cstheme="minorBidi"/>
                <w:i w:val="0"/>
                <w:iCs w:val="0"/>
                <w:color w:val="auto"/>
                <w:kern w:val="0"/>
                <w:sz w:val="21"/>
                <w:szCs w:val="21"/>
                <w:u w:val="none"/>
                <w:lang w:val="zh-CN" w:eastAsia="zh-CN" w:bidi="ar"/>
              </w:rPr>
              <w:t>）</w:t>
            </w:r>
            <w:r>
              <w:rPr>
                <w:rFonts w:ascii="微软雅黑" w:hAnsi="微软雅黑" w:eastAsia="微软雅黑" w:cstheme="minorBidi"/>
                <w:i w:val="0"/>
                <w:iCs w:val="0"/>
                <w:color w:val="auto"/>
                <w:kern w:val="0"/>
                <w:sz w:val="21"/>
                <w:szCs w:val="21"/>
                <w:u w:val="none"/>
                <w:lang w:val="zh-CN" w:eastAsia="zh-CN" w:bidi="ar"/>
              </w:rPr>
              <w:t xml:space="preserve">+ </w:t>
            </w:r>
            <w:r>
              <w:rPr>
                <w:rFonts w:hint="default" w:ascii="微软雅黑" w:hAnsi="微软雅黑" w:eastAsia="微软雅黑" w:cstheme="minorBidi"/>
                <w:i w:val="0"/>
                <w:iCs w:val="0"/>
                <w:color w:val="auto"/>
                <w:kern w:val="0"/>
                <w:sz w:val="21"/>
                <w:szCs w:val="21"/>
                <w:u w:val="none"/>
                <w:lang w:val="zh-CN" w:eastAsia="zh-CN" w:bidi="ar"/>
              </w:rPr>
              <w:t>年度汇算清缴</w:t>
            </w:r>
          </w:p>
        </w:tc>
      </w:tr>
      <w:tr w14:paraId="0288A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7FC2B04">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公司税税率</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C0B071A">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不适用，预提税</w:t>
            </w:r>
            <w:r>
              <w:rPr>
                <w:rFonts w:ascii="微软雅黑" w:hAnsi="微软雅黑" w:eastAsia="微软雅黑" w:cstheme="minorBidi"/>
                <w:i w:val="0"/>
                <w:iCs w:val="0"/>
                <w:color w:val="auto"/>
                <w:kern w:val="0"/>
                <w:sz w:val="21"/>
                <w:szCs w:val="21"/>
                <w:u w:val="none"/>
                <w:lang w:val="zh-CN" w:eastAsia="zh-CN" w:bidi="ar"/>
              </w:rPr>
              <w:t>10%</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3955D865">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20%（利润</w:t>
            </w:r>
            <w:r>
              <w:rPr>
                <w:rFonts w:ascii="微软雅黑" w:hAnsi="微软雅黑" w:eastAsia="微软雅黑" w:cstheme="minorBidi"/>
                <w:i w:val="0"/>
                <w:iCs w:val="0"/>
                <w:color w:val="auto"/>
                <w:kern w:val="0"/>
                <w:sz w:val="21"/>
                <w:szCs w:val="21"/>
                <w:u w:val="none"/>
                <w:lang w:val="zh-CN" w:eastAsia="zh-CN" w:bidi="ar"/>
              </w:rPr>
              <w:t>&lt;1</w:t>
            </w:r>
            <w:r>
              <w:rPr>
                <w:rFonts w:hint="default" w:ascii="微软雅黑" w:hAnsi="微软雅黑" w:eastAsia="微软雅黑" w:cstheme="minorBidi"/>
                <w:i w:val="0"/>
                <w:iCs w:val="0"/>
                <w:color w:val="auto"/>
                <w:kern w:val="0"/>
                <w:sz w:val="21"/>
                <w:szCs w:val="21"/>
                <w:u w:val="none"/>
                <w:lang w:val="zh-CN" w:eastAsia="zh-CN" w:bidi="ar"/>
              </w:rPr>
              <w:t>亿</w:t>
            </w:r>
            <w:r>
              <w:rPr>
                <w:rFonts w:ascii="微软雅黑" w:hAnsi="微软雅黑" w:eastAsia="微软雅黑" w:cstheme="minorBidi"/>
                <w:i w:val="0"/>
                <w:iCs w:val="0"/>
                <w:color w:val="auto"/>
                <w:kern w:val="0"/>
                <w:sz w:val="21"/>
                <w:szCs w:val="21"/>
                <w:u w:val="none"/>
                <w:lang w:val="zh-CN" w:eastAsia="zh-CN" w:bidi="ar"/>
              </w:rPr>
              <w:t>MAD</w:t>
            </w:r>
            <w:r>
              <w:rPr>
                <w:rFonts w:hint="default" w:ascii="微软雅黑" w:hAnsi="微软雅黑" w:eastAsia="微软雅黑" w:cstheme="minorBidi"/>
                <w:i w:val="0"/>
                <w:iCs w:val="0"/>
                <w:color w:val="auto"/>
                <w:kern w:val="0"/>
                <w:sz w:val="21"/>
                <w:szCs w:val="21"/>
                <w:u w:val="none"/>
                <w:lang w:val="zh-CN" w:eastAsia="zh-CN" w:bidi="ar"/>
              </w:rPr>
              <w:t>）</w:t>
            </w:r>
            <w:r>
              <w:rPr>
                <w:rFonts w:ascii="微软雅黑" w:hAnsi="微软雅黑" w:eastAsia="微软雅黑" w:cstheme="minorBidi"/>
                <w:i w:val="0"/>
                <w:iCs w:val="0"/>
                <w:color w:val="auto"/>
                <w:kern w:val="0"/>
                <w:sz w:val="21"/>
                <w:szCs w:val="21"/>
                <w:u w:val="none"/>
                <w:lang w:val="zh-CN" w:eastAsia="zh-CN" w:bidi="ar"/>
              </w:rPr>
              <w:t>/ 35%</w:t>
            </w:r>
            <w:r>
              <w:rPr>
                <w:rFonts w:hint="default" w:ascii="微软雅黑" w:hAnsi="微软雅黑" w:eastAsia="微软雅黑" w:cstheme="minorBidi"/>
                <w:i w:val="0"/>
                <w:iCs w:val="0"/>
                <w:color w:val="auto"/>
                <w:kern w:val="0"/>
                <w:sz w:val="21"/>
                <w:szCs w:val="21"/>
                <w:u w:val="none"/>
                <w:lang w:val="zh-CN" w:eastAsia="zh-CN" w:bidi="ar"/>
              </w:rPr>
              <w:t>（利润</w:t>
            </w:r>
            <w:r>
              <w:rPr>
                <w:rFonts w:ascii="微软雅黑" w:hAnsi="微软雅黑" w:eastAsia="微软雅黑" w:cstheme="minorBidi"/>
                <w:i w:val="0"/>
                <w:iCs w:val="0"/>
                <w:color w:val="auto"/>
                <w:kern w:val="0"/>
                <w:sz w:val="21"/>
                <w:szCs w:val="21"/>
                <w:u w:val="none"/>
                <w:lang w:val="zh-CN" w:eastAsia="zh-CN" w:bidi="ar"/>
              </w:rPr>
              <w:t>≥1</w:t>
            </w:r>
            <w:r>
              <w:rPr>
                <w:rFonts w:hint="default" w:ascii="微软雅黑" w:hAnsi="微软雅黑" w:eastAsia="微软雅黑" w:cstheme="minorBidi"/>
                <w:i w:val="0"/>
                <w:iCs w:val="0"/>
                <w:color w:val="auto"/>
                <w:kern w:val="0"/>
                <w:sz w:val="21"/>
                <w:szCs w:val="21"/>
                <w:u w:val="none"/>
                <w:lang w:val="zh-CN" w:eastAsia="zh-CN" w:bidi="ar"/>
              </w:rPr>
              <w:t>亿</w:t>
            </w:r>
            <w:r>
              <w:rPr>
                <w:rFonts w:ascii="微软雅黑" w:hAnsi="微软雅黑" w:eastAsia="微软雅黑" w:cstheme="minorBidi"/>
                <w:i w:val="0"/>
                <w:iCs w:val="0"/>
                <w:color w:val="auto"/>
                <w:kern w:val="0"/>
                <w:sz w:val="21"/>
                <w:szCs w:val="21"/>
                <w:u w:val="none"/>
                <w:lang w:val="zh-CN" w:eastAsia="zh-CN" w:bidi="ar"/>
              </w:rPr>
              <w:t>MAD</w:t>
            </w:r>
            <w:r>
              <w:rPr>
                <w:rFonts w:hint="default" w:ascii="微软雅黑" w:hAnsi="微软雅黑" w:eastAsia="微软雅黑" w:cstheme="minorBidi"/>
                <w:i w:val="0"/>
                <w:iCs w:val="0"/>
                <w:color w:val="auto"/>
                <w:kern w:val="0"/>
                <w:sz w:val="21"/>
                <w:szCs w:val="21"/>
                <w:u w:val="none"/>
                <w:lang w:val="zh-CN" w:eastAsia="zh-CN" w:bidi="ar"/>
              </w:rPr>
              <w:t>）</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3C69598D">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20%（利润</w:t>
            </w:r>
            <w:r>
              <w:rPr>
                <w:rFonts w:ascii="微软雅黑" w:hAnsi="微软雅黑" w:eastAsia="微软雅黑" w:cstheme="minorBidi"/>
                <w:i w:val="0"/>
                <w:iCs w:val="0"/>
                <w:color w:val="auto"/>
                <w:kern w:val="0"/>
                <w:sz w:val="21"/>
                <w:szCs w:val="21"/>
                <w:u w:val="none"/>
                <w:lang w:val="zh-CN" w:eastAsia="zh-CN" w:bidi="ar"/>
              </w:rPr>
              <w:t>&lt;1</w:t>
            </w:r>
            <w:r>
              <w:rPr>
                <w:rFonts w:hint="default" w:ascii="微软雅黑" w:hAnsi="微软雅黑" w:eastAsia="微软雅黑" w:cstheme="minorBidi"/>
                <w:i w:val="0"/>
                <w:iCs w:val="0"/>
                <w:color w:val="auto"/>
                <w:kern w:val="0"/>
                <w:sz w:val="21"/>
                <w:szCs w:val="21"/>
                <w:u w:val="none"/>
                <w:lang w:val="zh-CN" w:eastAsia="zh-CN" w:bidi="ar"/>
              </w:rPr>
              <w:t>亿</w:t>
            </w:r>
            <w:r>
              <w:rPr>
                <w:rFonts w:ascii="微软雅黑" w:hAnsi="微软雅黑" w:eastAsia="微软雅黑" w:cstheme="minorBidi"/>
                <w:i w:val="0"/>
                <w:iCs w:val="0"/>
                <w:color w:val="auto"/>
                <w:kern w:val="0"/>
                <w:sz w:val="21"/>
                <w:szCs w:val="21"/>
                <w:u w:val="none"/>
                <w:lang w:val="zh-CN" w:eastAsia="zh-CN" w:bidi="ar"/>
              </w:rPr>
              <w:t>MAD</w:t>
            </w:r>
            <w:r>
              <w:rPr>
                <w:rFonts w:hint="default" w:ascii="微软雅黑" w:hAnsi="微软雅黑" w:eastAsia="微软雅黑" w:cstheme="minorBidi"/>
                <w:i w:val="0"/>
                <w:iCs w:val="0"/>
                <w:color w:val="auto"/>
                <w:kern w:val="0"/>
                <w:sz w:val="21"/>
                <w:szCs w:val="21"/>
                <w:u w:val="none"/>
                <w:lang w:val="zh-CN" w:eastAsia="zh-CN" w:bidi="ar"/>
              </w:rPr>
              <w:t>）</w:t>
            </w:r>
            <w:r>
              <w:rPr>
                <w:rFonts w:ascii="微软雅黑" w:hAnsi="微软雅黑" w:eastAsia="微软雅黑" w:cstheme="minorBidi"/>
                <w:i w:val="0"/>
                <w:iCs w:val="0"/>
                <w:color w:val="auto"/>
                <w:kern w:val="0"/>
                <w:sz w:val="21"/>
                <w:szCs w:val="21"/>
                <w:u w:val="none"/>
                <w:lang w:val="zh-CN" w:eastAsia="zh-CN" w:bidi="ar"/>
              </w:rPr>
              <w:t>/ 35%</w:t>
            </w:r>
            <w:r>
              <w:rPr>
                <w:rFonts w:hint="default" w:ascii="微软雅黑" w:hAnsi="微软雅黑" w:eastAsia="微软雅黑" w:cstheme="minorBidi"/>
                <w:i w:val="0"/>
                <w:iCs w:val="0"/>
                <w:color w:val="auto"/>
                <w:kern w:val="0"/>
                <w:sz w:val="21"/>
                <w:szCs w:val="21"/>
                <w:u w:val="none"/>
                <w:lang w:val="zh-CN" w:eastAsia="zh-CN" w:bidi="ar"/>
              </w:rPr>
              <w:t>（利润</w:t>
            </w:r>
            <w:r>
              <w:rPr>
                <w:rFonts w:ascii="微软雅黑" w:hAnsi="微软雅黑" w:eastAsia="微软雅黑" w:cstheme="minorBidi"/>
                <w:i w:val="0"/>
                <w:iCs w:val="0"/>
                <w:color w:val="auto"/>
                <w:kern w:val="0"/>
                <w:sz w:val="21"/>
                <w:szCs w:val="21"/>
                <w:u w:val="none"/>
                <w:lang w:val="zh-CN" w:eastAsia="zh-CN" w:bidi="ar"/>
              </w:rPr>
              <w:t>≥1</w:t>
            </w:r>
            <w:r>
              <w:rPr>
                <w:rFonts w:hint="default" w:ascii="微软雅黑" w:hAnsi="微软雅黑" w:eastAsia="微软雅黑" w:cstheme="minorBidi"/>
                <w:i w:val="0"/>
                <w:iCs w:val="0"/>
                <w:color w:val="auto"/>
                <w:kern w:val="0"/>
                <w:sz w:val="21"/>
                <w:szCs w:val="21"/>
                <w:u w:val="none"/>
                <w:lang w:val="zh-CN" w:eastAsia="zh-CN" w:bidi="ar"/>
              </w:rPr>
              <w:t>亿</w:t>
            </w:r>
            <w:r>
              <w:rPr>
                <w:rFonts w:ascii="微软雅黑" w:hAnsi="微软雅黑" w:eastAsia="微软雅黑" w:cstheme="minorBidi"/>
                <w:i w:val="0"/>
                <w:iCs w:val="0"/>
                <w:color w:val="auto"/>
                <w:kern w:val="0"/>
                <w:sz w:val="21"/>
                <w:szCs w:val="21"/>
                <w:u w:val="none"/>
                <w:lang w:val="zh-CN" w:eastAsia="zh-CN" w:bidi="ar"/>
              </w:rPr>
              <w:t>MAD</w:t>
            </w:r>
            <w:r>
              <w:rPr>
                <w:rFonts w:hint="default" w:ascii="微软雅黑" w:hAnsi="微软雅黑" w:eastAsia="微软雅黑" w:cstheme="minorBidi"/>
                <w:i w:val="0"/>
                <w:iCs w:val="0"/>
                <w:color w:val="auto"/>
                <w:kern w:val="0"/>
                <w:sz w:val="21"/>
                <w:szCs w:val="21"/>
                <w:u w:val="none"/>
                <w:lang w:val="zh-CN" w:eastAsia="zh-CN" w:bidi="ar"/>
              </w:rPr>
              <w:t>）</w:t>
            </w:r>
          </w:p>
        </w:tc>
      </w:tr>
      <w:tr w14:paraId="48390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518F3F3D">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税基</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2A825627">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毛收入：合同额或支付金额的全额，不得扣除成本费用</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0EC4D616">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净利润：总收入</w:t>
            </w:r>
            <w:r>
              <w:rPr>
                <w:rFonts w:ascii="微软雅黑" w:hAnsi="微软雅黑" w:eastAsia="微软雅黑" w:cstheme="minorBidi"/>
                <w:i w:val="0"/>
                <w:iCs w:val="0"/>
                <w:color w:val="auto"/>
                <w:kern w:val="0"/>
                <w:sz w:val="21"/>
                <w:szCs w:val="21"/>
                <w:u w:val="none"/>
                <w:lang w:val="zh-CN" w:eastAsia="zh-CN" w:bidi="ar"/>
              </w:rPr>
              <w:t xml:space="preserve"> - </w:t>
            </w:r>
            <w:r>
              <w:rPr>
                <w:rFonts w:hint="default" w:ascii="微软雅黑" w:hAnsi="微软雅黑" w:eastAsia="微软雅黑" w:cstheme="minorBidi"/>
                <w:i w:val="0"/>
                <w:iCs w:val="0"/>
                <w:color w:val="auto"/>
                <w:kern w:val="0"/>
                <w:sz w:val="21"/>
                <w:szCs w:val="21"/>
                <w:u w:val="none"/>
                <w:lang w:val="zh-CN" w:eastAsia="zh-CN" w:bidi="ar"/>
              </w:rPr>
              <w:t>可扣除成本费用（人工、材料、折旧、管理费等）</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C721B51">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净利润：总收入</w:t>
            </w:r>
            <w:r>
              <w:rPr>
                <w:rFonts w:ascii="微软雅黑" w:hAnsi="微软雅黑" w:eastAsia="微软雅黑" w:cstheme="minorBidi"/>
                <w:i w:val="0"/>
                <w:iCs w:val="0"/>
                <w:color w:val="auto"/>
                <w:kern w:val="0"/>
                <w:sz w:val="21"/>
                <w:szCs w:val="21"/>
                <w:u w:val="none"/>
                <w:lang w:val="zh-CN" w:eastAsia="zh-CN" w:bidi="ar"/>
              </w:rPr>
              <w:t xml:space="preserve"> - </w:t>
            </w:r>
            <w:r>
              <w:rPr>
                <w:rFonts w:hint="default" w:ascii="微软雅黑" w:hAnsi="微软雅黑" w:eastAsia="微软雅黑" w:cstheme="minorBidi"/>
                <w:i w:val="0"/>
                <w:iCs w:val="0"/>
                <w:color w:val="auto"/>
                <w:kern w:val="0"/>
                <w:sz w:val="21"/>
                <w:szCs w:val="21"/>
                <w:u w:val="none"/>
                <w:lang w:val="zh-CN" w:eastAsia="zh-CN" w:bidi="ar"/>
              </w:rPr>
              <w:t>可扣除成本费用（人工、材料、折旧、管理费等）</w:t>
            </w:r>
          </w:p>
        </w:tc>
      </w:tr>
      <w:tr w14:paraId="7F6D8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28082FE0">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亏损处理</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835DC63">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不适用（无企业所得税申报）</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3912DD88">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亏损可向以后年度结转</w:t>
            </w:r>
            <w:r>
              <w:rPr>
                <w:rFonts w:ascii="微软雅黑" w:hAnsi="微软雅黑" w:eastAsia="微软雅黑" w:cstheme="minorBidi"/>
                <w:i w:val="0"/>
                <w:iCs w:val="0"/>
                <w:color w:val="auto"/>
                <w:kern w:val="0"/>
                <w:sz w:val="21"/>
                <w:szCs w:val="21"/>
                <w:u w:val="none"/>
                <w:lang w:val="zh-CN" w:eastAsia="zh-CN" w:bidi="ar"/>
              </w:rPr>
              <w:t>4</w:t>
            </w:r>
            <w:r>
              <w:rPr>
                <w:rFonts w:hint="default" w:ascii="微软雅黑" w:hAnsi="微软雅黑" w:eastAsia="微软雅黑" w:cstheme="minorBidi"/>
                <w:i w:val="0"/>
                <w:iCs w:val="0"/>
                <w:color w:val="auto"/>
                <w:kern w:val="0"/>
                <w:sz w:val="21"/>
                <w:szCs w:val="21"/>
                <w:u w:val="none"/>
                <w:lang w:val="zh-CN" w:eastAsia="zh-CN" w:bidi="ar"/>
              </w:rPr>
              <w:t>年（折旧部分可无限期结转）</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3AFDC381">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亏损可向以后年度结转</w:t>
            </w:r>
            <w:r>
              <w:rPr>
                <w:rFonts w:ascii="微软雅黑" w:hAnsi="微软雅黑" w:eastAsia="微软雅黑" w:cstheme="minorBidi"/>
                <w:i w:val="0"/>
                <w:iCs w:val="0"/>
                <w:color w:val="auto"/>
                <w:kern w:val="0"/>
                <w:sz w:val="21"/>
                <w:szCs w:val="21"/>
                <w:u w:val="none"/>
                <w:lang w:val="zh-CN" w:eastAsia="zh-CN" w:bidi="ar"/>
              </w:rPr>
              <w:t>4</w:t>
            </w:r>
            <w:r>
              <w:rPr>
                <w:rFonts w:hint="default" w:ascii="微软雅黑" w:hAnsi="微软雅黑" w:eastAsia="微软雅黑" w:cstheme="minorBidi"/>
                <w:i w:val="0"/>
                <w:iCs w:val="0"/>
                <w:color w:val="auto"/>
                <w:kern w:val="0"/>
                <w:sz w:val="21"/>
                <w:szCs w:val="21"/>
                <w:u w:val="none"/>
                <w:lang w:val="zh-CN" w:eastAsia="zh-CN" w:bidi="ar"/>
              </w:rPr>
              <w:t>年（折旧部分可无限期结转）</w:t>
            </w:r>
          </w:p>
        </w:tc>
      </w:tr>
      <w:tr w14:paraId="01DCD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B20C927">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申报要求</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1B1F55C3">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无需年度申报，仅需确保业主正确扣缴预提税</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01EDD621">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财务年度结束后</w:t>
            </w:r>
            <w:r>
              <w:rPr>
                <w:rFonts w:ascii="微软雅黑" w:hAnsi="微软雅黑" w:eastAsia="微软雅黑" w:cstheme="minorBidi"/>
                <w:i w:val="0"/>
                <w:iCs w:val="0"/>
                <w:color w:val="auto"/>
                <w:kern w:val="0"/>
                <w:sz w:val="21"/>
                <w:szCs w:val="21"/>
                <w:u w:val="none"/>
                <w:lang w:val="zh-CN" w:eastAsia="zh-CN" w:bidi="ar"/>
              </w:rPr>
              <w:t>3</w:t>
            </w:r>
            <w:r>
              <w:rPr>
                <w:rFonts w:hint="default" w:ascii="微软雅黑" w:hAnsi="微软雅黑" w:eastAsia="微软雅黑" w:cstheme="minorBidi"/>
                <w:i w:val="0"/>
                <w:iCs w:val="0"/>
                <w:color w:val="auto"/>
                <w:kern w:val="0"/>
                <w:sz w:val="21"/>
                <w:szCs w:val="21"/>
                <w:u w:val="none"/>
                <w:lang w:val="zh-CN" w:eastAsia="zh-CN" w:bidi="ar"/>
              </w:rPr>
              <w:t>个月内提交年度申报表</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4D39725">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财务年度结束后</w:t>
            </w:r>
            <w:r>
              <w:rPr>
                <w:rFonts w:ascii="微软雅黑" w:hAnsi="微软雅黑" w:eastAsia="微软雅黑" w:cstheme="minorBidi"/>
                <w:i w:val="0"/>
                <w:iCs w:val="0"/>
                <w:color w:val="auto"/>
                <w:kern w:val="0"/>
                <w:sz w:val="21"/>
                <w:szCs w:val="21"/>
                <w:u w:val="none"/>
                <w:lang w:val="zh-CN" w:eastAsia="zh-CN" w:bidi="ar"/>
              </w:rPr>
              <w:t>3</w:t>
            </w:r>
            <w:r>
              <w:rPr>
                <w:rFonts w:hint="default" w:ascii="微软雅黑" w:hAnsi="微软雅黑" w:eastAsia="微软雅黑" w:cstheme="minorBidi"/>
                <w:i w:val="0"/>
                <w:iCs w:val="0"/>
                <w:color w:val="auto"/>
                <w:kern w:val="0"/>
                <w:sz w:val="21"/>
                <w:szCs w:val="21"/>
                <w:u w:val="none"/>
                <w:lang w:val="zh-CN" w:eastAsia="zh-CN" w:bidi="ar"/>
              </w:rPr>
              <w:t>个月内提交年度申报表</w:t>
            </w:r>
          </w:p>
        </w:tc>
      </w:tr>
      <w:tr w14:paraId="4C83A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072"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0AAD998F">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最低</w:t>
            </w:r>
            <w:r>
              <w:rPr>
                <w:rFonts w:hint="eastAsia" w:cstheme="minorBidi"/>
                <w:i w:val="0"/>
                <w:iCs w:val="0"/>
                <w:color w:val="auto"/>
                <w:kern w:val="0"/>
                <w:sz w:val="21"/>
                <w:szCs w:val="21"/>
                <w:u w:val="none"/>
                <w:lang w:val="en-US" w:eastAsia="zh-CN" w:bidi="ar"/>
              </w:rPr>
              <w:t>缴纳额</w:t>
            </w:r>
            <w:r>
              <w:rPr>
                <w:rFonts w:hint="default" w:ascii="微软雅黑" w:hAnsi="微软雅黑" w:eastAsia="微软雅黑" w:cstheme="minorBidi"/>
                <w:i w:val="0"/>
                <w:iCs w:val="0"/>
                <w:color w:val="auto"/>
                <w:kern w:val="0"/>
                <w:sz w:val="21"/>
                <w:szCs w:val="21"/>
                <w:u w:val="none"/>
                <w:lang w:val="zh-CN" w:eastAsia="zh-CN" w:bidi="ar"/>
              </w:rPr>
              <w:t>（</w:t>
            </w:r>
            <w:r>
              <w:rPr>
                <w:rFonts w:ascii="微软雅黑" w:hAnsi="微软雅黑" w:eastAsia="微软雅黑" w:cstheme="minorBidi"/>
                <w:i w:val="0"/>
                <w:iCs w:val="0"/>
                <w:color w:val="auto"/>
                <w:kern w:val="0"/>
                <w:sz w:val="21"/>
                <w:szCs w:val="21"/>
                <w:u w:val="none"/>
                <w:lang w:val="zh-CN" w:eastAsia="zh-CN" w:bidi="ar"/>
              </w:rPr>
              <w:t>CM</w:t>
            </w:r>
            <w:r>
              <w:rPr>
                <w:rFonts w:hint="default" w:ascii="微软雅黑" w:hAnsi="微软雅黑" w:eastAsia="微软雅黑" w:cstheme="minorBidi"/>
                <w:i w:val="0"/>
                <w:iCs w:val="0"/>
                <w:color w:val="auto"/>
                <w:kern w:val="0"/>
                <w:sz w:val="21"/>
                <w:szCs w:val="21"/>
                <w:u w:val="none"/>
                <w:lang w:val="zh-CN" w:eastAsia="zh-CN" w:bidi="ar"/>
              </w:rPr>
              <w:t>）</w:t>
            </w:r>
          </w:p>
        </w:tc>
        <w:tc>
          <w:tcPr>
            <w:tcW w:w="2087"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11A9DB1D">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不适用</w:t>
            </w:r>
          </w:p>
        </w:tc>
        <w:tc>
          <w:tcPr>
            <w:tcW w:w="260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6E355318">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需缴纳</w:t>
            </w:r>
            <w:r>
              <w:rPr>
                <w:rFonts w:ascii="微软雅黑" w:hAnsi="微软雅黑" w:eastAsia="微软雅黑" w:cstheme="minorBidi"/>
                <w:i w:val="0"/>
                <w:iCs w:val="0"/>
                <w:color w:val="auto"/>
                <w:kern w:val="0"/>
                <w:sz w:val="21"/>
                <w:szCs w:val="21"/>
                <w:u w:val="none"/>
                <w:lang w:val="zh-CN" w:eastAsia="zh-CN" w:bidi="ar"/>
              </w:rPr>
              <w:t xml:space="preserve">0.25% </w:t>
            </w:r>
            <w:r>
              <w:rPr>
                <w:rFonts w:hint="default" w:ascii="微软雅黑" w:hAnsi="微软雅黑" w:eastAsia="微软雅黑" w:cstheme="minorBidi"/>
                <w:i w:val="0"/>
                <w:iCs w:val="0"/>
                <w:color w:val="auto"/>
                <w:kern w:val="0"/>
                <w:sz w:val="21"/>
                <w:szCs w:val="21"/>
                <w:u w:val="none"/>
                <w:lang w:val="zh-CN" w:eastAsia="zh-CN" w:bidi="ar"/>
              </w:rPr>
              <w:t>的最低</w:t>
            </w:r>
            <w:r>
              <w:rPr>
                <w:rFonts w:hint="eastAsia" w:cstheme="minorBidi"/>
                <w:i w:val="0"/>
                <w:iCs w:val="0"/>
                <w:color w:val="auto"/>
                <w:kern w:val="0"/>
                <w:sz w:val="21"/>
                <w:szCs w:val="21"/>
                <w:u w:val="none"/>
                <w:lang w:val="en-US" w:eastAsia="zh-CN" w:bidi="ar"/>
              </w:rPr>
              <w:t>缴纳额</w:t>
            </w:r>
            <w:r>
              <w:rPr>
                <w:rFonts w:hint="default" w:ascii="微软雅黑" w:hAnsi="微软雅黑" w:eastAsia="微软雅黑" w:cstheme="minorBidi"/>
                <w:i w:val="0"/>
                <w:iCs w:val="0"/>
                <w:color w:val="auto"/>
                <w:kern w:val="0"/>
                <w:sz w:val="21"/>
                <w:szCs w:val="21"/>
                <w:u w:val="none"/>
                <w:lang w:val="zh-CN" w:eastAsia="zh-CN" w:bidi="ar"/>
              </w:rPr>
              <w:t>（按年营业额计算，</w:t>
            </w:r>
            <w:r>
              <w:rPr>
                <w:rFonts w:hint="eastAsia" w:cstheme="minorBidi"/>
                <w:i w:val="0"/>
                <w:iCs w:val="0"/>
                <w:color w:val="auto"/>
                <w:kern w:val="0"/>
                <w:sz w:val="21"/>
                <w:szCs w:val="21"/>
                <w:u w:val="none"/>
                <w:lang w:val="en-US" w:eastAsia="zh-CN" w:bidi="ar"/>
              </w:rPr>
              <w:t>不低于3000MAD，</w:t>
            </w:r>
            <w:r>
              <w:rPr>
                <w:rFonts w:hint="default" w:ascii="微软雅黑" w:hAnsi="微软雅黑" w:eastAsia="微软雅黑" w:cstheme="minorBidi"/>
                <w:i w:val="0"/>
                <w:iCs w:val="0"/>
                <w:color w:val="auto"/>
                <w:kern w:val="0"/>
                <w:sz w:val="21"/>
                <w:szCs w:val="21"/>
                <w:u w:val="none"/>
                <w:lang w:val="zh-CN" w:eastAsia="zh-CN" w:bidi="ar"/>
              </w:rPr>
              <w:t>前</w:t>
            </w:r>
            <w:r>
              <w:rPr>
                <w:rFonts w:ascii="微软雅黑" w:hAnsi="微软雅黑" w:eastAsia="微软雅黑" w:cstheme="minorBidi"/>
                <w:i w:val="0"/>
                <w:iCs w:val="0"/>
                <w:color w:val="auto"/>
                <w:kern w:val="0"/>
                <w:sz w:val="21"/>
                <w:szCs w:val="21"/>
                <w:u w:val="none"/>
                <w:lang w:val="zh-CN" w:eastAsia="zh-CN" w:bidi="ar"/>
              </w:rPr>
              <w:t>36</w:t>
            </w:r>
            <w:r>
              <w:rPr>
                <w:rFonts w:hint="default" w:ascii="微软雅黑" w:hAnsi="微软雅黑" w:eastAsia="微软雅黑" w:cstheme="minorBidi"/>
                <w:i w:val="0"/>
                <w:iCs w:val="0"/>
                <w:color w:val="auto"/>
                <w:kern w:val="0"/>
                <w:sz w:val="21"/>
                <w:szCs w:val="21"/>
                <w:u w:val="none"/>
                <w:lang w:val="zh-CN" w:eastAsia="zh-CN" w:bidi="ar"/>
              </w:rPr>
              <w:t>个月免征）</w:t>
            </w:r>
          </w:p>
        </w:tc>
        <w:tc>
          <w:tcPr>
            <w:tcW w:w="3084"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7F0FD138">
            <w:pPr>
              <w:keepNext w:val="0"/>
              <w:keepLines w:val="0"/>
              <w:pageBreakBefore w:val="0"/>
              <w:widowControl/>
              <w:suppressLineNumbers w:val="0"/>
              <w:kinsoku/>
              <w:wordWrap/>
              <w:overflowPunct/>
              <w:topLinePunct w:val="0"/>
              <w:autoSpaceDE/>
              <w:autoSpaceDN/>
              <w:bidi w:val="0"/>
              <w:adjustRightInd/>
              <w:snapToGrid/>
              <w:spacing w:before="40" w:after="40" w:line="240" w:lineRule="auto"/>
              <w:jc w:val="left"/>
              <w:textAlignment w:val="auto"/>
              <w:rPr>
                <w:rFonts w:hint="default" w:ascii="微软雅黑" w:hAnsi="微软雅黑" w:eastAsia="微软雅黑" w:cstheme="minorBidi"/>
                <w:i w:val="0"/>
                <w:iCs w:val="0"/>
                <w:color w:val="auto"/>
                <w:sz w:val="21"/>
                <w:szCs w:val="21"/>
                <w:u w:val="none"/>
                <w:lang w:val="zh-CN" w:eastAsia="zh-CN"/>
              </w:rPr>
            </w:pPr>
            <w:r>
              <w:rPr>
                <w:rFonts w:hint="default" w:ascii="微软雅黑" w:hAnsi="微软雅黑" w:eastAsia="微软雅黑" w:cstheme="minorBidi"/>
                <w:i w:val="0"/>
                <w:iCs w:val="0"/>
                <w:color w:val="auto"/>
                <w:kern w:val="0"/>
                <w:sz w:val="21"/>
                <w:szCs w:val="21"/>
                <w:u w:val="none"/>
                <w:lang w:val="zh-CN" w:eastAsia="zh-CN" w:bidi="ar"/>
              </w:rPr>
              <w:t>需缴纳</w:t>
            </w:r>
            <w:r>
              <w:rPr>
                <w:rFonts w:ascii="微软雅黑" w:hAnsi="微软雅黑" w:eastAsia="微软雅黑" w:cstheme="minorBidi"/>
                <w:i w:val="0"/>
                <w:iCs w:val="0"/>
                <w:color w:val="auto"/>
                <w:kern w:val="0"/>
                <w:sz w:val="21"/>
                <w:szCs w:val="21"/>
                <w:u w:val="none"/>
                <w:lang w:val="zh-CN" w:eastAsia="zh-CN" w:bidi="ar"/>
              </w:rPr>
              <w:t xml:space="preserve">0.25% </w:t>
            </w:r>
            <w:r>
              <w:rPr>
                <w:rFonts w:hint="default" w:ascii="微软雅黑" w:hAnsi="微软雅黑" w:eastAsia="微软雅黑" w:cstheme="minorBidi"/>
                <w:i w:val="0"/>
                <w:iCs w:val="0"/>
                <w:color w:val="auto"/>
                <w:kern w:val="0"/>
                <w:sz w:val="21"/>
                <w:szCs w:val="21"/>
                <w:u w:val="none"/>
                <w:lang w:val="zh-CN" w:eastAsia="zh-CN" w:bidi="ar"/>
              </w:rPr>
              <w:t>的最低</w:t>
            </w:r>
            <w:r>
              <w:rPr>
                <w:rFonts w:hint="eastAsia" w:cstheme="minorBidi"/>
                <w:i w:val="0"/>
                <w:iCs w:val="0"/>
                <w:color w:val="auto"/>
                <w:kern w:val="0"/>
                <w:sz w:val="21"/>
                <w:szCs w:val="21"/>
                <w:u w:val="none"/>
                <w:lang w:val="en-US" w:eastAsia="zh-CN" w:bidi="ar"/>
              </w:rPr>
              <w:t>缴纳额</w:t>
            </w:r>
            <w:r>
              <w:rPr>
                <w:rFonts w:hint="default" w:ascii="微软雅黑" w:hAnsi="微软雅黑" w:eastAsia="微软雅黑" w:cstheme="minorBidi"/>
                <w:i w:val="0"/>
                <w:iCs w:val="0"/>
                <w:color w:val="auto"/>
                <w:kern w:val="0"/>
                <w:sz w:val="21"/>
                <w:szCs w:val="21"/>
                <w:u w:val="none"/>
                <w:lang w:val="zh-CN" w:eastAsia="zh-CN" w:bidi="ar"/>
              </w:rPr>
              <w:t>（按年营业额计算，</w:t>
            </w:r>
            <w:r>
              <w:rPr>
                <w:rFonts w:hint="eastAsia" w:cstheme="minorBidi"/>
                <w:i w:val="0"/>
                <w:iCs w:val="0"/>
                <w:color w:val="auto"/>
                <w:kern w:val="0"/>
                <w:sz w:val="21"/>
                <w:szCs w:val="21"/>
                <w:u w:val="none"/>
                <w:lang w:val="en-US" w:eastAsia="zh-CN" w:bidi="ar"/>
              </w:rPr>
              <w:t>不低于3000MAD，</w:t>
            </w:r>
            <w:r>
              <w:rPr>
                <w:rFonts w:hint="default" w:ascii="微软雅黑" w:hAnsi="微软雅黑" w:eastAsia="微软雅黑" w:cstheme="minorBidi"/>
                <w:i w:val="0"/>
                <w:iCs w:val="0"/>
                <w:color w:val="auto"/>
                <w:kern w:val="0"/>
                <w:sz w:val="21"/>
                <w:szCs w:val="21"/>
                <w:u w:val="none"/>
                <w:lang w:val="zh-CN" w:eastAsia="zh-CN" w:bidi="ar"/>
              </w:rPr>
              <w:t>前</w:t>
            </w:r>
            <w:r>
              <w:rPr>
                <w:rFonts w:ascii="微软雅黑" w:hAnsi="微软雅黑" w:eastAsia="微软雅黑" w:cstheme="minorBidi"/>
                <w:i w:val="0"/>
                <w:iCs w:val="0"/>
                <w:color w:val="auto"/>
                <w:kern w:val="0"/>
                <w:sz w:val="21"/>
                <w:szCs w:val="21"/>
                <w:u w:val="none"/>
                <w:lang w:val="zh-CN" w:eastAsia="zh-CN" w:bidi="ar"/>
              </w:rPr>
              <w:t>36</w:t>
            </w:r>
            <w:r>
              <w:rPr>
                <w:rFonts w:hint="default" w:ascii="微软雅黑" w:hAnsi="微软雅黑" w:eastAsia="微软雅黑" w:cstheme="minorBidi"/>
                <w:i w:val="0"/>
                <w:iCs w:val="0"/>
                <w:color w:val="auto"/>
                <w:kern w:val="0"/>
                <w:sz w:val="21"/>
                <w:szCs w:val="21"/>
                <w:u w:val="none"/>
                <w:lang w:val="zh-CN" w:eastAsia="zh-CN" w:bidi="ar"/>
              </w:rPr>
              <w:t>个月免征）</w:t>
            </w:r>
          </w:p>
        </w:tc>
      </w:tr>
    </w:tbl>
    <w:p w14:paraId="70F267D6">
      <w:pPr>
        <w:pStyle w:val="5"/>
        <w:widowControl/>
        <w:numPr>
          <w:ilvl w:val="-1"/>
          <w:numId w:val="0"/>
        </w:numPr>
        <w:ind w:left="0" w:leftChars="0" w:firstLine="480" w:firstLineChars="200"/>
        <w:rPr>
          <w:rFonts w:hint="eastAsia"/>
        </w:rPr>
      </w:pPr>
      <w:bookmarkStart w:id="136" w:name="_Toc29935"/>
      <w:bookmarkStart w:id="137" w:name="_Toc10624"/>
      <w:bookmarkStart w:id="138" w:name="_Toc15603"/>
      <w:bookmarkStart w:id="139" w:name="_Toc7845"/>
      <w:bookmarkStart w:id="140" w:name="_Toc29726"/>
      <w:r>
        <w:rPr>
          <w:rFonts w:hint="eastAsia"/>
          <w:lang w:val="en-US" w:eastAsia="zh-CN"/>
        </w:rPr>
        <w:t>4.2.2</w:t>
      </w:r>
      <w:r>
        <w:t>增值税</w:t>
      </w:r>
      <w:bookmarkEnd w:id="136"/>
      <w:bookmarkEnd w:id="137"/>
      <w:bookmarkEnd w:id="138"/>
      <w:bookmarkEnd w:id="139"/>
      <w:bookmarkEnd w:id="140"/>
    </w:p>
    <w:p w14:paraId="0B9BA9BD">
      <w:pPr>
        <w:pStyle w:val="17"/>
        <w:widowControl/>
        <w:jc w:val="both"/>
      </w:pPr>
      <w:r>
        <w:t>摩洛哥境内所有工业、贸易、手工业、自由职业活动及进口货物均需缴纳增值税，正常税率为20%，降低税率有7%、10%、14%三档（适用于特定商品和服务）。直接进口和当地采购的装备，其增值税可用于抵扣。增值税发票无需使用税控机开具，发票上应载明开票日期、连续编号、开票方名称和地址、税务识别信息、购货方或接受服务方名称、交易内容、数量或工作量、单价、不含税金额、适用增值税税率、增值税金额及含税总金额。实操提示：位于</w:t>
      </w:r>
      <w:r>
        <w:rPr>
          <w:rFonts w:hint="eastAsia"/>
          <w:lang w:eastAsia="zh-CN"/>
        </w:rPr>
        <w:t>“</w:t>
      </w:r>
      <w:r>
        <w:t>产业加速区</w:t>
      </w:r>
      <w:r>
        <w:rPr>
          <w:rFonts w:hint="eastAsia"/>
          <w:lang w:eastAsia="zh-CN"/>
        </w:rPr>
        <w:t>”</w:t>
      </w:r>
      <w:r>
        <w:t>的项目可享受增值税免税优惠，但此项优惠通常直接授予业主（投资者），并非自动延伸至承包商。承包商须向业主开具不含增值税的发票，但向分包商采购时仍需支付含税价格，然后向税务机关申请退税，需在预算中单独列示</w:t>
      </w:r>
      <w:r>
        <w:rPr>
          <w:rFonts w:hint="eastAsia"/>
          <w:lang w:eastAsia="zh-CN"/>
        </w:rPr>
        <w:t>“</w:t>
      </w:r>
      <w:r>
        <w:t>增值税垫付资金占用成本</w:t>
      </w:r>
      <w:r>
        <w:rPr>
          <w:rFonts w:hint="eastAsia"/>
          <w:lang w:eastAsia="zh-CN"/>
        </w:rPr>
        <w:t>”</w:t>
      </w:r>
      <w:r>
        <w:t>（建议按3-6个月退税周期测算资金成本）。</w:t>
      </w:r>
    </w:p>
    <w:p w14:paraId="59042E6B">
      <w:pPr>
        <w:pStyle w:val="5"/>
        <w:widowControl/>
        <w:numPr>
          <w:ilvl w:val="-1"/>
          <w:numId w:val="0"/>
        </w:numPr>
        <w:ind w:left="0" w:leftChars="0" w:firstLine="480" w:firstLineChars="200"/>
        <w:rPr>
          <w:rFonts w:hint="eastAsia"/>
        </w:rPr>
      </w:pPr>
      <w:bookmarkStart w:id="141" w:name="_Toc5573"/>
      <w:bookmarkStart w:id="142" w:name="_Toc3234"/>
      <w:bookmarkStart w:id="143" w:name="_Toc2437"/>
      <w:bookmarkStart w:id="144" w:name="_Toc14716"/>
      <w:bookmarkStart w:id="145" w:name="_Toc30422"/>
      <w:r>
        <w:rPr>
          <w:rFonts w:hint="eastAsia"/>
          <w:lang w:val="en-US" w:eastAsia="zh-CN"/>
        </w:rPr>
        <w:t>4.2.3</w:t>
      </w:r>
      <w:r>
        <w:t>预提税</w:t>
      </w:r>
      <w:bookmarkEnd w:id="141"/>
      <w:bookmarkEnd w:id="142"/>
      <w:bookmarkEnd w:id="143"/>
      <w:bookmarkEnd w:id="144"/>
      <w:bookmarkEnd w:id="145"/>
    </w:p>
    <w:p w14:paraId="612B8FC4">
      <w:pPr>
        <w:pStyle w:val="17"/>
        <w:widowControl/>
        <w:jc w:val="both"/>
      </w:pPr>
      <w:r>
        <w:t>向非居民企业支付股息、利息、特许权使用费及其他费用均需代扣代缴公司税。2026年向非居民支付的股息过渡期税率为11.25%（2027年起降至10%）；利息预提税率为10%；特许权使用费率为10%</w:t>
      </w:r>
      <w:r>
        <w:rPr>
          <w:rFonts w:hint="eastAsia"/>
          <w:lang w:eastAsia="zh-CN"/>
        </w:rPr>
        <w:t>；</w:t>
      </w:r>
      <w:r>
        <w:rPr>
          <w:rFonts w:hint="eastAsia"/>
          <w:lang w:val="en-US" w:eastAsia="zh-CN"/>
        </w:rPr>
        <w:t>管理</w:t>
      </w:r>
      <w:r>
        <w:t>费预提税率为10%（2025—2026年为过渡期）。</w:t>
      </w:r>
      <w:r>
        <w:rPr>
          <w:rFonts w:hint="eastAsia"/>
        </w:rPr>
        <w:t>根据中摩税收协定第十条、第十一条、第十二条的规定，中国居民企业在摩洛哥设立常设机构取得的股息、利息及特许权使用费所得并入其常设机构的营业利润在摩洛哥征税，适用协定的营业利润条款；没有设立常设机构的来源于摩洛哥的投资所得在摩洛哥征收预提公司税。同时，协定还规定了来源地管辖权原则，并据此对股息、利息及特许权使用费的征税额进行了限制：如果受益所有人是中国居民，协定限定了摩洛哥适用的税率最高为10%。</w:t>
      </w:r>
      <w:r>
        <w:t>代扣代缴流程中，业主在向承包商支付款项时直接代扣预提税并向税务机关申报缴纳，承包商应确保业主提供完税证明，合同中应明确代扣代缴义务及完税证明提供时限。</w:t>
      </w:r>
    </w:p>
    <w:p w14:paraId="6124528B">
      <w:pPr>
        <w:pStyle w:val="5"/>
        <w:widowControl/>
        <w:numPr>
          <w:ilvl w:val="-1"/>
          <w:numId w:val="0"/>
        </w:numPr>
        <w:ind w:left="0" w:leftChars="0" w:firstLine="480" w:firstLineChars="200"/>
        <w:rPr>
          <w:rFonts w:hint="eastAsia"/>
        </w:rPr>
      </w:pPr>
      <w:bookmarkStart w:id="146" w:name="_Toc15090"/>
      <w:bookmarkStart w:id="147" w:name="_Toc23086"/>
      <w:bookmarkStart w:id="148" w:name="_Toc16280"/>
      <w:bookmarkStart w:id="149" w:name="_Toc18650"/>
      <w:bookmarkStart w:id="150" w:name="_Toc8934"/>
      <w:r>
        <w:rPr>
          <w:rFonts w:hint="eastAsia"/>
          <w:lang w:val="en-US" w:eastAsia="zh-CN"/>
        </w:rPr>
        <w:t>4.2.4</w:t>
      </w:r>
      <w:r>
        <w:t>个人所得税与社保</w:t>
      </w:r>
      <w:bookmarkEnd w:id="146"/>
      <w:bookmarkEnd w:id="147"/>
      <w:bookmarkEnd w:id="148"/>
      <w:bookmarkEnd w:id="149"/>
      <w:bookmarkEnd w:id="150"/>
    </w:p>
    <w:p w14:paraId="489DD62E">
      <w:pPr>
        <w:pStyle w:val="17"/>
        <w:widowControl/>
        <w:jc w:val="both"/>
      </w:pPr>
      <w:r>
        <w:t>摩洛哥个人所得税居民纳税人判定标准为：习惯性居住在摩洛哥的个人；主要收入来源于摩洛哥的个人；任意365天内在摩洛哥连续或累计停留超过183天的个人。外派员工停留超过183天即构成税收居民，需就全球所得在摩洛哥申报个人所得税；停留不超过183天且雇主非摩洛哥居民企业时，根据中摩税收协定可仅在原籍国纳税。非居民纳税人仅就来源于摩洛哥的所得纳税。雇用当地员工或符合当地纳税条件的外派人员，需按国家社会保障基金（CNSS）体系缴纳社保。2026年CNSS缴费率为雇主21.09%、雇员6.74%，合计27.83%，存在工资封顶（2026年封顶线约6,000 MAD/月），雇主负责代扣雇员部分并统一申报。雇佣当地员工时也可通过劳务公司签约以规避劳动法律风险。工资发放需通过当地银行系统完成，并按规定代扣代缴个人所得税及社保费用。</w:t>
      </w:r>
      <w:bookmarkStart w:id="151" w:name="_Toc11344"/>
      <w:bookmarkStart w:id="152" w:name="_Toc9841"/>
      <w:bookmarkStart w:id="153" w:name="_Toc27226"/>
      <w:bookmarkStart w:id="154" w:name="_Toc15760"/>
    </w:p>
    <w:p w14:paraId="3DFB41CA">
      <w:pPr>
        <w:pStyle w:val="5"/>
        <w:bidi w:val="0"/>
        <w:ind w:firstLine="480" w:firstLineChars="200"/>
        <w:rPr>
          <w:rFonts w:hint="eastAsia"/>
          <w:lang w:val="en-US" w:eastAsia="zh-CN"/>
        </w:rPr>
      </w:pPr>
      <w:bookmarkStart w:id="155" w:name="_Toc10302"/>
      <w:r>
        <w:rPr>
          <w:rFonts w:hint="eastAsia"/>
          <w:lang w:val="en-US" w:eastAsia="zh-CN"/>
        </w:rPr>
        <w:t>4.2.5其他税种</w:t>
      </w:r>
      <w:bookmarkEnd w:id="151"/>
      <w:bookmarkEnd w:id="152"/>
      <w:bookmarkEnd w:id="153"/>
      <w:bookmarkEnd w:id="154"/>
      <w:bookmarkEnd w:id="155"/>
    </w:p>
    <w:p w14:paraId="2F4C88B3">
      <w:pPr>
        <w:pStyle w:val="17"/>
        <w:widowControl/>
        <w:jc w:val="both"/>
      </w:pPr>
      <w:r>
        <w:t>关税及进口环节税：项目设备和材料进入摩洛哥时，通常涉及关税、进口增值税及进口附加税，从价征收。针对投资推广及扩大所需进口的设备物料、工具及其配件，进口关税为2.5%或10%；摩洛哥海关关税分为多个档次（0%、2.5%、7.5%、12.5%、17.5%、25%、30%、35%、40%、45%等），具体税率根据产品类别和原产地（是否享受自贸协定优惠）而异。企业应关注能否申请关税豁免，国际金融机构贷款项目或位于产业加速区的项目可享受一定豁免。</w:t>
      </w:r>
    </w:p>
    <w:p w14:paraId="7920F1A1">
      <w:pPr>
        <w:pStyle w:val="17"/>
        <w:widowControl/>
        <w:ind w:firstLine="480"/>
        <w:rPr>
          <w:rFonts w:hint="eastAsia"/>
          <w:sz w:val="24"/>
          <w:szCs w:val="28"/>
          <w:lang w:eastAsia="zh-CN"/>
        </w:rPr>
      </w:pPr>
      <w:r>
        <w:t>印花税：在摩洛哥所有应缴纳注册税的合同、协议及文件，均须缴纳印花税。定额征收按每页20 MAD计征；不记名汇票、本票及其他汇票按票面金额千分之一计征；已缴或未缴股份按股份金额百分之一计征。货物运输和注册登记文件也征收印花税，征税率因活动类别而不同。</w:t>
      </w:r>
    </w:p>
    <w:p w14:paraId="443DFCA9">
      <w:pPr>
        <w:pStyle w:val="4"/>
        <w:rPr>
          <w:rFonts w:ascii="微软雅黑" w:hAnsi="微软雅黑" w:eastAsia="微软雅黑"/>
          <w:color w:val="auto"/>
          <w:lang w:eastAsia="zh-CN"/>
        </w:rPr>
      </w:pPr>
      <w:bookmarkStart w:id="156" w:name="_Toc17745"/>
      <w:bookmarkStart w:id="157" w:name="_Toc29798"/>
      <w:bookmarkStart w:id="158" w:name="_Toc21108"/>
      <w:bookmarkStart w:id="159" w:name="_Toc950"/>
      <w:r>
        <w:rPr>
          <w:rFonts w:ascii="微软雅黑" w:hAnsi="微软雅黑" w:eastAsia="微软雅黑"/>
          <w:color w:val="auto"/>
          <w:lang w:val="zh-CN" w:eastAsia="zh-CN"/>
        </w:rPr>
        <w:t>4.3  外汇及资金管制政策</w:t>
      </w:r>
      <w:bookmarkEnd w:id="156"/>
      <w:bookmarkEnd w:id="157"/>
      <w:bookmarkEnd w:id="158"/>
      <w:bookmarkEnd w:id="159"/>
    </w:p>
    <w:p w14:paraId="030D9F92">
      <w:pPr>
        <w:pStyle w:val="17"/>
        <w:ind w:firstLine="480" w:firstLineChars="200"/>
        <w:jc w:val="both"/>
      </w:pPr>
      <w:r>
        <w:t>摩洛哥属于外汇管制国家，货币为摩洛哥迪拉姆（MAD），不可自由兑换。摩洛哥央行（马格里布银行）实行有管理的浮动汇率制度，其货币篮子由欧元和美元组成，权重分别为60%和40%，波动区间控制在±5%以内，超过波动区间央行会在外汇市场上进行干预。总体来看，摩洛哥迪拉姆汇率比较稳定，自2018年以来央行仅干预过两次外汇市场（2018年1月和2021年下半年）。摩洛哥计划从钉住货币篮子逐步过渡到浮动汇率制度，2026年为改革</w:t>
      </w:r>
      <w:r>
        <w:rPr>
          <w:rFonts w:hint="eastAsia"/>
          <w:lang w:eastAsia="zh-CN"/>
        </w:rPr>
        <w:t>“</w:t>
      </w:r>
      <w:r>
        <w:t>测试年</w:t>
      </w:r>
      <w:r>
        <w:rPr>
          <w:rFonts w:hint="eastAsia"/>
          <w:lang w:eastAsia="zh-CN"/>
        </w:rPr>
        <w:t>”</w:t>
      </w:r>
      <w:r>
        <w:t>，未来货币汇率波动会温和扩大。</w:t>
      </w:r>
    </w:p>
    <w:p w14:paraId="4A5B5B43">
      <w:pPr>
        <w:pStyle w:val="5"/>
        <w:numPr>
          <w:ilvl w:val="-1"/>
          <w:numId w:val="0"/>
        </w:numPr>
        <w:ind w:left="0" w:leftChars="0" w:firstLine="480" w:firstLineChars="200"/>
        <w:rPr>
          <w:rFonts w:hint="eastAsia"/>
        </w:rPr>
      </w:pPr>
      <w:bookmarkStart w:id="160" w:name="_Toc15866"/>
      <w:bookmarkStart w:id="161" w:name="_Toc20275"/>
      <w:bookmarkStart w:id="162" w:name="_Toc7889"/>
      <w:bookmarkStart w:id="163" w:name="_Toc7937"/>
      <w:bookmarkStart w:id="164" w:name="_Toc18867"/>
      <w:r>
        <w:rPr>
          <w:rFonts w:hint="eastAsia"/>
          <w:lang w:val="en-US" w:eastAsia="zh-CN"/>
        </w:rPr>
        <w:t>4.3.1</w:t>
      </w:r>
      <w:r>
        <w:t>资金汇入汇出的路径和材料要求</w:t>
      </w:r>
      <w:bookmarkEnd w:id="160"/>
      <w:bookmarkEnd w:id="161"/>
      <w:bookmarkEnd w:id="162"/>
      <w:bookmarkEnd w:id="163"/>
      <w:bookmarkEnd w:id="164"/>
    </w:p>
    <w:p w14:paraId="77BD1E94">
      <w:pPr>
        <w:pStyle w:val="17"/>
        <w:ind w:firstLine="480" w:firstLineChars="200"/>
        <w:jc w:val="both"/>
      </w:pPr>
      <w:r>
        <w:t>摩洛哥居民（含法人及个人）不能开设个人外汇账户，也不能持有外汇现金，货物或服务出口所得外汇需出售给中央银行。外国企业或个人可建立外汇账户或可兑换迪拉姆账户，但外汇入账后即自动兑换成迪拉姆，提取外汇时需向银行购买。资金汇出条件：外国企业或个人在摩洛哥投资取得的收益及分红、利息等收入，在依法缴纳税款后可自由汇出，但需向外管局提出申请，提供合法的收入来源、完税证明以及外管局要求的其他材料。资本汇出限制：外国投资者在摩洛哥的投资至少需要保留两年才能将资本汇回本国；居民外国投资者在摩洛哥持有投资超过10年的，每年可汇出最高200万MAD（约合18.5万欧元）的投资收益，即便无法提供外汇出资的原始证明。</w:t>
      </w:r>
    </w:p>
    <w:p w14:paraId="3ADC4958">
      <w:pPr>
        <w:pStyle w:val="5"/>
        <w:numPr>
          <w:ilvl w:val="-1"/>
          <w:numId w:val="0"/>
        </w:numPr>
        <w:ind w:left="0" w:leftChars="0" w:firstLine="480" w:firstLineChars="200"/>
      </w:pPr>
      <w:bookmarkStart w:id="165" w:name="_Toc12880"/>
      <w:bookmarkStart w:id="166" w:name="_Toc9175"/>
      <w:bookmarkStart w:id="167" w:name="_Toc15143"/>
      <w:bookmarkStart w:id="168" w:name="_Toc16616"/>
      <w:bookmarkStart w:id="169" w:name="_Toc13672"/>
      <w:r>
        <w:rPr>
          <w:rFonts w:hint="eastAsia"/>
          <w:lang w:val="en-US" w:eastAsia="zh-CN"/>
        </w:rPr>
        <w:t>4.3.2</w:t>
      </w:r>
      <w:r>
        <w:t>实际操作中的要点</w:t>
      </w:r>
      <w:bookmarkEnd w:id="165"/>
      <w:bookmarkEnd w:id="166"/>
      <w:bookmarkEnd w:id="167"/>
      <w:bookmarkEnd w:id="168"/>
      <w:bookmarkEnd w:id="169"/>
    </w:p>
    <w:p w14:paraId="2A0103E9">
      <w:pPr>
        <w:pStyle w:val="17"/>
        <w:ind w:firstLine="480" w:firstLineChars="200"/>
        <w:jc w:val="both"/>
      </w:pPr>
      <w:r>
        <w:t>在投标及合同谈判阶段，应优先争取以美元或欧元等国际货币计价和结算。从</w:t>
      </w:r>
      <w:r>
        <w:rPr>
          <w:rFonts w:hint="eastAsia"/>
          <w:lang w:eastAsia="zh-CN"/>
        </w:rPr>
        <w:t>中国海诚长沙公司</w:t>
      </w:r>
      <w:r>
        <w:t>实际项目执行情况来看，在摩洛哥承揽的项目业主均为摩洛哥居民企业，合同款项支付中部分电汇、部分信用证，电汇部分以美元支付，且可以直接从业主账户支付到</w:t>
      </w:r>
      <w:r>
        <w:rPr>
          <w:rFonts w:hint="eastAsia"/>
          <w:lang w:val="en-US" w:eastAsia="zh-CN"/>
        </w:rPr>
        <w:t>我方</w:t>
      </w:r>
      <w:r>
        <w:t>在中国国内开立的美元账户，实现了较好规避汇兑风险的收汇安排。各</w:t>
      </w:r>
      <w:r>
        <w:rPr>
          <w:rFonts w:hint="eastAsia"/>
          <w:lang w:val="en-US" w:eastAsia="zh-CN"/>
        </w:rPr>
        <w:t>经营</w:t>
      </w:r>
      <w:r>
        <w:t>单位应优先争取以美元计价，或实现收入币种与主要支出币种匹配。</w:t>
      </w:r>
    </w:p>
    <w:p w14:paraId="23F3D726">
      <w:pPr>
        <w:pStyle w:val="17"/>
        <w:ind w:firstLine="480" w:firstLineChars="200"/>
        <w:jc w:val="both"/>
        <w:rPr>
          <w:rFonts w:hint="default" w:eastAsia="微软雅黑"/>
          <w:lang w:val="en-US" w:eastAsia="zh-CN"/>
        </w:rPr>
      </w:pPr>
      <w:r>
        <w:rPr>
          <w:rFonts w:hint="eastAsia"/>
          <w:lang w:val="en-US" w:eastAsia="zh-CN"/>
        </w:rPr>
        <w:t>项目现场现金及备用金的管理：项目人员可以申请从摩洛哥项目分支机构银行账户中提取现金作为项目的备用金，现金提取应当在BIP报账系统中发起申请，备用的管理需符合公司备用金管理相关制度要求。同时应当依据项目分支机构整体资金情况判断是否提取现金作为备用金。中国海诚长沙公司在当地未提取现金，而是通过项目经理在国内申请人民币备用金后，在摩洛哥当地兑换成迪拉姆后作日常开支。</w:t>
      </w:r>
    </w:p>
    <w:p w14:paraId="753E311E">
      <w:pPr>
        <w:pStyle w:val="17"/>
        <w:ind w:firstLine="480" w:firstLineChars="200"/>
        <w:jc w:val="both"/>
        <w:rPr>
          <w:rFonts w:hint="eastAsia"/>
          <w:lang w:eastAsia="zh-CN"/>
        </w:rPr>
      </w:pPr>
      <w:r>
        <w:t>利润汇回的完整流程和时间周期：（1）利润汇回前，确保分公司或子公司完成年度账务处理和税务汇算清缴，取得完税证明，准备利润分配决议、财务报表及审计报告等基础文件；（2）向摩洛哥外管局提交资金汇出申请，提供合法的收入来源证明（合同、发票、银行回单等）、完税证明（企业所得税、预提税等）、公司章程及董事会决议等文件；（3）获批后向开户银行发起购汇和跨境汇款指令，银行审核后执行汇款，通常T+2至T+5个工作日到账；（4）税后利润汇出税处理：分公司利润汇出需缴纳10%的汇出税（根据中摩税收协定可降至5%），子公司股息汇出需缴纳11.25%（2026年）/10%（2027年起）的预提税。涉及利润汇回、大额购汇安排的，应在操作前与合作银行及当地顾问确认外汇路径和单证要求，避免因合规手续不完整影响资金收付。</w:t>
      </w:r>
      <w:r>
        <w:rPr>
          <w:lang w:val="zh-CN" w:eastAsia="zh-CN"/>
        </w:rPr>
        <w:br w:type="page"/>
      </w:r>
    </w:p>
    <w:p w14:paraId="312A0DDA">
      <w:pPr>
        <w:pStyle w:val="3"/>
        <w:spacing w:after="80"/>
        <w:ind w:left="283"/>
        <w:rPr>
          <w:rFonts w:hint="eastAsia"/>
          <w:b/>
          <w:bCs/>
          <w:iCs/>
          <w:szCs w:val="21"/>
          <w:lang w:eastAsia="zh-CN"/>
        </w:rPr>
      </w:pPr>
      <w:bookmarkStart w:id="170" w:name="_Toc12096"/>
      <w:bookmarkStart w:id="171" w:name="_Toc18598"/>
      <w:bookmarkStart w:id="172" w:name="_Toc21369"/>
      <w:bookmarkStart w:id="173" w:name="_Toc21414"/>
      <w:r>
        <w:rPr>
          <w:rFonts w:ascii="微软雅黑" w:hAnsi="微软雅黑" w:eastAsia="微软雅黑"/>
          <w:color w:val="auto"/>
          <w:lang w:val="zh-CN" w:eastAsia="zh-CN"/>
        </w:rPr>
        <w:t>第五章  项目全周期财务管理指引</w:t>
      </w:r>
      <w:bookmarkEnd w:id="170"/>
      <w:bookmarkEnd w:id="171"/>
      <w:bookmarkEnd w:id="172"/>
      <w:bookmarkEnd w:id="173"/>
    </w:p>
    <w:p w14:paraId="4251FEBF">
      <w:pPr>
        <w:pStyle w:val="4"/>
        <w:rPr>
          <w:rFonts w:ascii="微软雅黑" w:hAnsi="微软雅黑" w:eastAsia="微软雅黑"/>
          <w:color w:val="auto"/>
          <w:lang w:eastAsia="zh-CN"/>
        </w:rPr>
      </w:pPr>
      <w:bookmarkStart w:id="174" w:name="_Toc24485"/>
      <w:bookmarkStart w:id="175" w:name="_Toc14856"/>
      <w:bookmarkStart w:id="176" w:name="_Toc25717"/>
      <w:bookmarkStart w:id="177" w:name="_Toc28315"/>
      <w:r>
        <w:rPr>
          <w:rFonts w:ascii="微软雅黑" w:hAnsi="微软雅黑" w:eastAsia="微软雅黑"/>
          <w:color w:val="auto"/>
          <w:lang w:val="zh-CN" w:eastAsia="zh-CN"/>
        </w:rPr>
        <w:t xml:space="preserve">5.1  </w:t>
      </w:r>
      <w:r>
        <w:rPr>
          <w:rFonts w:hint="eastAsia" w:ascii="微软雅黑" w:hAnsi="微软雅黑" w:eastAsia="微软雅黑"/>
          <w:color w:val="auto"/>
          <w:lang w:val="zh-CN" w:eastAsia="zh-CN"/>
        </w:rPr>
        <w:t>投标</w:t>
      </w:r>
      <w:r>
        <w:rPr>
          <w:rFonts w:ascii="微软雅黑" w:hAnsi="微软雅黑" w:eastAsia="微软雅黑"/>
          <w:color w:val="auto"/>
          <w:lang w:val="zh-CN" w:eastAsia="zh-CN"/>
        </w:rPr>
        <w:t>及合同谈判阶段</w:t>
      </w:r>
      <w:bookmarkEnd w:id="174"/>
      <w:bookmarkEnd w:id="175"/>
      <w:bookmarkEnd w:id="176"/>
      <w:bookmarkEnd w:id="177"/>
    </w:p>
    <w:p w14:paraId="5EA6AF7D">
      <w:pPr>
        <w:pStyle w:val="5"/>
        <w:ind w:firstLine="480" w:firstLineChars="200"/>
        <w:rPr>
          <w:rFonts w:ascii="微软雅黑" w:hAnsi="微软雅黑" w:eastAsia="微软雅黑"/>
          <w:color w:val="auto"/>
          <w:lang w:eastAsia="zh-CN"/>
        </w:rPr>
      </w:pPr>
      <w:bookmarkStart w:id="178" w:name="_Toc17409"/>
      <w:bookmarkStart w:id="179" w:name="_Toc6658"/>
      <w:bookmarkStart w:id="180" w:name="_Toc16037"/>
      <w:bookmarkStart w:id="181" w:name="_Toc14520"/>
      <w:r>
        <w:rPr>
          <w:rFonts w:ascii="微软雅黑" w:hAnsi="微软雅黑" w:eastAsia="微软雅黑"/>
          <w:color w:val="auto"/>
          <w:lang w:val="zh-CN" w:eastAsia="zh-CN"/>
        </w:rPr>
        <w:t>5.1.1  主体形式选择</w:t>
      </w:r>
      <w:bookmarkEnd w:id="178"/>
      <w:bookmarkEnd w:id="179"/>
      <w:bookmarkEnd w:id="180"/>
      <w:bookmarkEnd w:id="181"/>
    </w:p>
    <w:p w14:paraId="3BA740E7">
      <w:pPr>
        <w:pStyle w:val="17"/>
        <w:spacing w:after="80"/>
        <w:rPr>
          <w:rFonts w:hint="eastAsia"/>
          <w:lang w:eastAsia="zh-CN"/>
        </w:rPr>
      </w:pPr>
      <w:r>
        <w:rPr>
          <w:lang w:val="zh-CN" w:eastAsia="zh-CN"/>
        </w:rPr>
        <w:t>对比三种形式在</w:t>
      </w:r>
      <w:r>
        <w:rPr>
          <w:rFonts w:hint="eastAsia"/>
          <w:lang w:val="zh-CN" w:eastAsia="zh-CN"/>
        </w:rPr>
        <w:t>摩洛哥</w:t>
      </w:r>
      <w:r>
        <w:rPr>
          <w:lang w:val="zh-CN" w:eastAsia="zh-CN"/>
        </w:rPr>
        <w:t>的差异：</w:t>
      </w:r>
    </w:p>
    <w:tbl>
      <w:tblPr>
        <w:tblStyle w:val="30"/>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158"/>
        <w:gridCol w:w="2158"/>
        <w:gridCol w:w="2158"/>
        <w:gridCol w:w="2158"/>
      </w:tblGrid>
      <w:tr w14:paraId="7F9734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jc w:val="center"/>
        </w:trPr>
        <w:tc>
          <w:tcPr>
            <w:tcW w:w="2158" w:type="dxa"/>
            <w:shd w:val="clear" w:color="auto" w:fill="1F4E79"/>
            <w:vAlign w:val="center"/>
          </w:tcPr>
          <w:p w14:paraId="1A71A660">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对比项</w:t>
            </w:r>
          </w:p>
        </w:tc>
        <w:tc>
          <w:tcPr>
            <w:tcW w:w="2158" w:type="dxa"/>
            <w:shd w:val="clear" w:color="auto" w:fill="1F4E79"/>
            <w:vAlign w:val="center"/>
          </w:tcPr>
          <w:p w14:paraId="15087D28">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项目部</w:t>
            </w:r>
          </w:p>
        </w:tc>
        <w:tc>
          <w:tcPr>
            <w:tcW w:w="2158" w:type="dxa"/>
            <w:shd w:val="clear" w:color="auto" w:fill="1F4E79"/>
            <w:vAlign w:val="center"/>
          </w:tcPr>
          <w:p w14:paraId="01B61790">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分公司</w:t>
            </w:r>
          </w:p>
        </w:tc>
        <w:tc>
          <w:tcPr>
            <w:tcW w:w="2158" w:type="dxa"/>
            <w:shd w:val="clear" w:color="auto" w:fill="1F4E79"/>
            <w:vAlign w:val="center"/>
          </w:tcPr>
          <w:p w14:paraId="41B2B359">
            <w:pPr>
              <w:spacing w:before="40" w:after="40" w:line="240" w:lineRule="auto"/>
              <w:jc w:val="center"/>
              <w:rPr>
                <w:rFonts w:hint="eastAsia"/>
                <w:color w:val="FFFFFF" w:themeColor="background1"/>
                <w:szCs w:val="28"/>
                <w14:textFill>
                  <w14:solidFill>
                    <w14:schemeClr w14:val="bg1"/>
                  </w14:solidFill>
                </w14:textFill>
              </w:rPr>
            </w:pPr>
            <w:r>
              <w:rPr>
                <w:b/>
                <w:color w:val="FFFFFF" w:themeColor="background1"/>
                <w:szCs w:val="28"/>
                <w:lang w:val="zh-CN" w:eastAsia="zh-CN"/>
                <w14:textFill>
                  <w14:solidFill>
                    <w14:schemeClr w14:val="bg1"/>
                  </w14:solidFill>
                </w14:textFill>
              </w:rPr>
              <w:t>子公司</w:t>
            </w:r>
          </w:p>
        </w:tc>
      </w:tr>
      <w:tr w14:paraId="7C9386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66C50050">
            <w:pPr>
              <w:spacing w:before="40" w:after="40" w:line="240" w:lineRule="auto"/>
              <w:rPr>
                <w:rFonts w:hint="eastAsia"/>
                <w:szCs w:val="28"/>
              </w:rPr>
            </w:pPr>
            <w:r>
              <w:rPr>
                <w:szCs w:val="28"/>
                <w:lang w:val="zh-CN" w:eastAsia="zh-CN"/>
              </w:rPr>
              <w:t>法律地位</w:t>
            </w:r>
          </w:p>
        </w:tc>
        <w:tc>
          <w:tcPr>
            <w:tcW w:w="2158" w:type="dxa"/>
            <w:shd w:val="clear" w:color="auto" w:fill="auto"/>
            <w:vAlign w:val="center"/>
          </w:tcPr>
          <w:p w14:paraId="2EA9EEBB">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无独立法律人格，仅是母公司在项目现场的派出机构</w:t>
            </w:r>
          </w:p>
        </w:tc>
        <w:tc>
          <w:tcPr>
            <w:tcW w:w="2158" w:type="dxa"/>
            <w:shd w:val="clear" w:color="auto" w:fill="auto"/>
            <w:vAlign w:val="center"/>
          </w:tcPr>
          <w:p w14:paraId="48384477">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无独立法律人格，是母公司的延伸，但需在摩洛哥注册</w:t>
            </w:r>
          </w:p>
        </w:tc>
        <w:tc>
          <w:tcPr>
            <w:tcW w:w="2158" w:type="dxa"/>
            <w:shd w:val="clear" w:color="auto" w:fill="auto"/>
            <w:vAlign w:val="center"/>
          </w:tcPr>
          <w:p w14:paraId="31A75C7A">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独立的法律实体，具有完全法人资格</w:t>
            </w:r>
          </w:p>
        </w:tc>
      </w:tr>
      <w:tr w14:paraId="0A2E979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429F39A1">
            <w:pPr>
              <w:spacing w:before="40" w:after="40" w:line="240" w:lineRule="auto"/>
              <w:rPr>
                <w:rFonts w:hint="eastAsia"/>
                <w:szCs w:val="28"/>
              </w:rPr>
            </w:pPr>
            <w:r>
              <w:rPr>
                <w:szCs w:val="28"/>
                <w:lang w:val="zh-CN" w:eastAsia="zh-CN"/>
              </w:rPr>
              <w:t>注册审批时间</w:t>
            </w:r>
          </w:p>
        </w:tc>
        <w:tc>
          <w:tcPr>
            <w:tcW w:w="2158" w:type="dxa"/>
            <w:shd w:val="clear" w:color="auto" w:fill="auto"/>
            <w:vAlign w:val="center"/>
          </w:tcPr>
          <w:p w14:paraId="7172A92E">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无注册流程，税务登记约1-2周</w:t>
            </w:r>
          </w:p>
        </w:tc>
        <w:tc>
          <w:tcPr>
            <w:tcW w:w="2158" w:type="dxa"/>
            <w:shd w:val="clear" w:color="auto" w:fill="auto"/>
            <w:vAlign w:val="center"/>
          </w:tcPr>
          <w:p w14:paraId="56D145CB">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约2-4周</w:t>
            </w:r>
          </w:p>
        </w:tc>
        <w:tc>
          <w:tcPr>
            <w:tcW w:w="2158" w:type="dxa"/>
            <w:shd w:val="clear" w:color="auto" w:fill="auto"/>
            <w:vAlign w:val="center"/>
          </w:tcPr>
          <w:p w14:paraId="356F4ECB">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约3-6周（SARL），更长（SA）</w:t>
            </w:r>
          </w:p>
        </w:tc>
      </w:tr>
      <w:tr w14:paraId="5D8F2C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387B4205">
            <w:pPr>
              <w:spacing w:before="40" w:after="40" w:line="240" w:lineRule="auto"/>
              <w:rPr>
                <w:rFonts w:hint="eastAsia"/>
                <w:szCs w:val="28"/>
              </w:rPr>
            </w:pPr>
            <w:r>
              <w:rPr>
                <w:szCs w:val="28"/>
                <w:lang w:val="zh-CN" w:eastAsia="zh-CN"/>
              </w:rPr>
              <w:t>注册资本</w:t>
            </w:r>
          </w:p>
        </w:tc>
        <w:tc>
          <w:tcPr>
            <w:tcW w:w="2158" w:type="dxa"/>
            <w:shd w:val="clear" w:color="auto" w:fill="auto"/>
            <w:vAlign w:val="center"/>
          </w:tcPr>
          <w:p w14:paraId="6BA08771">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无</w:t>
            </w:r>
          </w:p>
        </w:tc>
        <w:tc>
          <w:tcPr>
            <w:tcW w:w="2158" w:type="dxa"/>
            <w:shd w:val="clear" w:color="auto" w:fill="auto"/>
            <w:vAlign w:val="center"/>
          </w:tcPr>
          <w:p w14:paraId="0878DAC9">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无</w:t>
            </w:r>
          </w:p>
        </w:tc>
        <w:tc>
          <w:tcPr>
            <w:tcW w:w="2158" w:type="dxa"/>
            <w:shd w:val="clear" w:color="auto" w:fill="auto"/>
            <w:vAlign w:val="center"/>
          </w:tcPr>
          <w:p w14:paraId="1F6E17AE">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SARL：不低于10万迪拉姆；SA：不低于30万迪拉姆</w:t>
            </w:r>
          </w:p>
        </w:tc>
      </w:tr>
      <w:tr w14:paraId="3FF3D0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58B2BB99">
            <w:pPr>
              <w:spacing w:before="40" w:after="40" w:line="240" w:lineRule="auto"/>
              <w:rPr>
                <w:rFonts w:hint="eastAsia"/>
                <w:szCs w:val="28"/>
              </w:rPr>
            </w:pPr>
            <w:r>
              <w:rPr>
                <w:szCs w:val="28"/>
                <w:lang w:val="zh-CN" w:eastAsia="zh-CN"/>
              </w:rPr>
              <w:t>企业所得税</w:t>
            </w:r>
          </w:p>
        </w:tc>
        <w:tc>
          <w:tcPr>
            <w:tcW w:w="2158" w:type="dxa"/>
            <w:shd w:val="clear" w:color="auto" w:fill="auto"/>
            <w:vAlign w:val="center"/>
          </w:tcPr>
          <w:p w14:paraId="5BD3BDFD">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不构成常设机构时：业主代扣代缴10%预提税；构成常设机构时：按净利润缴20%-35%公司税</w:t>
            </w:r>
          </w:p>
        </w:tc>
        <w:tc>
          <w:tcPr>
            <w:tcW w:w="2158" w:type="dxa"/>
            <w:shd w:val="clear" w:color="auto" w:fill="auto"/>
            <w:vAlign w:val="center"/>
          </w:tcPr>
          <w:p w14:paraId="652C71D8">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按净利润缴纳公司税，税率20%-35%，另需缴0.25%最低</w:t>
            </w:r>
            <w:r>
              <w:rPr>
                <w:rFonts w:hint="eastAsia"/>
                <w:szCs w:val="28"/>
                <w:lang w:val="en-US" w:eastAsia="zh-CN"/>
              </w:rPr>
              <w:t>缴纳额</w:t>
            </w:r>
            <w:r>
              <w:rPr>
                <w:rFonts w:hint="eastAsia"/>
                <w:szCs w:val="28"/>
              </w:rPr>
              <w:t>（CM），新企业前36个月免征</w:t>
            </w:r>
          </w:p>
        </w:tc>
        <w:tc>
          <w:tcPr>
            <w:tcW w:w="2158" w:type="dxa"/>
            <w:shd w:val="clear" w:color="auto" w:fill="auto"/>
            <w:vAlign w:val="center"/>
          </w:tcPr>
          <w:p w14:paraId="75184AA0">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按净利润缴纳公司税，税率20%-35%，另需缴0.25%最低</w:t>
            </w:r>
            <w:r>
              <w:rPr>
                <w:rFonts w:hint="eastAsia"/>
                <w:szCs w:val="28"/>
                <w:lang w:val="en-US" w:eastAsia="zh-CN"/>
              </w:rPr>
              <w:t>缴纳额</w:t>
            </w:r>
            <w:r>
              <w:rPr>
                <w:rFonts w:hint="eastAsia"/>
                <w:szCs w:val="28"/>
              </w:rPr>
              <w:t>（CM），新企业前36个月免征</w:t>
            </w:r>
          </w:p>
        </w:tc>
      </w:tr>
      <w:tr w14:paraId="72EF1F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0786A938">
            <w:pPr>
              <w:spacing w:before="40" w:after="40" w:line="240" w:lineRule="auto"/>
              <w:rPr>
                <w:rFonts w:hint="eastAsia"/>
                <w:szCs w:val="28"/>
              </w:rPr>
            </w:pPr>
            <w:r>
              <w:rPr>
                <w:szCs w:val="28"/>
                <w:lang w:val="zh-CN" w:eastAsia="zh-CN"/>
              </w:rPr>
              <w:t>增值税</w:t>
            </w:r>
          </w:p>
        </w:tc>
        <w:tc>
          <w:tcPr>
            <w:tcW w:w="2158" w:type="dxa"/>
            <w:shd w:val="clear" w:color="auto" w:fill="auto"/>
            <w:vAlign w:val="center"/>
          </w:tcPr>
          <w:p w14:paraId="54166C69">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提供服务时需代收代缴，标准税率20%</w:t>
            </w:r>
          </w:p>
        </w:tc>
        <w:tc>
          <w:tcPr>
            <w:tcW w:w="2158" w:type="dxa"/>
            <w:shd w:val="clear" w:color="auto" w:fill="auto"/>
            <w:vAlign w:val="center"/>
          </w:tcPr>
          <w:p w14:paraId="7B49D248">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需注册VAT号，按月申报缴纳</w:t>
            </w:r>
          </w:p>
        </w:tc>
        <w:tc>
          <w:tcPr>
            <w:tcW w:w="2158" w:type="dxa"/>
            <w:shd w:val="clear" w:color="auto" w:fill="auto"/>
            <w:vAlign w:val="center"/>
          </w:tcPr>
          <w:p w14:paraId="5A1501B3">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需注册VAT号，按月申报缴纳</w:t>
            </w:r>
          </w:p>
        </w:tc>
      </w:tr>
      <w:tr w14:paraId="5C6F04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158" w:type="dxa"/>
            <w:vAlign w:val="center"/>
          </w:tcPr>
          <w:p w14:paraId="5A963613">
            <w:pPr>
              <w:spacing w:before="40" w:after="40" w:line="240" w:lineRule="auto"/>
              <w:rPr>
                <w:rFonts w:hint="eastAsia"/>
                <w:szCs w:val="28"/>
              </w:rPr>
            </w:pPr>
            <w:r>
              <w:rPr>
                <w:szCs w:val="28"/>
                <w:lang w:val="zh-CN" w:eastAsia="zh-CN"/>
              </w:rPr>
              <w:t>利润汇出</w:t>
            </w:r>
          </w:p>
        </w:tc>
        <w:tc>
          <w:tcPr>
            <w:tcW w:w="2158" w:type="dxa"/>
            <w:shd w:val="clear" w:color="auto" w:fill="auto"/>
            <w:vAlign w:val="center"/>
          </w:tcPr>
          <w:p w14:paraId="4FA552D7">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构成常设机构时需缴10%预提税，适用税收协定优惠</w:t>
            </w:r>
            <w:r>
              <w:rPr>
                <w:rFonts w:hint="eastAsia"/>
                <w:szCs w:val="28"/>
                <w:lang w:eastAsia="zh-CN"/>
              </w:rPr>
              <w:t>。</w:t>
            </w:r>
          </w:p>
        </w:tc>
        <w:tc>
          <w:tcPr>
            <w:tcW w:w="2158" w:type="dxa"/>
            <w:shd w:val="clear" w:color="auto" w:fill="auto"/>
            <w:vAlign w:val="center"/>
          </w:tcPr>
          <w:p w14:paraId="1467D714">
            <w:pPr>
              <w:spacing w:before="40" w:after="40" w:line="240" w:lineRule="auto"/>
              <w:rPr>
                <w:rFonts w:hint="eastAsia" w:ascii="微软雅黑" w:hAnsi="微软雅黑" w:eastAsia="微软雅黑" w:cstheme="minorBidi"/>
                <w:sz w:val="21"/>
                <w:szCs w:val="28"/>
                <w:lang w:val="en-US" w:eastAsia="zh-CN" w:bidi="ar-SA"/>
              </w:rPr>
            </w:pPr>
            <w:r>
              <w:rPr>
                <w:rFonts w:hint="eastAsia"/>
                <w:szCs w:val="28"/>
              </w:rPr>
              <w:t>利润汇出需缴10%预提税，适用税收协定优惠</w:t>
            </w:r>
            <w:r>
              <w:rPr>
                <w:rFonts w:hint="eastAsia"/>
                <w:szCs w:val="28"/>
                <w:lang w:eastAsia="zh-CN"/>
              </w:rPr>
              <w:t>。</w:t>
            </w:r>
          </w:p>
        </w:tc>
        <w:tc>
          <w:tcPr>
            <w:tcW w:w="2158" w:type="dxa"/>
            <w:shd w:val="clear" w:color="auto" w:fill="auto"/>
            <w:vAlign w:val="center"/>
          </w:tcPr>
          <w:p w14:paraId="6EB2CCFD">
            <w:pPr>
              <w:spacing w:before="40" w:after="40" w:line="240" w:lineRule="auto"/>
              <w:rPr>
                <w:rFonts w:hint="eastAsia" w:ascii="微软雅黑" w:hAnsi="微软雅黑" w:eastAsia="微软雅黑" w:cstheme="minorBidi"/>
                <w:sz w:val="21"/>
                <w:szCs w:val="28"/>
                <w:lang w:val="en-US" w:eastAsia="en-US" w:bidi="ar-SA"/>
              </w:rPr>
            </w:pPr>
            <w:r>
              <w:rPr>
                <w:rFonts w:hint="eastAsia"/>
                <w:szCs w:val="28"/>
              </w:rPr>
              <w:t>利润汇出需缴10%预提税，适用税收协定优惠</w:t>
            </w:r>
            <w:r>
              <w:rPr>
                <w:rFonts w:hint="eastAsia"/>
                <w:szCs w:val="28"/>
                <w:lang w:eastAsia="zh-CN"/>
              </w:rPr>
              <w:t>。</w:t>
            </w:r>
          </w:p>
        </w:tc>
      </w:tr>
    </w:tbl>
    <w:p w14:paraId="3CD3885E">
      <w:pPr>
        <w:pStyle w:val="17"/>
        <w:widowControl/>
        <w:rPr>
          <w:rFonts w:ascii="Times New Roman" w:hAnsi="Times New Roman" w:eastAsia="宋体" w:cs="Times New Roman"/>
          <w:sz w:val="24"/>
          <w:szCs w:val="24"/>
        </w:rPr>
      </w:pPr>
      <w:r>
        <w:rPr>
          <w:rFonts w:hint="eastAsia"/>
        </w:rPr>
        <w:t>摩洛哥项目可选项目部、分公司、子公司三类经营主体，三者法律地位、注册周期、计税规则差异明显；但分公司与子公司会计核算均遵循当地CGNC准则、需年度审计，清算均要财税清缴并走外汇审批，财务实操层面区别不大。</w:t>
      </w:r>
    </w:p>
    <w:p w14:paraId="138D63BE">
      <w:pPr>
        <w:pStyle w:val="17"/>
        <w:widowControl/>
        <w:rPr>
          <w:rFonts w:ascii="Times New Roman" w:hAnsi="Times New Roman" w:eastAsia="宋体" w:cs="Times New Roman"/>
          <w:sz w:val="24"/>
          <w:szCs w:val="24"/>
        </w:rPr>
      </w:pPr>
      <w:r>
        <w:rPr>
          <w:rFonts w:ascii="Times New Roman" w:hAnsi="Times New Roman" w:eastAsia="宋体" w:cs="Times New Roman"/>
          <w:sz w:val="24"/>
          <w:szCs w:val="24"/>
        </w:rPr>
        <w:t>注：SARL （有限责任公司）、SA （股份有限公司）</w:t>
      </w:r>
    </w:p>
    <w:p w14:paraId="305E0C98">
      <w:pPr>
        <w:pStyle w:val="17"/>
        <w:widowControl/>
      </w:pPr>
      <w:r>
        <w:t>主体形式选择建议：</w:t>
      </w:r>
    </w:p>
    <w:tbl>
      <w:tblPr>
        <w:tblStyle w:val="2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276"/>
        <w:gridCol w:w="2494"/>
        <w:gridCol w:w="1989"/>
      </w:tblGrid>
      <w:tr w14:paraId="0810B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440"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0" w:type="dxa"/>
              <w:bottom w:w="75" w:type="dxa"/>
              <w:right w:w="120" w:type="dxa"/>
            </w:tcMar>
            <w:vAlign w:val="center"/>
          </w:tcPr>
          <w:p w14:paraId="73674F28">
            <w:pPr>
              <w:snapToGrid/>
              <w:spacing w:before="40" w:after="40" w:line="240" w:lineRule="auto"/>
              <w:ind w:left="0" w:leftChars="0" w:right="0" w:rightChars="0" w:firstLine="0" w:firstLineChars="0"/>
              <w:jc w:val="center"/>
              <w:rPr>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项目特征</w:t>
            </w:r>
          </w:p>
        </w:tc>
        <w:tc>
          <w:tcPr>
            <w:tcW w:w="1423"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0F5D690B">
            <w:pPr>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推荐模式</w:t>
            </w:r>
          </w:p>
        </w:tc>
        <w:tc>
          <w:tcPr>
            <w:tcW w:w="1135"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1AA6070F">
            <w:pPr>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核心理由</w:t>
            </w:r>
          </w:p>
        </w:tc>
      </w:tr>
      <w:tr w14:paraId="2BFD5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440"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5E56CE74">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工期&lt;6个月，利润率&gt;10%，或项目仅包括境外设计、设备供货等离岸交付内容</w:t>
            </w:r>
          </w:p>
        </w:tc>
        <w:tc>
          <w:tcPr>
            <w:tcW w:w="1423"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6EDAA7E7">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争取不构成常设机构，项目管理部模式</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3FCE3DEB">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10%预提税成本可接受，合规简单</w:t>
            </w:r>
          </w:p>
        </w:tc>
      </w:tr>
      <w:tr w14:paraId="0AE4E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440"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2B9C4956">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工期&gt;6个月，利润率&lt;10%</w:t>
            </w:r>
          </w:p>
        </w:tc>
        <w:tc>
          <w:tcPr>
            <w:tcW w:w="1423"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38C79D01">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分公司+包税制</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1E782A4B">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有效税率低于标准计税</w:t>
            </w:r>
          </w:p>
        </w:tc>
      </w:tr>
      <w:tr w14:paraId="6ABCF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440"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1AD9A1D5">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工期&gt;6个月，利润率&gt;10%，或同时承揽多个项目</w:t>
            </w:r>
          </w:p>
        </w:tc>
        <w:tc>
          <w:tcPr>
            <w:tcW w:w="1423"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8A3C619">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分公司（标准计税）</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49E59D56">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成本扣除后实际税负可能低于包税制</w:t>
            </w:r>
          </w:p>
        </w:tc>
      </w:tr>
      <w:tr w14:paraId="17A2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440"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120" w:type="dxa"/>
            </w:tcMar>
            <w:vAlign w:val="center"/>
          </w:tcPr>
          <w:p w14:paraId="233E41EB">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长期经营，需独立法人</w:t>
            </w:r>
          </w:p>
        </w:tc>
        <w:tc>
          <w:tcPr>
            <w:tcW w:w="1423"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120" w:type="dxa"/>
            </w:tcMar>
            <w:vAlign w:val="center"/>
          </w:tcPr>
          <w:p w14:paraId="20B329D9">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子公司（SARL）</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75" w:type="dxa"/>
              <w:left w:w="120" w:type="dxa"/>
              <w:bottom w:w="75" w:type="dxa"/>
              <w:right w:w="0" w:type="dxa"/>
            </w:tcMar>
            <w:vAlign w:val="center"/>
          </w:tcPr>
          <w:p w14:paraId="6F128EB0">
            <w:pPr>
              <w:snapToGrid/>
              <w:spacing w:before="40" w:after="40" w:line="240" w:lineRule="auto"/>
              <w:ind w:left="0" w:leftChars="0" w:right="0" w:rightChars="0" w:firstLine="0" w:firstLineChars="0"/>
              <w:jc w:val="left"/>
              <w:rPr>
                <w:rFonts w:hint="default"/>
                <w:szCs w:val="28"/>
                <w:lang w:val="zh-CN" w:eastAsia="zh-CN"/>
              </w:rPr>
            </w:pPr>
            <w:r>
              <w:rPr>
                <w:rFonts w:hint="default"/>
                <w:szCs w:val="28"/>
                <w:lang w:val="zh-CN" w:eastAsia="zh-CN"/>
              </w:rPr>
              <w:t>有限责任保护，可享自贸区优惠</w:t>
            </w:r>
          </w:p>
        </w:tc>
      </w:tr>
    </w:tbl>
    <w:p w14:paraId="7DF0D317">
      <w:pPr>
        <w:pStyle w:val="17"/>
        <w:bidi w:val="0"/>
        <w:rPr>
          <w:rFonts w:hint="eastAsia"/>
          <w:lang w:val="zh-CN" w:eastAsia="zh-CN"/>
        </w:rPr>
      </w:pPr>
      <w:bookmarkStart w:id="182" w:name="_Toc22371"/>
      <w:bookmarkStart w:id="183" w:name="_Toc20042"/>
      <w:bookmarkStart w:id="184" w:name="_Toc451"/>
      <w:r>
        <w:rPr>
          <w:rFonts w:hint="eastAsia"/>
          <w:lang w:val="zh-CN" w:eastAsia="zh-CN"/>
        </w:rPr>
        <w:t>具体设立主体的选择需结合当地最新要求及项目实际需求，与总部相关部门协同会审。</w:t>
      </w:r>
    </w:p>
    <w:p w14:paraId="7F837EEF">
      <w:pPr>
        <w:pStyle w:val="5"/>
        <w:ind w:firstLine="480" w:firstLineChars="200"/>
        <w:rPr>
          <w:rFonts w:ascii="微软雅黑" w:hAnsi="微软雅黑" w:eastAsia="微软雅黑"/>
          <w:color w:val="auto"/>
          <w:lang w:eastAsia="zh-CN"/>
        </w:rPr>
      </w:pPr>
      <w:bookmarkStart w:id="185" w:name="_Toc13285"/>
      <w:r>
        <w:rPr>
          <w:rFonts w:ascii="微软雅黑" w:hAnsi="微软雅黑" w:eastAsia="微软雅黑"/>
          <w:color w:val="auto"/>
          <w:lang w:val="zh-CN" w:eastAsia="zh-CN"/>
        </w:rPr>
        <w:t>5.1.2  项目前期尽调</w:t>
      </w:r>
      <w:bookmarkEnd w:id="182"/>
      <w:bookmarkEnd w:id="183"/>
      <w:bookmarkEnd w:id="184"/>
      <w:bookmarkEnd w:id="185"/>
    </w:p>
    <w:p w14:paraId="25C9745C">
      <w:pPr>
        <w:pStyle w:val="17"/>
        <w:widowControl/>
        <w:jc w:val="both"/>
        <w:rPr>
          <w:rFonts w:hint="eastAsia"/>
        </w:rPr>
      </w:pPr>
      <w:r>
        <w:rPr>
          <w:rFonts w:hint="eastAsia"/>
          <w:lang w:eastAsia="zh-CN"/>
        </w:rPr>
        <w:t>（</w:t>
      </w:r>
      <w:r>
        <w:rPr>
          <w:rFonts w:hint="eastAsia"/>
          <w:lang w:val="en-US" w:eastAsia="zh-CN"/>
        </w:rPr>
        <w:t>1）</w:t>
      </w:r>
      <w:r>
        <w:rPr>
          <w:rFonts w:hint="eastAsia"/>
        </w:rPr>
        <w:t>业主资信调查：业主调查应重点关注股权结构、付款能力和履约记录。根据</w:t>
      </w:r>
      <w:r>
        <w:rPr>
          <w:rFonts w:hint="eastAsia"/>
          <w:lang w:eastAsia="zh-CN"/>
        </w:rPr>
        <w:t>中国海诚长沙公司</w:t>
      </w:r>
      <w:r>
        <w:rPr>
          <w:rFonts w:hint="eastAsia"/>
        </w:rPr>
        <w:t>实际项目经验，马拉喀什项目业主马拉锦矿业集团为卡萨布兰卡证券交易所上市公司，控股股东Al Mada是摩洛哥皇室的直接投资工具，具有国家信用背书；纳祖尔海水淡化项目业主Nador West Med公司为摩洛哥政府全资控股国有企业，项目已获欧洲复兴开发银行、非洲开发银行等稳定融资支持。对于政府类和公共机构项目，需重点核查预算批复、资金来源和历史付款记录；对民营项目，则需核查股东背景、授信落实、融资闭合情况和担保安排。</w:t>
      </w:r>
    </w:p>
    <w:p w14:paraId="66D28BF2">
      <w:pPr>
        <w:pStyle w:val="17"/>
        <w:widowControl/>
        <w:jc w:val="both"/>
        <w:rPr>
          <w:rFonts w:hint="eastAsia"/>
        </w:rPr>
      </w:pPr>
      <w:r>
        <w:rPr>
          <w:rFonts w:hint="eastAsia"/>
          <w:lang w:eastAsia="zh-CN"/>
        </w:rPr>
        <w:t>（</w:t>
      </w:r>
      <w:r>
        <w:rPr>
          <w:rFonts w:hint="eastAsia"/>
          <w:lang w:val="en-US" w:eastAsia="zh-CN"/>
        </w:rPr>
        <w:t>2）</w:t>
      </w:r>
      <w:r>
        <w:rPr>
          <w:rFonts w:hint="eastAsia"/>
        </w:rPr>
        <w:t>当地营商环境摸底：驻摩洛哥中资企业协会是中国企业了解当地情况、获取合作资源的重要渠道，</w:t>
      </w:r>
      <w:r>
        <w:rPr>
          <w:rFonts w:hint="eastAsia"/>
          <w:lang w:eastAsia="zh-CN"/>
        </w:rPr>
        <w:t>中国海诚长沙公司</w:t>
      </w:r>
      <w:r>
        <w:rPr>
          <w:rFonts w:hint="eastAsia"/>
        </w:rPr>
        <w:t>财务人员曾通过协会获取多家事务所的服务评价；中国驻摩洛哥大使馆经济商务处可提供最新的中资企业名录、行业报告和投资环境分析（根据其2025年3月发布的会员名录，中资企业在摩共65家）；合作银行方面，BMCE Bank of Africa在上海设有分行，可在国内完成初步对接，自2018年起持续服务中资企业；中信保可为企业提供业主及所在国别的信用风险评估，且已与摩洛哥非洲银行集团签署战略伙伴关系谅解备忘录，为中国企业进入摩洛哥市场提供融资和担保解决方案。</w:t>
      </w:r>
    </w:p>
    <w:p w14:paraId="5ED6417D">
      <w:pPr>
        <w:pStyle w:val="17"/>
        <w:widowControl/>
        <w:jc w:val="both"/>
      </w:pPr>
      <w:r>
        <w:rPr>
          <w:rFonts w:hint="eastAsia"/>
          <w:lang w:eastAsia="zh-CN"/>
        </w:rPr>
        <w:t>（</w:t>
      </w:r>
      <w:r>
        <w:rPr>
          <w:rFonts w:hint="eastAsia"/>
          <w:lang w:val="en-US" w:eastAsia="zh-CN"/>
        </w:rPr>
        <w:t>3）</w:t>
      </w:r>
      <w:r>
        <w:rPr>
          <w:rFonts w:hint="eastAsia"/>
        </w:rPr>
        <w:t>可靠信息查证渠道：中信保、驻摩洛哥中资企业协会、摩洛哥当地中资银行代表处（中国银行卡萨布兰卡代表处、中国进出口银行拉巴特代表处）、中国驻摩洛哥大使馆经济商务处、当地税务代理机构等均为可靠渠道，建议在投标前对多个渠道的信息进行交叉验证。</w:t>
      </w:r>
    </w:p>
    <w:p w14:paraId="775D22D2">
      <w:pPr>
        <w:pStyle w:val="5"/>
        <w:ind w:firstLine="480" w:firstLineChars="200"/>
        <w:rPr>
          <w:lang w:eastAsia="zh-CN"/>
        </w:rPr>
      </w:pPr>
      <w:bookmarkStart w:id="186" w:name="_Toc12458"/>
      <w:bookmarkStart w:id="187" w:name="_Toc13280"/>
      <w:bookmarkStart w:id="188" w:name="_Toc30264"/>
      <w:bookmarkStart w:id="189" w:name="_Toc3935"/>
      <w:r>
        <w:rPr>
          <w:lang w:val="zh-CN" w:eastAsia="zh-CN"/>
        </w:rPr>
        <w:t>5.1.3  资金管理准备</w:t>
      </w:r>
      <w:bookmarkEnd w:id="186"/>
      <w:bookmarkEnd w:id="187"/>
      <w:bookmarkEnd w:id="188"/>
      <w:bookmarkEnd w:id="189"/>
    </w:p>
    <w:p w14:paraId="337E380D">
      <w:pPr>
        <w:pStyle w:val="17"/>
        <w:widowControl/>
        <w:jc w:val="both"/>
        <w:rPr>
          <w:rFonts w:hint="eastAsia"/>
        </w:rPr>
      </w:pPr>
      <w:r>
        <w:rPr>
          <w:rFonts w:hint="eastAsia"/>
          <w:lang w:eastAsia="zh-CN"/>
        </w:rPr>
        <w:t>（</w:t>
      </w:r>
      <w:r>
        <w:rPr>
          <w:rFonts w:hint="eastAsia"/>
          <w:lang w:val="en-US" w:eastAsia="zh-CN"/>
        </w:rPr>
        <w:t>1）</w:t>
      </w:r>
      <w:r>
        <w:rPr>
          <w:rFonts w:hint="eastAsia"/>
        </w:rPr>
        <w:t>银行开户规划：摩洛哥主要银行中，阿提扎利瓦法银行（Attijariwafa Bank）是最大的商业银行，占据约四分之一市场份额，国际结算能力强，可开具各类保函，部分网点有中文服务，2022年在北京设立了代表处；摩洛哥非洲银行（Bank of Africa，BMCE）是第三大商业银行，在31个国家设有分支机构，2018年在上海正式设立分行，配备中英双语团队，与中信保已建立战略合作关系。中资银行方面，中国银行在卡萨布兰卡设有代表处，中国进出口银行在拉巴特设有代表处，国家开发银行设有工作组，但目前中资银行代表处暂不叙做业务，仅提供业务转介、项目推荐等服务。在目前中资银行无实体分支机构的情况下，首选摩洛哥非洲银行（可在国内完成初步对接、沟通无障碍、与中信保合作），其次可选阿提扎利瓦法银行。</w:t>
      </w:r>
    </w:p>
    <w:p w14:paraId="7D212C17">
      <w:pPr>
        <w:pStyle w:val="17"/>
        <w:widowControl/>
        <w:jc w:val="both"/>
        <w:rPr>
          <w:rFonts w:hint="eastAsia"/>
        </w:rPr>
      </w:pPr>
      <w:r>
        <w:rPr>
          <w:rFonts w:hint="eastAsia"/>
          <w:lang w:eastAsia="zh-CN"/>
        </w:rPr>
        <w:t>（</w:t>
      </w:r>
      <w:r>
        <w:rPr>
          <w:rFonts w:hint="eastAsia"/>
          <w:lang w:val="en-US" w:eastAsia="zh-CN"/>
        </w:rPr>
        <w:t>2）</w:t>
      </w:r>
      <w:r>
        <w:rPr>
          <w:rFonts w:hint="eastAsia"/>
        </w:rPr>
        <w:t>开户相关要求：开户通常需2-4周，一般材料包括公司章程、商业登记证明、税号证书、法人代表护照及居留证明、注册地址证明、董事会开户决议等。摩洛哥头部银行支持开通网银，须设置一级复核、二级复核两道以上权限，网银付款复核通过只能当地运营商（如ORANGE）号码收取短信验证码，如需在国内接收短信，要将当地运营商号码SIM卡带回国内安装使用。当地银行支持开通网银直连（MT940）功能，便于总部实时监控账户资金。银行预留印鉴可设置两名签字人，任何与该账户有关事项需同时得到两人确认后方可生效。</w:t>
      </w:r>
    </w:p>
    <w:p w14:paraId="224E5986">
      <w:pPr>
        <w:pStyle w:val="17"/>
        <w:widowControl/>
        <w:jc w:val="both"/>
      </w:pPr>
      <w:r>
        <w:rPr>
          <w:rFonts w:hint="eastAsia"/>
          <w:lang w:eastAsia="zh-CN"/>
        </w:rPr>
        <w:t>（</w:t>
      </w:r>
      <w:r>
        <w:rPr>
          <w:rFonts w:hint="eastAsia"/>
          <w:lang w:val="en-US" w:eastAsia="zh-CN"/>
        </w:rPr>
        <w:t>3）</w:t>
      </w:r>
      <w:r>
        <w:rPr>
          <w:rFonts w:hint="eastAsia"/>
        </w:rPr>
        <w:t>资本汇入相关要求：ODI备案在国内完成后，资金汇入摩洛哥需注意：外国投资者须以外币形式作为公司股本出资（如需注册当地法人实体），摩洛哥银行会生成Formule 2文件用于证明资金来源。在摩洛哥开展经营活动的外国企业分支机构，法律明确规定必须拥有摩洛哥本地银行账户。摩洛哥实行外汇管制，摩洛哥居民不能持有外汇现金，但外国企业可建立外汇账户或可兑换迪拉姆账户。资本金最低要求：设立股份有限公司（SA）最低注册资本为30万迪拉姆（股东不少于5人），设立有限责任公司（SARL）最低注册资本为10万迪拉姆。设立子公司需实缴注册资本，通过国际银行转账完成，并取得银行出具的资金到位证明。</w:t>
      </w:r>
    </w:p>
    <w:p w14:paraId="3EFA9B6B">
      <w:pPr>
        <w:pStyle w:val="5"/>
        <w:numPr>
          <w:ilvl w:val="0"/>
          <w:numId w:val="0"/>
        </w:numPr>
        <w:ind w:leftChars="0" w:firstLine="480" w:firstLineChars="200"/>
        <w:rPr>
          <w:b w:val="0"/>
        </w:rPr>
      </w:pPr>
      <w:bookmarkStart w:id="190" w:name="_Toc13887"/>
      <w:bookmarkStart w:id="191" w:name="_Toc14451"/>
      <w:bookmarkStart w:id="192" w:name="_Toc17738"/>
      <w:bookmarkStart w:id="193" w:name="_Toc1781"/>
      <w:r>
        <w:rPr>
          <w:rFonts w:ascii="微软雅黑" w:hAnsi="微软雅黑" w:eastAsia="微软雅黑"/>
          <w:color w:val="auto"/>
          <w:lang w:val="zh-CN" w:eastAsia="zh-CN"/>
        </w:rPr>
        <w:t xml:space="preserve">5.1.4  </w:t>
      </w:r>
      <w:r>
        <w:t>外部合作资源</w:t>
      </w:r>
      <w:bookmarkEnd w:id="190"/>
      <w:bookmarkEnd w:id="191"/>
      <w:bookmarkEnd w:id="192"/>
      <w:bookmarkEnd w:id="193"/>
    </w:p>
    <w:p w14:paraId="615922D7">
      <w:pPr>
        <w:pStyle w:val="17"/>
        <w:widowControl/>
        <w:rPr>
          <w:rFonts w:hint="eastAsia"/>
        </w:rPr>
      </w:pPr>
      <w:r>
        <w:rPr>
          <w:rFonts w:hint="eastAsia"/>
          <w:b/>
          <w:bCs/>
        </w:rPr>
        <w:t>税务代理/会计师事务所</w:t>
      </w:r>
      <w:r>
        <w:rPr>
          <w:rFonts w:hint="eastAsia"/>
        </w:rPr>
        <w:t>：</w:t>
      </w:r>
    </w:p>
    <w:p w14:paraId="1B88F147">
      <w:pPr>
        <w:pStyle w:val="17"/>
        <w:widowControl/>
        <w:jc w:val="both"/>
        <w:rPr>
          <w:rFonts w:hint="eastAsia"/>
        </w:rPr>
      </w:pPr>
      <w:r>
        <w:rPr>
          <w:rFonts w:hint="eastAsia"/>
          <w:lang w:eastAsia="zh-CN"/>
        </w:rPr>
        <w:t>中国海诚长沙公司</w:t>
      </w:r>
      <w:r>
        <w:rPr>
          <w:rFonts w:hint="eastAsia"/>
        </w:rPr>
        <w:t>在摩洛哥项目的实践经验表明，选择具备中资企业服务经验、沟通顺畅的代理机构至关重要。</w:t>
      </w:r>
      <w:r>
        <w:rPr>
          <w:rFonts w:hint="eastAsia"/>
          <w:lang w:val="en-US" w:eastAsia="zh-CN"/>
        </w:rPr>
        <w:t>我方</w:t>
      </w:r>
      <w:r>
        <w:rPr>
          <w:rFonts w:hint="eastAsia"/>
        </w:rPr>
        <w:t>最初选择的</w:t>
      </w:r>
      <w:r>
        <w:rPr>
          <w:rFonts w:hint="eastAsia"/>
          <w:lang w:val="en-US" w:eastAsia="zh-CN"/>
        </w:rPr>
        <w:t>天职</w:t>
      </w:r>
      <w:r>
        <w:rPr>
          <w:rFonts w:hint="eastAsia"/>
        </w:rPr>
        <w:t>会计师事务所当地分所，其会计人员和业务维护人员均非华人，不会汉语，沟通需通过翻译“中转”，效率低。其后，</w:t>
      </w:r>
      <w:r>
        <w:rPr>
          <w:rFonts w:hint="eastAsia"/>
          <w:lang w:val="en-US" w:eastAsia="zh-CN"/>
        </w:rPr>
        <w:t>我方</w:t>
      </w:r>
      <w:r>
        <w:rPr>
          <w:rFonts w:hint="eastAsia"/>
        </w:rPr>
        <w:t>财务人员通过中资企业协会了解到一家当地事务所（耀华咨询</w:t>
      </w:r>
      <w:r>
        <w:rPr>
          <w:rFonts w:hint="eastAsia"/>
          <w:lang w:val="en-US" w:eastAsia="zh-CN"/>
        </w:rPr>
        <w:t>-</w:t>
      </w:r>
      <w:r>
        <w:rPr>
          <w:rFonts w:hint="eastAsia"/>
        </w:rPr>
        <w:t>经营人员为华人同胞），实地向其他中资企业咨询确认后，签订了代理记账和代理报税服务合同。更换后，业务维护人员为华人，可用汉语顺畅交流，沟通效率显著提升。选择标准建议：（1）有中资企业服务经验且口碑良好；（2）具备中文或英语沟通能力（中文优先）；（3）建议实地拜访核实，通过中资企业协会了解真实评价；（4）对于重大财税判断，应要求事务所出具书面意见并归档备查。其他可选机构类型包括国际会计师事务所摩洛哥分所（如PwC等）和中资背景财税咨询顾问机构。</w:t>
      </w:r>
    </w:p>
    <w:p w14:paraId="7DE4925A">
      <w:pPr>
        <w:pStyle w:val="17"/>
        <w:spacing w:before="40" w:after="40"/>
        <w:ind w:left="0" w:firstLine="480" w:firstLineChars="200"/>
        <w:jc w:val="both"/>
        <w:rPr>
          <w:rFonts w:hint="eastAsia"/>
        </w:rPr>
      </w:pPr>
      <w:r>
        <w:rPr>
          <w:rFonts w:hint="eastAsia"/>
          <w:b/>
          <w:bCs/>
          <w:lang w:val="en-US" w:eastAsia="zh-CN"/>
        </w:rPr>
        <w:t>已合作事务所</w:t>
      </w:r>
      <w:r>
        <w:rPr>
          <w:rFonts w:hint="eastAsia"/>
        </w:rPr>
        <w:t>：</w:t>
      </w:r>
    </w:p>
    <w:p w14:paraId="7981FC3B">
      <w:pPr>
        <w:pStyle w:val="17"/>
        <w:spacing w:before="40" w:after="40"/>
        <w:ind w:left="0" w:firstLine="480" w:firstLineChars="200"/>
        <w:jc w:val="both"/>
        <w:rPr>
          <w:rFonts w:hint="default" w:eastAsia="微软雅黑"/>
          <w:lang w:val="en-US" w:eastAsia="zh-CN"/>
        </w:rPr>
      </w:pPr>
      <w:r>
        <w:rPr>
          <w:rFonts w:hint="eastAsia"/>
        </w:rPr>
        <w:t>耀华咨询</w:t>
      </w:r>
      <w:r>
        <w:rPr>
          <w:rFonts w:hint="eastAsia"/>
          <w:lang w:val="en-US" w:eastAsia="zh-CN"/>
        </w:rPr>
        <w:t>:为很多中资企业提供注册以及代理记账业务，价格比大型事务所低，并且包含的服务范围较广；华人经营，沟通比较方便；实际业务由雇佣的本地员工完成，专业性稍差。</w:t>
      </w:r>
    </w:p>
    <w:p w14:paraId="26151888">
      <w:pPr>
        <w:pStyle w:val="17"/>
        <w:spacing w:before="40" w:after="40"/>
        <w:ind w:left="0" w:firstLine="480" w:firstLineChars="200"/>
        <w:jc w:val="both"/>
        <w:rPr>
          <w:rFonts w:hint="default" w:eastAsia="微软雅黑"/>
          <w:lang w:val="en-US" w:eastAsia="zh-CN"/>
        </w:rPr>
      </w:pPr>
      <w:r>
        <w:rPr>
          <w:rFonts w:hint="eastAsia"/>
        </w:rPr>
        <w:t>天职国际</w:t>
      </w:r>
      <w:r>
        <w:rPr>
          <w:rFonts w:hint="eastAsia"/>
          <w:lang w:eastAsia="zh-CN"/>
        </w:rPr>
        <w:t>：</w:t>
      </w:r>
      <w:r>
        <w:rPr>
          <w:rFonts w:hint="eastAsia"/>
          <w:lang w:val="en-US" w:eastAsia="zh-CN"/>
        </w:rPr>
        <w:t>服务比较专业，英文沟通能力强，但任何超出合同范围的工作内容都要额外付费，难以提供全面的服务。</w:t>
      </w:r>
    </w:p>
    <w:p w14:paraId="60FD2B71">
      <w:pPr>
        <w:pStyle w:val="17"/>
        <w:spacing w:before="40" w:after="40"/>
        <w:ind w:left="0" w:firstLine="480" w:firstLineChars="200"/>
        <w:jc w:val="both"/>
        <w:rPr>
          <w:rFonts w:hint="eastAsia"/>
          <w:szCs w:val="28"/>
          <w:lang w:val="zh-CN" w:eastAsia="zh-CN"/>
        </w:rPr>
      </w:pPr>
      <w:r>
        <w:rPr>
          <w:rFonts w:hint="eastAsia"/>
        </w:rPr>
        <w:t>致同</w:t>
      </w:r>
      <w:r>
        <w:rPr>
          <w:rFonts w:hint="eastAsia"/>
          <w:lang w:eastAsia="zh-CN"/>
        </w:rPr>
        <w:t>：</w:t>
      </w:r>
      <w:r>
        <w:rPr>
          <w:rFonts w:hint="eastAsia"/>
          <w:lang w:val="en-US" w:eastAsia="zh-CN"/>
        </w:rPr>
        <w:t>有中资企业服务经验，是资历较深的一家事务所，英语沟通能力强，总体服务较为专业。</w:t>
      </w:r>
    </w:p>
    <w:p w14:paraId="13CB3C19">
      <w:pPr>
        <w:pStyle w:val="5"/>
        <w:numPr>
          <w:ilvl w:val="0"/>
          <w:numId w:val="0"/>
        </w:numPr>
        <w:ind w:leftChars="0" w:firstLine="480" w:firstLineChars="200"/>
        <w:rPr>
          <w:b w:val="0"/>
        </w:rPr>
      </w:pPr>
      <w:bookmarkStart w:id="194" w:name="_Toc5073"/>
      <w:bookmarkStart w:id="195" w:name="_Toc9502"/>
      <w:bookmarkStart w:id="196" w:name="_Toc938"/>
      <w:bookmarkStart w:id="197" w:name="_Toc30352"/>
      <w:r>
        <w:rPr>
          <w:rFonts w:ascii="微软雅黑" w:hAnsi="微软雅黑" w:eastAsia="微软雅黑"/>
          <w:color w:val="auto"/>
          <w:lang w:val="zh-CN" w:eastAsia="zh-CN"/>
        </w:rPr>
        <w:t xml:space="preserve">5.1.5  </w:t>
      </w:r>
      <w:r>
        <w:t>具体项目案例</w:t>
      </w:r>
      <w:bookmarkEnd w:id="194"/>
      <w:bookmarkEnd w:id="195"/>
      <w:bookmarkEnd w:id="196"/>
      <w:bookmarkEnd w:id="197"/>
    </w:p>
    <w:p w14:paraId="1E287EDF">
      <w:pPr>
        <w:pStyle w:val="17"/>
        <w:widowControl/>
        <w:jc w:val="both"/>
        <w:rPr>
          <w:rFonts w:hint="eastAsia"/>
        </w:rPr>
      </w:pPr>
      <w:r>
        <w:rPr>
          <w:rFonts w:hint="eastAsia"/>
          <w:b/>
          <w:bCs/>
        </w:rPr>
        <w:t>马拉喀什电池级硫酸钴项目（2023年签署）</w:t>
      </w:r>
      <w:r>
        <w:rPr>
          <w:rFonts w:hint="eastAsia"/>
        </w:rPr>
        <w:t>：该项目为EPC总承包项目，合同包含设计、设备供货、安装调试及开车服务。在投标阶段特别关注了以下要点：（1）业主背景尽调——业主马拉锦矿业集团为卡萨布兰卡证券交易所上市公司，控股股东Al Mada为皇室直接投资工具，代表国家战略利益，付款能力和履约意愿较强，但决策流程较长，对合作伙伴技术实力和资质要求较高；（2）税收筹划——项目业主持有增值税免税文件，</w:t>
      </w:r>
      <w:r>
        <w:rPr>
          <w:rFonts w:hint="eastAsia"/>
          <w:lang w:eastAsia="zh-CN"/>
        </w:rPr>
        <w:t>中国海诚长沙公司</w:t>
      </w:r>
      <w:r>
        <w:rPr>
          <w:rFonts w:hint="eastAsia"/>
        </w:rPr>
        <w:t>向业主开具不含增值税发票，但增值税豁免仅授予业主，承包商向分包商采购时仍需支付含税价格，然后向税务机关申请退税，因此在预算中预留了增值税垫付资金占用成本；（3）合同条款——合同款项支付中部分电汇、部分信用证，电汇部分以美元支付，可直接从业主账户支付到</w:t>
      </w:r>
      <w:r>
        <w:rPr>
          <w:rFonts w:hint="eastAsia"/>
          <w:lang w:eastAsia="zh-CN"/>
        </w:rPr>
        <w:t>中国海诚长沙公司</w:t>
      </w:r>
      <w:r>
        <w:rPr>
          <w:rFonts w:hint="eastAsia"/>
        </w:rPr>
        <w:t>国内美元账户，有效规避了汇率风险。</w:t>
      </w:r>
    </w:p>
    <w:p w14:paraId="2C79361B">
      <w:pPr>
        <w:pStyle w:val="17"/>
        <w:widowControl/>
        <w:jc w:val="both"/>
        <w:rPr>
          <w:rFonts w:hint="eastAsia"/>
        </w:rPr>
      </w:pPr>
      <w:r>
        <w:rPr>
          <w:rFonts w:hint="eastAsia"/>
          <w:b/>
          <w:bCs/>
        </w:rPr>
        <w:t>纳祖尔海水淡化项目（2024年签署）</w:t>
      </w:r>
      <w:r>
        <w:rPr>
          <w:rFonts w:hint="eastAsia"/>
        </w:rPr>
        <w:t>：项目位于纳祖尔西地中海港产业加速区，享受国外进口货物、服务免征增值税优惠。业主Nador West Med公司为摩洛哥政府全资控股国有企业，项目已获欧洲复兴开发银行、非洲开发银行等稳定融资支持。项目采用反渗透技术，属于摩洛哥政府优先支持的基础设施建设领域。从财务角度看，政府类项目资金链断裂风险较低，但计量确认和付款节奏可能偏慢。</w:t>
      </w:r>
    </w:p>
    <w:p w14:paraId="0A3ED858">
      <w:pPr>
        <w:pStyle w:val="17"/>
        <w:widowControl/>
        <w:jc w:val="both"/>
        <w:rPr>
          <w:rFonts w:hint="eastAsia"/>
        </w:rPr>
      </w:pPr>
      <w:r>
        <w:rPr>
          <w:rFonts w:hint="eastAsia"/>
          <w:b/>
          <w:bCs/>
        </w:rPr>
        <w:t>代理机构选择经验</w:t>
      </w:r>
      <w:r>
        <w:rPr>
          <w:rFonts w:hint="eastAsia"/>
        </w:rPr>
        <w:t>：</w:t>
      </w:r>
      <w:r>
        <w:rPr>
          <w:rFonts w:hint="eastAsia"/>
          <w:lang w:eastAsia="zh-CN"/>
        </w:rPr>
        <w:t>中国海诚长沙公司</w:t>
      </w:r>
      <w:r>
        <w:rPr>
          <w:rFonts w:hint="eastAsia"/>
        </w:rPr>
        <w:t>更换代理机构的实践表明，通过中资企业协会获取信息并实地向其他中资企业核实，是选择可靠财税代理机构的有效方法。选择有华人运营人员的事务所可显著提升沟通效率。</w:t>
      </w:r>
    </w:p>
    <w:p w14:paraId="4BDC97B9">
      <w:pPr>
        <w:pStyle w:val="17"/>
        <w:widowControl/>
        <w:jc w:val="both"/>
        <w:rPr>
          <w:rFonts w:hint="eastAsia"/>
        </w:rPr>
      </w:pPr>
      <w:r>
        <w:rPr>
          <w:rFonts w:hint="eastAsia"/>
          <w:b/>
          <w:bCs/>
        </w:rPr>
        <w:t>合同签订模式风险</w:t>
      </w:r>
      <w:r>
        <w:rPr>
          <w:rFonts w:hint="eastAsia"/>
        </w:rPr>
        <w:t>：若材料设备供货与建安工程签署在同一合同内，即使合同中明确了各部分的单独价值，整个合同金额仍将作为增值税和公司税的征税范围。若材料设备与建安工程分别签订独立合同，则可仅对建安工程合同单独征收增值税和公司税。因此，在合同谈判阶段应尽可能将供货合同与建安工程合同分开签署，以降低整体税负。</w:t>
      </w:r>
    </w:p>
    <w:p w14:paraId="6127E1DC">
      <w:pPr>
        <w:pStyle w:val="4"/>
        <w:keepNext w:val="0"/>
        <w:keepLines w:val="0"/>
        <w:widowControl/>
        <w:numPr>
          <w:ilvl w:val="-1"/>
          <w:numId w:val="0"/>
        </w:numPr>
        <w:adjustRightInd/>
        <w:spacing w:after="0" w:line="240" w:lineRule="auto"/>
        <w:ind w:left="0" w:leftChars="0" w:firstLine="0" w:firstLineChars="0"/>
        <w:jc w:val="both"/>
        <w:rPr>
          <w:rFonts w:ascii="微软雅黑" w:hAnsi="微软雅黑" w:eastAsia="微软雅黑" w:cstheme="majorBidi"/>
          <w:b/>
          <w:bCs/>
          <w:color w:val="auto"/>
          <w:kern w:val="0"/>
          <w:sz w:val="28"/>
          <w:szCs w:val="26"/>
          <w:lang w:val="zh-CN" w:eastAsia="zh-CN" w:bidi="ar-SA"/>
        </w:rPr>
      </w:pPr>
      <w:bookmarkStart w:id="198" w:name="_Toc5122"/>
      <w:bookmarkStart w:id="199" w:name="_Toc26493"/>
      <w:bookmarkStart w:id="200" w:name="_Toc24787"/>
      <w:bookmarkStart w:id="201" w:name="_Toc1920"/>
      <w:r>
        <w:rPr>
          <w:rFonts w:hint="default" w:ascii="微软雅黑" w:hAnsi="微软雅黑" w:eastAsia="微软雅黑" w:cstheme="majorBidi"/>
          <w:b/>
          <w:bCs/>
          <w:color w:val="auto"/>
          <w:kern w:val="0"/>
          <w:sz w:val="28"/>
          <w:szCs w:val="26"/>
          <w:lang w:val="zh-CN" w:eastAsia="zh-CN" w:bidi="ar-SA"/>
        </w:rPr>
        <w:t xml:space="preserve">5.2 </w:t>
      </w:r>
      <w:r>
        <w:rPr>
          <w:rFonts w:ascii="微软雅黑" w:hAnsi="微软雅黑" w:eastAsia="微软雅黑" w:cstheme="majorBidi"/>
          <w:b/>
          <w:bCs/>
          <w:color w:val="auto"/>
          <w:kern w:val="0"/>
          <w:sz w:val="28"/>
          <w:szCs w:val="26"/>
          <w:lang w:val="zh-CN" w:eastAsia="zh-CN" w:bidi="ar-SA"/>
        </w:rPr>
        <w:t>建设实施阶段</w:t>
      </w:r>
      <w:bookmarkEnd w:id="198"/>
      <w:bookmarkEnd w:id="199"/>
      <w:bookmarkEnd w:id="200"/>
      <w:bookmarkEnd w:id="201"/>
    </w:p>
    <w:p w14:paraId="3F6FEED3">
      <w:pPr>
        <w:pStyle w:val="5"/>
        <w:numPr>
          <w:ilvl w:val="-1"/>
          <w:numId w:val="0"/>
        </w:numPr>
        <w:ind w:left="0" w:leftChars="0" w:firstLine="480" w:firstLineChars="200"/>
        <w:jc w:val="both"/>
      </w:pPr>
      <w:bookmarkStart w:id="202" w:name="_Toc2562"/>
      <w:bookmarkStart w:id="203" w:name="_Toc29610"/>
      <w:bookmarkStart w:id="204" w:name="_Toc22175"/>
      <w:bookmarkStart w:id="205" w:name="_Toc9690"/>
      <w:r>
        <w:rPr>
          <w:rFonts w:hint="eastAsia"/>
          <w:lang w:val="en-US" w:eastAsia="zh-CN"/>
        </w:rPr>
        <w:t>5.2.1</w:t>
      </w:r>
      <w:r>
        <w:t>会计核算管理</w:t>
      </w:r>
      <w:bookmarkEnd w:id="202"/>
      <w:bookmarkEnd w:id="203"/>
      <w:bookmarkEnd w:id="204"/>
      <w:bookmarkEnd w:id="205"/>
    </w:p>
    <w:p w14:paraId="07A0854D">
      <w:pPr>
        <w:pStyle w:val="17"/>
        <w:widowControl/>
        <w:ind w:firstLine="240" w:firstLineChars="100"/>
        <w:jc w:val="both"/>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境外账务</w:t>
      </w:r>
      <w:r>
        <w:rPr>
          <w:rFonts w:hint="eastAsia"/>
        </w:rPr>
        <w:t>：摩洛哥的会计体系主要基于法国商法模式的会计总方案（CGNC）。从2026年起，第17-24号法律草案将强制要求公共利益实体（上市公司、银行及大型金融机构）按照IFRS编制合并财务报告，中小企业可选择继续适用CGNC或部分采用IFRS for SMEs。外账与国内会计核算的主要差异在于：摩洛哥以CGNC为基础，会计科目设置有所不同；对固定资产折旧方法、存货计价方法等具体原则存在差异；须满足摩洛哥法定财务报表的编制要求。与代理机构的协作模式为：应按月向当地事务所提交合同、发票、银行流水、费用凭证等资料，对事务所出具的账务处理、税务申报结果、年度报表及税务风险提示，项目财务应进行复核；涉及重大税务判断时，应要求事务所出具书面意见并归档备查。对外报送的法定要求：企业须在财年结束后3个月内编制完成财务报表。</w:t>
      </w:r>
    </w:p>
    <w:p w14:paraId="7208E54A">
      <w:pPr>
        <w:pStyle w:val="17"/>
        <w:widowControl/>
        <w:ind w:firstLine="240" w:firstLineChars="100"/>
        <w:jc w:val="both"/>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境内账务</w:t>
      </w:r>
      <w:r>
        <w:rPr>
          <w:rFonts w:hint="eastAsia"/>
        </w:rPr>
        <w:t>：内账应按照公司统一的会计准则设置账套，遵循母公司财务管理制度。与母公司的往来和合同业务需单独核算，清晰反映境内与境外之间的资金划转、费用归集和合同结算关系。</w:t>
      </w:r>
    </w:p>
    <w:p w14:paraId="5B409ECF">
      <w:pPr>
        <w:pStyle w:val="17"/>
        <w:widowControl/>
        <w:ind w:firstLine="240" w:firstLineChars="100"/>
        <w:jc w:val="both"/>
        <w:rPr>
          <w:rFonts w:hint="eastAsia"/>
          <w:lang w:val="en-US" w:eastAsia="zh-CN"/>
        </w:rPr>
      </w:pPr>
      <w:r>
        <w:rPr>
          <w:rFonts w:hint="eastAsia"/>
          <w:lang w:eastAsia="zh-CN"/>
        </w:rPr>
        <w:t>（</w:t>
      </w:r>
      <w:r>
        <w:rPr>
          <w:rFonts w:hint="eastAsia"/>
          <w:lang w:val="en-US" w:eastAsia="zh-CN"/>
        </w:rPr>
        <w:t>3</w:t>
      </w:r>
      <w:r>
        <w:rPr>
          <w:rFonts w:hint="eastAsia"/>
          <w:lang w:eastAsia="zh-CN"/>
        </w:rPr>
        <w:t>）</w:t>
      </w:r>
      <w:r>
        <w:rPr>
          <w:rFonts w:hint="eastAsia"/>
        </w:rPr>
        <w:t>档案管理：根据摩洛哥《会计义务法》第22条，会计文件和证明单据须保存至少10年，未能保存可能导致丧失特定税收抵扣和增值税抵扣资格。项目现场的财务档案（发票、付款凭证、完税凭证等）应在项目结束后按要求整理归档，带回国内存放。由于境外分支机构仅为报账单位，应将重要财务档案及时移交国内母公司归档保存。</w:t>
      </w:r>
      <w:bookmarkStart w:id="206" w:name="_Toc30717"/>
      <w:bookmarkStart w:id="207" w:name="_Toc18434"/>
      <w:bookmarkStart w:id="208" w:name="_Toc23430"/>
    </w:p>
    <w:p w14:paraId="35AAA8E2">
      <w:pPr>
        <w:pStyle w:val="5"/>
        <w:numPr>
          <w:ilvl w:val="-1"/>
          <w:numId w:val="0"/>
        </w:numPr>
        <w:ind w:left="0" w:leftChars="0" w:firstLine="480" w:firstLineChars="200"/>
      </w:pPr>
      <w:bookmarkStart w:id="209" w:name="_Toc17912"/>
      <w:r>
        <w:rPr>
          <w:rFonts w:hint="eastAsia"/>
          <w:lang w:val="en-US" w:eastAsia="zh-CN"/>
        </w:rPr>
        <w:t>5.2.2</w:t>
      </w:r>
      <w:r>
        <w:t>资金管理</w:t>
      </w:r>
      <w:bookmarkEnd w:id="206"/>
      <w:bookmarkEnd w:id="207"/>
      <w:bookmarkEnd w:id="208"/>
      <w:bookmarkEnd w:id="209"/>
    </w:p>
    <w:p w14:paraId="2A493138">
      <w:pPr>
        <w:pStyle w:val="17"/>
        <w:widowControl/>
        <w:ind w:firstLine="0" w:firstLineChars="0"/>
      </w:pPr>
      <w:r>
        <w:t>摩洛哥项目常见保函类型及关键条款要求：</w:t>
      </w:r>
    </w:p>
    <w:tbl>
      <w:tblPr>
        <w:tblStyle w:val="29"/>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3"/>
        <w:gridCol w:w="1795"/>
        <w:gridCol w:w="2675"/>
        <w:gridCol w:w="3051"/>
      </w:tblGrid>
      <w:tr w14:paraId="23D41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04"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0" w:type="dxa"/>
              <w:bottom w:w="75" w:type="dxa"/>
              <w:right w:w="120" w:type="dxa"/>
            </w:tcMar>
            <w:vAlign w:val="center"/>
          </w:tcPr>
          <w:p w14:paraId="6093CA55">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保函类型</w:t>
            </w:r>
          </w:p>
        </w:tc>
        <w:tc>
          <w:tcPr>
            <w:tcW w:w="1025"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5B6CE498">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通常比例</w:t>
            </w:r>
          </w:p>
        </w:tc>
        <w:tc>
          <w:tcPr>
            <w:tcW w:w="1527"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2109F695">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有效期</w:t>
            </w:r>
          </w:p>
        </w:tc>
        <w:tc>
          <w:tcPr>
            <w:tcW w:w="1742"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1D0DC0EB">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关注要点</w:t>
            </w:r>
          </w:p>
        </w:tc>
      </w:tr>
      <w:tr w14:paraId="5E942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4"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4D1F21CE">
            <w:pPr>
              <w:keepNext/>
              <w:snapToGrid w:val="0"/>
              <w:spacing w:before="40" w:after="40" w:line="240" w:lineRule="auto"/>
              <w:ind w:left="0" w:leftChars="0" w:right="0" w:rightChars="0" w:firstLine="0" w:firstLineChars="0"/>
              <w:jc w:val="center"/>
              <w:rPr>
                <w:rFonts w:hint="default"/>
                <w:szCs w:val="28"/>
                <w:lang w:val="en-US" w:eastAsia="zh-CN"/>
              </w:rPr>
            </w:pPr>
            <w:r>
              <w:rPr>
                <w:rFonts w:hint="default"/>
                <w:szCs w:val="28"/>
                <w:lang w:val="en-US" w:eastAsia="zh-CN"/>
              </w:rPr>
              <w:t>预付款保函</w:t>
            </w:r>
          </w:p>
        </w:tc>
        <w:tc>
          <w:tcPr>
            <w:tcW w:w="1025"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726092DE">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等于预付款金额</w:t>
            </w:r>
          </w:p>
        </w:tc>
        <w:tc>
          <w:tcPr>
            <w:tcW w:w="152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5A2A5DED">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预付款抵扣完毕</w:t>
            </w:r>
          </w:p>
        </w:tc>
        <w:tc>
          <w:tcPr>
            <w:tcW w:w="1742"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4D5C30A0">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争取设置随进度递减条款</w:t>
            </w:r>
          </w:p>
        </w:tc>
      </w:tr>
      <w:tr w14:paraId="2772B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4"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0C1AB3F9">
            <w:pPr>
              <w:keepNext/>
              <w:snapToGrid w:val="0"/>
              <w:spacing w:before="40" w:after="40" w:line="240" w:lineRule="auto"/>
              <w:ind w:left="0" w:leftChars="0" w:right="0" w:rightChars="0" w:firstLine="0" w:firstLineChars="0"/>
              <w:jc w:val="center"/>
              <w:rPr>
                <w:rFonts w:hint="default"/>
                <w:szCs w:val="28"/>
                <w:lang w:val="en-US" w:eastAsia="zh-CN"/>
              </w:rPr>
            </w:pPr>
            <w:r>
              <w:rPr>
                <w:rFonts w:hint="default"/>
                <w:szCs w:val="28"/>
                <w:lang w:val="en-US" w:eastAsia="zh-CN"/>
              </w:rPr>
              <w:t>履约保函</w:t>
            </w:r>
          </w:p>
        </w:tc>
        <w:tc>
          <w:tcPr>
            <w:tcW w:w="1025"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596E80F2">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5%-10%</w:t>
            </w:r>
          </w:p>
        </w:tc>
        <w:tc>
          <w:tcPr>
            <w:tcW w:w="152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23EF050">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工程接收证书颁发后30天</w:t>
            </w:r>
          </w:p>
        </w:tc>
        <w:tc>
          <w:tcPr>
            <w:tcW w:w="1742"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33A0ABAE">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争取设置递减条款</w:t>
            </w:r>
          </w:p>
        </w:tc>
      </w:tr>
      <w:tr w14:paraId="6BE99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4"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594CD094">
            <w:pPr>
              <w:keepNext/>
              <w:snapToGrid w:val="0"/>
              <w:spacing w:before="40" w:after="40" w:line="240" w:lineRule="auto"/>
              <w:ind w:left="0" w:leftChars="0" w:right="0" w:rightChars="0" w:firstLine="0" w:firstLineChars="0"/>
              <w:jc w:val="center"/>
              <w:rPr>
                <w:rFonts w:hint="default"/>
                <w:szCs w:val="28"/>
                <w:lang w:val="en-US" w:eastAsia="zh-CN"/>
              </w:rPr>
            </w:pPr>
            <w:r>
              <w:rPr>
                <w:rFonts w:hint="default"/>
                <w:szCs w:val="28"/>
                <w:lang w:val="en-US" w:eastAsia="zh-CN"/>
              </w:rPr>
              <w:t>质量保函</w:t>
            </w:r>
          </w:p>
        </w:tc>
        <w:tc>
          <w:tcPr>
            <w:tcW w:w="1025"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04410065">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5%</w:t>
            </w:r>
          </w:p>
        </w:tc>
        <w:tc>
          <w:tcPr>
            <w:tcW w:w="152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7D27CC23">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缺陷责任期结束</w:t>
            </w:r>
          </w:p>
        </w:tc>
        <w:tc>
          <w:tcPr>
            <w:tcW w:w="1742"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110D9FDD">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争取用质量保函替代现金质保金</w:t>
            </w:r>
          </w:p>
        </w:tc>
      </w:tr>
    </w:tbl>
    <w:p w14:paraId="1E5742CA">
      <w:pPr>
        <w:pStyle w:val="17"/>
        <w:widowControl/>
        <w:rPr>
          <w:rFonts w:hint="eastAsia"/>
        </w:rPr>
      </w:pPr>
      <w:r>
        <w:rPr>
          <w:rFonts w:hint="eastAsia"/>
          <w:b/>
          <w:bCs/>
        </w:rPr>
        <w:t>资金跨境流动</w:t>
      </w:r>
      <w:r>
        <w:rPr>
          <w:rFonts w:hint="eastAsia"/>
        </w:rPr>
        <w:t>：从</w:t>
      </w:r>
      <w:r>
        <w:rPr>
          <w:rFonts w:hint="eastAsia"/>
          <w:lang w:eastAsia="zh-CN"/>
        </w:rPr>
        <w:t>中国海诚长沙公司</w:t>
      </w:r>
      <w:r>
        <w:rPr>
          <w:rFonts w:hint="eastAsia"/>
        </w:rPr>
        <w:t>实际经验来看，项目合同以美元支付，电汇部分可直接从业主摩洛哥账户支付到</w:t>
      </w:r>
      <w:r>
        <w:rPr>
          <w:rFonts w:hint="eastAsia"/>
          <w:lang w:val="en-US" w:eastAsia="zh-CN"/>
        </w:rPr>
        <w:t>我方</w:t>
      </w:r>
      <w:r>
        <w:rPr>
          <w:rFonts w:hint="eastAsia"/>
        </w:rPr>
        <w:t>国内美元账户，有效解决了资金跨境汇回的路径问题。在投标和合同谈判阶段，应优先争取以美元计价，或实现收入币种与主要支出币种匹配。涉及利润汇回的，应在操作前与合作银行及当地顾问确认外汇路径和单证要求。</w:t>
      </w:r>
    </w:p>
    <w:p w14:paraId="6BD0B607">
      <w:pPr>
        <w:pStyle w:val="17"/>
        <w:widowControl/>
        <w:rPr>
          <w:rFonts w:hint="eastAsia"/>
        </w:rPr>
      </w:pPr>
      <w:r>
        <w:rPr>
          <w:rFonts w:hint="eastAsia"/>
          <w:b/>
          <w:bCs/>
        </w:rPr>
        <w:t>汇率风险应对</w:t>
      </w:r>
      <w:r>
        <w:rPr>
          <w:rFonts w:hint="eastAsia"/>
        </w:rPr>
        <w:t>：当前人民币汇率稳定，且对一篮子货币相对强势。合同谈判中优先争取以人民币计价，其次以美元/欧元等主要外汇币种计价。2026年起摩洛哥逐步过渡到浮动汇率制度，汇率波动将温和扩大，项目预算中应预留3%-5%的汇率缓冲空间。</w:t>
      </w:r>
    </w:p>
    <w:p w14:paraId="2F04D4D4">
      <w:pPr>
        <w:rPr>
          <w:rFonts w:hint="eastAsia"/>
        </w:rPr>
      </w:pPr>
      <w:r>
        <w:rPr>
          <w:rFonts w:hint="eastAsia"/>
        </w:rPr>
        <w:br w:type="page"/>
      </w:r>
    </w:p>
    <w:p w14:paraId="522C5B89">
      <w:pPr>
        <w:pStyle w:val="5"/>
        <w:numPr>
          <w:ilvl w:val="-1"/>
          <w:numId w:val="0"/>
        </w:numPr>
        <w:ind w:left="0" w:leftChars="0" w:firstLine="480" w:firstLineChars="200"/>
      </w:pPr>
      <w:bookmarkStart w:id="210" w:name="_Toc29973"/>
      <w:bookmarkStart w:id="211" w:name="_Toc13852"/>
      <w:bookmarkStart w:id="212" w:name="_Toc12168"/>
      <w:bookmarkStart w:id="213" w:name="_Toc26633"/>
      <w:r>
        <w:rPr>
          <w:rFonts w:hint="eastAsia"/>
          <w:lang w:val="en-US" w:eastAsia="zh-CN"/>
        </w:rPr>
        <w:t>5.2.3</w:t>
      </w:r>
      <w:r>
        <w:t>税务管理</w:t>
      </w:r>
      <w:bookmarkEnd w:id="210"/>
      <w:bookmarkEnd w:id="211"/>
      <w:bookmarkEnd w:id="212"/>
      <w:bookmarkEnd w:id="213"/>
    </w:p>
    <w:p w14:paraId="7635A00F">
      <w:pPr>
        <w:pStyle w:val="17"/>
        <w:widowControl/>
      </w:pPr>
      <w:r>
        <w:t>各税种申报实操：</w:t>
      </w:r>
    </w:p>
    <w:tbl>
      <w:tblPr>
        <w:tblStyle w:val="29"/>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0"/>
        <w:gridCol w:w="1431"/>
        <w:gridCol w:w="2192"/>
        <w:gridCol w:w="2025"/>
        <w:gridCol w:w="1767"/>
      </w:tblGrid>
      <w:tr w14:paraId="2A083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tblHeader/>
          <w:jc w:val="center"/>
        </w:trPr>
        <w:tc>
          <w:tcPr>
            <w:tcW w:w="765"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0" w:type="dxa"/>
              <w:bottom w:w="75" w:type="dxa"/>
              <w:right w:w="120" w:type="dxa"/>
            </w:tcMar>
            <w:vAlign w:val="center"/>
          </w:tcPr>
          <w:p w14:paraId="13F874A7">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税种</w:t>
            </w:r>
          </w:p>
        </w:tc>
        <w:tc>
          <w:tcPr>
            <w:tcW w:w="817"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26624F09">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申报频率</w:t>
            </w:r>
          </w:p>
        </w:tc>
        <w:tc>
          <w:tcPr>
            <w:tcW w:w="1251"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67CD8A80">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截止时间</w:t>
            </w:r>
          </w:p>
        </w:tc>
        <w:tc>
          <w:tcPr>
            <w:tcW w:w="1156"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7F498867">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缴税方式</w:t>
            </w:r>
          </w:p>
        </w:tc>
        <w:tc>
          <w:tcPr>
            <w:tcW w:w="1008" w:type="pct"/>
            <w:tcBorders>
              <w:top w:val="single" w:color="auto" w:sz="4" w:space="0"/>
              <w:left w:val="single" w:color="auto" w:sz="4" w:space="0"/>
              <w:bottom w:val="single" w:color="auto" w:sz="4" w:space="0"/>
              <w:right w:val="single" w:color="auto" w:sz="4" w:space="0"/>
            </w:tcBorders>
            <w:shd w:val="clear" w:color="auto" w:fill="1F497D" w:themeFill="text2"/>
            <w:tcMar>
              <w:top w:w="75" w:type="dxa"/>
              <w:left w:w="120" w:type="dxa"/>
              <w:bottom w:w="75" w:type="dxa"/>
              <w:right w:w="120" w:type="dxa"/>
            </w:tcMar>
            <w:vAlign w:val="center"/>
          </w:tcPr>
          <w:p w14:paraId="4166D14F">
            <w:pPr>
              <w:keepNext w:val="0"/>
              <w:snapToGrid/>
              <w:spacing w:before="40" w:after="40" w:line="240" w:lineRule="auto"/>
              <w:ind w:left="0" w:leftChars="0" w:right="0" w:rightChars="0" w:firstLine="0" w:firstLineChars="0"/>
              <w:jc w:val="center"/>
              <w:rPr>
                <w:rFonts w:hint="default"/>
                <w:b/>
                <w:color w:val="FFFFFF" w:themeColor="background1"/>
                <w:szCs w:val="28"/>
                <w:lang w:val="zh-CN" w:eastAsia="zh-CN"/>
                <w14:textFill>
                  <w14:solidFill>
                    <w14:schemeClr w14:val="bg1"/>
                  </w14:solidFill>
                </w14:textFill>
              </w:rPr>
            </w:pPr>
            <w:r>
              <w:rPr>
                <w:rFonts w:hint="default"/>
                <w:b/>
                <w:color w:val="FFFFFF" w:themeColor="background1"/>
                <w:szCs w:val="28"/>
                <w:lang w:val="zh-CN" w:eastAsia="zh-CN"/>
                <w14:textFill>
                  <w14:solidFill>
                    <w14:schemeClr w14:val="bg1"/>
                  </w14:solidFill>
                </w14:textFill>
              </w:rPr>
              <w:t>完税凭证</w:t>
            </w:r>
          </w:p>
        </w:tc>
      </w:tr>
      <w:tr w14:paraId="64C10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65"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4DD26A2A">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企业所得税</w:t>
            </w:r>
          </w:p>
        </w:tc>
        <w:tc>
          <w:tcPr>
            <w:tcW w:w="81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4CE1A8E3">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按年申报/按季预缴</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71F95D35">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年报表：财年结束后3个月内（一般3月31日前）；预缴：季末</w:t>
            </w:r>
          </w:p>
        </w:tc>
        <w:tc>
          <w:tcPr>
            <w:tcW w:w="115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69EE86D7">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季度预缴4次25%，年终结清</w:t>
            </w:r>
          </w:p>
        </w:tc>
        <w:tc>
          <w:tcPr>
            <w:tcW w:w="1008"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6430CB53">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税务登记系统下载完税证明</w:t>
            </w:r>
          </w:p>
        </w:tc>
      </w:tr>
      <w:tr w14:paraId="5534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65"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711E994E">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增值税</w:t>
            </w:r>
          </w:p>
        </w:tc>
        <w:tc>
          <w:tcPr>
            <w:tcW w:w="81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EA38A06">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月度申报</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0384B525">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次月</w:t>
            </w:r>
          </w:p>
        </w:tc>
        <w:tc>
          <w:tcPr>
            <w:tcW w:w="115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733F36BE">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银行转账/在线申报系统</w:t>
            </w:r>
          </w:p>
        </w:tc>
        <w:tc>
          <w:tcPr>
            <w:tcW w:w="1008"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06D67213">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DGI系统下载完税凭证</w:t>
            </w:r>
          </w:p>
        </w:tc>
      </w:tr>
      <w:tr w14:paraId="092AC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65"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4AB7C91B">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预提税</w:t>
            </w:r>
          </w:p>
        </w:tc>
        <w:tc>
          <w:tcPr>
            <w:tcW w:w="81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3DFB9061">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按付款发生时</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7D11BF85">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申报纳税期限内</w:t>
            </w:r>
          </w:p>
        </w:tc>
        <w:tc>
          <w:tcPr>
            <w:tcW w:w="115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BC93BAD">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业主代扣代缴</w:t>
            </w:r>
          </w:p>
        </w:tc>
        <w:tc>
          <w:tcPr>
            <w:tcW w:w="1008"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51896999">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业主提供完税证明</w:t>
            </w:r>
          </w:p>
        </w:tc>
      </w:tr>
      <w:tr w14:paraId="4EFCD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65"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3822A6B2">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社保（CNSS）</w:t>
            </w:r>
          </w:p>
        </w:tc>
        <w:tc>
          <w:tcPr>
            <w:tcW w:w="81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5FFD82D2">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月度申报</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15C50ECA">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次月10日前</w:t>
            </w:r>
          </w:p>
        </w:tc>
        <w:tc>
          <w:tcPr>
            <w:tcW w:w="115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6F8F9C10">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Damancom在线支付/银行转账</w:t>
            </w:r>
          </w:p>
        </w:tc>
        <w:tc>
          <w:tcPr>
            <w:tcW w:w="1008"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56BFFCDF">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Damancom系统下载缴费证明</w:t>
            </w:r>
          </w:p>
        </w:tc>
      </w:tr>
      <w:tr w14:paraId="554F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65"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50A64F02">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个人所得税</w:t>
            </w:r>
          </w:p>
        </w:tc>
        <w:tc>
          <w:tcPr>
            <w:tcW w:w="817"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CBC1253">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工资发放时代扣</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42CB1671">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次月10日前</w:t>
            </w:r>
          </w:p>
        </w:tc>
        <w:tc>
          <w:tcPr>
            <w:tcW w:w="115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6A63978E">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雇主代扣代缴，通过SIMPL系统申报</w:t>
            </w:r>
          </w:p>
        </w:tc>
        <w:tc>
          <w:tcPr>
            <w:tcW w:w="1008"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0" w:type="dxa"/>
            </w:tcMar>
            <w:vAlign w:val="center"/>
          </w:tcPr>
          <w:p w14:paraId="2A6E147A">
            <w:pPr>
              <w:keepNext/>
              <w:snapToGrid w:val="0"/>
              <w:spacing w:before="40" w:after="40" w:line="240" w:lineRule="auto"/>
              <w:ind w:left="0" w:leftChars="0" w:right="0" w:rightChars="0" w:firstLine="0" w:firstLineChars="0"/>
              <w:jc w:val="left"/>
              <w:rPr>
                <w:rFonts w:hint="default"/>
                <w:szCs w:val="28"/>
                <w:lang w:val="en-US" w:eastAsia="zh-CN"/>
              </w:rPr>
            </w:pPr>
            <w:r>
              <w:rPr>
                <w:rFonts w:hint="default"/>
                <w:szCs w:val="28"/>
                <w:lang w:val="en-US" w:eastAsia="zh-CN"/>
              </w:rPr>
              <w:t>DGI系统下载完税凭证</w:t>
            </w:r>
          </w:p>
        </w:tc>
      </w:tr>
    </w:tbl>
    <w:p w14:paraId="29292439">
      <w:pPr>
        <w:pStyle w:val="4"/>
        <w:numPr>
          <w:ilvl w:val="0"/>
          <w:numId w:val="0"/>
        </w:numPr>
        <w:ind w:leftChars="0"/>
        <w:rPr>
          <w:rFonts w:ascii="微软雅黑" w:hAnsi="微软雅黑" w:eastAsia="微软雅黑"/>
          <w:b/>
          <w:color w:val="auto"/>
          <w:lang w:val="zh-CN" w:eastAsia="zh-CN"/>
        </w:rPr>
      </w:pPr>
      <w:bookmarkStart w:id="214" w:name="_Toc15740"/>
      <w:bookmarkStart w:id="215" w:name="_Toc2427"/>
      <w:bookmarkStart w:id="216" w:name="_Toc24261"/>
      <w:bookmarkStart w:id="217" w:name="_Toc28813"/>
      <w:r>
        <w:rPr>
          <w:rFonts w:hint="default" w:ascii="微软雅黑" w:hAnsi="微软雅黑" w:eastAsia="微软雅黑" w:cstheme="majorBidi"/>
          <w:b/>
          <w:bCs/>
          <w:color w:val="auto"/>
          <w:kern w:val="0"/>
          <w:sz w:val="28"/>
          <w:szCs w:val="26"/>
          <w:lang w:val="zh-CN" w:eastAsia="zh-CN" w:bidi="ar-SA"/>
        </w:rPr>
        <w:t>5.3</w:t>
      </w:r>
      <w:r>
        <w:rPr>
          <w:rFonts w:ascii="微软雅黑" w:hAnsi="微软雅黑" w:eastAsia="微软雅黑" w:cstheme="majorBidi"/>
          <w:b/>
          <w:bCs/>
          <w:color w:val="auto"/>
          <w:kern w:val="0"/>
          <w:sz w:val="28"/>
          <w:szCs w:val="26"/>
          <w:lang w:val="zh-CN" w:eastAsia="zh-CN" w:bidi="ar-SA"/>
        </w:rPr>
        <w:t>收尾清算阶段</w:t>
      </w:r>
      <w:bookmarkEnd w:id="214"/>
      <w:bookmarkEnd w:id="215"/>
      <w:bookmarkEnd w:id="216"/>
      <w:bookmarkEnd w:id="217"/>
    </w:p>
    <w:p w14:paraId="30560FFD">
      <w:pPr>
        <w:ind w:left="0" w:leftChars="0" w:firstLine="480" w:firstLineChars="200"/>
        <w:rPr>
          <w:rFonts w:hint="default"/>
          <w:sz w:val="24"/>
          <w:lang w:val="en-US" w:eastAsia="en-US"/>
        </w:rPr>
      </w:pPr>
      <w:bookmarkStart w:id="218" w:name="_Toc1747"/>
      <w:r>
        <w:rPr>
          <w:rFonts w:hint="eastAsia"/>
          <w:sz w:val="24"/>
          <w:lang w:val="en-US" w:eastAsia="en-US"/>
        </w:rPr>
        <w:t>摩洛哥</w:t>
      </w:r>
      <w:r>
        <w:rPr>
          <w:rFonts w:hint="eastAsia"/>
          <w:sz w:val="24"/>
          <w:lang w:val="en-US" w:eastAsia="zh-CN"/>
        </w:rPr>
        <w:t>分/子公司</w:t>
      </w:r>
      <w:r>
        <w:rPr>
          <w:rFonts w:hint="eastAsia"/>
          <w:sz w:val="24"/>
          <w:lang w:val="en-US" w:eastAsia="en-US"/>
        </w:rPr>
        <w:t>尚未达到收尾清算阶段，以下内容来源于当地政策法规及事务所提供的信息。</w:t>
      </w:r>
      <w:bookmarkEnd w:id="218"/>
    </w:p>
    <w:p w14:paraId="10C0D52F">
      <w:pPr>
        <w:pStyle w:val="5"/>
        <w:numPr>
          <w:ilvl w:val="-1"/>
          <w:numId w:val="0"/>
        </w:numPr>
        <w:ind w:left="0" w:leftChars="0" w:firstLine="480" w:firstLineChars="200"/>
      </w:pPr>
      <w:bookmarkStart w:id="219" w:name="_Toc13399"/>
      <w:bookmarkStart w:id="220" w:name="_Toc19351"/>
      <w:bookmarkStart w:id="221" w:name="_Toc18100"/>
      <w:bookmarkStart w:id="222" w:name="_Toc30519"/>
      <w:r>
        <w:rPr>
          <w:rFonts w:hint="eastAsia"/>
          <w:lang w:val="en-US" w:eastAsia="zh-CN"/>
        </w:rPr>
        <w:t>5.3.1</w:t>
      </w:r>
      <w:r>
        <w:t>核算管理</w:t>
      </w:r>
      <w:bookmarkEnd w:id="219"/>
      <w:bookmarkEnd w:id="220"/>
      <w:bookmarkEnd w:id="221"/>
      <w:bookmarkEnd w:id="222"/>
    </w:p>
    <w:p w14:paraId="49300979">
      <w:pPr>
        <w:pStyle w:val="17"/>
        <w:widowControl/>
        <w:numPr>
          <w:ilvl w:val="-1"/>
          <w:numId w:val="0"/>
        </w:numPr>
        <w:topLinePunct w:val="0"/>
        <w:ind w:firstLine="480" w:firstLineChars="200"/>
        <w:jc w:val="both"/>
        <w:rPr>
          <w:rFonts w:hint="eastAsia"/>
        </w:rPr>
      </w:pPr>
      <w:r>
        <w:rPr>
          <w:rFonts w:hint="eastAsia"/>
        </w:rPr>
        <w:t>摩洛哥企业注销时须进行清算审计，由清算委员会委托合格的会计师事务所对剩余资产进行全面盘点、评估及变现。清算所得款项须优先用于偿还公司债务，剩余按股东权益分配。清算委员会须向摩洛哥商业部提交注销申请及全套法定文件，包括公司章程、清算决议、董事会决议、清算委员会成员名单、审计报告及税务清算报告。</w:t>
      </w:r>
    </w:p>
    <w:p w14:paraId="5C8240D3">
      <w:pPr>
        <w:pStyle w:val="17"/>
        <w:widowControl/>
        <w:numPr>
          <w:ilvl w:val="-1"/>
          <w:numId w:val="0"/>
        </w:numPr>
        <w:topLinePunct w:val="0"/>
        <w:ind w:firstLine="0" w:firstLineChars="0"/>
        <w:jc w:val="both"/>
        <w:rPr>
          <w:rFonts w:hint="eastAsia"/>
        </w:rPr>
      </w:pPr>
      <w:r>
        <w:rPr>
          <w:rFonts w:hint="eastAsia"/>
        </w:rPr>
        <w:t>外账档案移交和保管要求：（1）摩洛哥当地存档要求：会计文件和证明单据须保存至少10年；（2）移交国内的规定：项目部/分公司模式下，境外分支机构注销后，外账档案应完整移交国内母公司归档存放，以满足国内审计和税务合规要求；（3）移交时应编制《会计档案移交清册》，注明移交内容、数量和时间，双方签字盖章确认，纸质档案保持原卷封装，电子档案连同元数据一并移交。</w:t>
      </w:r>
    </w:p>
    <w:p w14:paraId="081DDEAE">
      <w:pPr>
        <w:pStyle w:val="5"/>
        <w:numPr>
          <w:ilvl w:val="-1"/>
          <w:numId w:val="0"/>
        </w:numPr>
        <w:ind w:left="0" w:leftChars="0" w:firstLine="480" w:firstLineChars="200"/>
      </w:pPr>
      <w:bookmarkStart w:id="223" w:name="_Toc10435"/>
      <w:bookmarkStart w:id="224" w:name="_Toc6735"/>
      <w:bookmarkStart w:id="225" w:name="_Toc4835"/>
      <w:bookmarkStart w:id="226" w:name="_Toc15775"/>
      <w:r>
        <w:rPr>
          <w:rFonts w:hint="eastAsia"/>
          <w:lang w:val="en-US" w:eastAsia="zh-CN"/>
        </w:rPr>
        <w:t>5.3.2</w:t>
      </w:r>
      <w:r>
        <w:t>税务管理</w:t>
      </w:r>
      <w:bookmarkEnd w:id="223"/>
      <w:bookmarkEnd w:id="224"/>
      <w:bookmarkEnd w:id="225"/>
      <w:bookmarkEnd w:id="226"/>
    </w:p>
    <w:p w14:paraId="2B878C37">
      <w:pPr>
        <w:pStyle w:val="17"/>
        <w:widowControl/>
        <w:jc w:val="both"/>
        <w:rPr>
          <w:rFonts w:hint="eastAsia"/>
        </w:rPr>
      </w:pPr>
      <w:r>
        <w:rPr>
          <w:rFonts w:hint="eastAsia"/>
        </w:rPr>
        <w:t>清算申报和税务注销流程：摩洛哥税务注销流程严谨且周期较长，一般包括以下阶段：（1）税务清算—向税务局提交详尽的财务报表，税务局核查近三年纳税记录，确认是否有逾期缴纳情况，若存在未缴税款须先行缴清并处理滞纳金；（2）社保清算—向CNSS申请结算，确认社保费已全额缴清，获取社保清关证明；（3）获取清税证明—税务和社保清算完成后，获取对应的清关证明；（4）注销税务登记—持清税证明向税务局注销税号。整个注销流程通常需要数月时间，建议提前规划，在项目竣工前即着手准备相关材料。</w:t>
      </w:r>
    </w:p>
    <w:p w14:paraId="0D6D5AFE">
      <w:pPr>
        <w:pStyle w:val="17"/>
        <w:widowControl/>
        <w:jc w:val="both"/>
      </w:pPr>
      <w:r>
        <w:rPr>
          <w:rFonts w:hint="eastAsia"/>
        </w:rPr>
        <w:t>现场资产的税务处理要点：已完工程和剩余物资应按市场价值或账面价值进行资产评估；资产处置收益须在清算报告中如实反映并依法缴纳公司税；设备材料的处置需留存相关合同、发票、报关凭证，以备税务机关核查。</w:t>
      </w:r>
    </w:p>
    <w:p w14:paraId="1467F55E">
      <w:pPr>
        <w:pStyle w:val="5"/>
        <w:numPr>
          <w:ilvl w:val="-1"/>
          <w:numId w:val="0"/>
        </w:numPr>
        <w:ind w:left="0" w:leftChars="0" w:firstLine="480" w:firstLineChars="200"/>
      </w:pPr>
      <w:bookmarkStart w:id="227" w:name="_Toc3852"/>
      <w:bookmarkStart w:id="228" w:name="_Toc27164"/>
      <w:bookmarkStart w:id="229" w:name="_Toc29810"/>
      <w:bookmarkStart w:id="230" w:name="_Toc630"/>
      <w:r>
        <w:rPr>
          <w:rFonts w:hint="eastAsia"/>
          <w:lang w:val="en-US" w:eastAsia="zh-CN"/>
        </w:rPr>
        <w:t>5.3.3</w:t>
      </w:r>
      <w:r>
        <w:t>资金管理</w:t>
      </w:r>
      <w:bookmarkEnd w:id="227"/>
      <w:bookmarkEnd w:id="228"/>
      <w:bookmarkEnd w:id="229"/>
      <w:bookmarkEnd w:id="230"/>
    </w:p>
    <w:p w14:paraId="0B235851">
      <w:pPr>
        <w:pStyle w:val="17"/>
        <w:widowControl/>
        <w:jc w:val="both"/>
        <w:rPr>
          <w:rFonts w:hint="eastAsia"/>
        </w:rPr>
      </w:pPr>
      <w:r>
        <w:rPr>
          <w:rFonts w:hint="eastAsia"/>
        </w:rPr>
        <w:t>剩余资金合规汇回：分公司的利润汇回和子公司的资本金退回均须通过合规外汇流程完成。分公司利润汇出需完成年度账务处理和税务汇算清缴，取得完税证明，准备利润分配决议、财务报表等文件，向摩洛哥外管局（Office des Changes）提交资金汇出申请，提供收入来源证明（合同、发票、银行回单）、完税证明、公司章程等材料，获批后向银行发起购汇和跨境汇款，通常T+2至T+5个工作日到账，汇出需缴纳10%汇出税。子公司股息汇出程序类似，股息汇出需缴纳11.25%（2026年）/10%（2027年起）的预提税。资本金退回方面，子公司解散清算时，外国投资者依法缴纳税款后可将资本汇回本国，需注意摩洛哥规定外国投资者的投资至少需保留两年才能将资本汇回本国。</w:t>
      </w:r>
    </w:p>
    <w:p w14:paraId="041E6107">
      <w:pPr>
        <w:pStyle w:val="17"/>
        <w:jc w:val="both"/>
        <w:rPr>
          <w:lang w:eastAsia="zh-CN"/>
        </w:rPr>
      </w:pPr>
      <w:r>
        <w:rPr>
          <w:rFonts w:hint="eastAsia"/>
        </w:rPr>
        <w:t>结清授信、释放保函、注销银行账户：确认所有保函已到期或已撤销，向银行申请释放保函担保；结清银行账户所有余额，确认无未结清款项；提交银行账户注销申请，完成销户手续；保管好销户凭证和相关文件以备后续查证。注销前应确保所有外币负债和或有负债均已结清，银行账户销户后，预留印鉴及相关文件按规定处理。</w:t>
      </w:r>
    </w:p>
    <w:sectPr>
      <w:footerReference r:id="rId5" w:type="default"/>
      <w:pgSz w:w="12240" w:h="15840"/>
      <w:pgMar w:top="1440" w:right="1803" w:bottom="1440" w:left="1803"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华文仿宋">
    <w:panose1 w:val="02010600040101010101"/>
    <w:charset w:val="86"/>
    <w:family w:val="auto"/>
    <w:pitch w:val="default"/>
    <w:sig w:usb0="00000287" w:usb1="080F0000" w:usb2="00000000" w:usb3="00000000" w:csb0="0004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689AB">
    <w:pPr>
      <w:pStyle w:val="21"/>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717BAD">
                          <w:pPr>
                            <w:pStyle w:val="2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F717BAD">
                    <w:pPr>
                      <w:pStyle w:val="21"/>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35</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8"/>
    <w:multiLevelType w:val="singleLevel"/>
    <w:tmpl w:val="FFFFFF88"/>
    <w:lvl w:ilvl="0" w:tentative="0">
      <w:start w:val="1"/>
      <w:numFmt w:val="decimal"/>
      <w:pStyle w:val="14"/>
      <w:lvlText w:val="%1."/>
      <w:lvlJc w:val="left"/>
      <w:pPr>
        <w:tabs>
          <w:tab w:val="left" w:pos="360"/>
        </w:tabs>
        <w:ind w:left="36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897"/>
    <w:rsid w:val="0015074B"/>
    <w:rsid w:val="0021604D"/>
    <w:rsid w:val="0029639D"/>
    <w:rsid w:val="00326F90"/>
    <w:rsid w:val="004E7A35"/>
    <w:rsid w:val="006F05DA"/>
    <w:rsid w:val="00960260"/>
    <w:rsid w:val="00AA1D8D"/>
    <w:rsid w:val="00B47730"/>
    <w:rsid w:val="00B80C55"/>
    <w:rsid w:val="00CB0664"/>
    <w:rsid w:val="00CF12FF"/>
    <w:rsid w:val="00EA15FB"/>
    <w:rsid w:val="00F07363"/>
    <w:rsid w:val="00F21088"/>
    <w:rsid w:val="00F26AC0"/>
    <w:rsid w:val="00FC693F"/>
    <w:rsid w:val="019E4ED3"/>
    <w:rsid w:val="022F15AE"/>
    <w:rsid w:val="02A279D3"/>
    <w:rsid w:val="04241555"/>
    <w:rsid w:val="05EF65ED"/>
    <w:rsid w:val="06502589"/>
    <w:rsid w:val="0652413C"/>
    <w:rsid w:val="068D6D73"/>
    <w:rsid w:val="0777361A"/>
    <w:rsid w:val="08167EB9"/>
    <w:rsid w:val="097C01EF"/>
    <w:rsid w:val="0B1F7084"/>
    <w:rsid w:val="0C634321"/>
    <w:rsid w:val="0C756A08"/>
    <w:rsid w:val="0E2F75DE"/>
    <w:rsid w:val="0ED939EE"/>
    <w:rsid w:val="0F693DF5"/>
    <w:rsid w:val="0F9A13CF"/>
    <w:rsid w:val="10974860"/>
    <w:rsid w:val="12107727"/>
    <w:rsid w:val="138B78D5"/>
    <w:rsid w:val="149A10EB"/>
    <w:rsid w:val="15714CB7"/>
    <w:rsid w:val="157302DC"/>
    <w:rsid w:val="15BB3E4D"/>
    <w:rsid w:val="15FA2BC8"/>
    <w:rsid w:val="166E06CF"/>
    <w:rsid w:val="16A02BC4"/>
    <w:rsid w:val="18A20F2A"/>
    <w:rsid w:val="18E436BB"/>
    <w:rsid w:val="190842C8"/>
    <w:rsid w:val="1B1A33C4"/>
    <w:rsid w:val="1C393ADB"/>
    <w:rsid w:val="1C60414B"/>
    <w:rsid w:val="1C65211E"/>
    <w:rsid w:val="1D2B18B9"/>
    <w:rsid w:val="1FA9472E"/>
    <w:rsid w:val="1FF36D9B"/>
    <w:rsid w:val="21430308"/>
    <w:rsid w:val="21A54B00"/>
    <w:rsid w:val="222356B8"/>
    <w:rsid w:val="247165C6"/>
    <w:rsid w:val="24741D97"/>
    <w:rsid w:val="24AC2630"/>
    <w:rsid w:val="263135A5"/>
    <w:rsid w:val="263217D5"/>
    <w:rsid w:val="263A5E9B"/>
    <w:rsid w:val="2672635C"/>
    <w:rsid w:val="269828CB"/>
    <w:rsid w:val="270E5FDF"/>
    <w:rsid w:val="27556DB4"/>
    <w:rsid w:val="27637EA1"/>
    <w:rsid w:val="291A3EBF"/>
    <w:rsid w:val="29312005"/>
    <w:rsid w:val="293B2E83"/>
    <w:rsid w:val="295403E9"/>
    <w:rsid w:val="2AA11403"/>
    <w:rsid w:val="2B125E66"/>
    <w:rsid w:val="2BAF20E2"/>
    <w:rsid w:val="2D593A83"/>
    <w:rsid w:val="2DA07759"/>
    <w:rsid w:val="2DB256DE"/>
    <w:rsid w:val="2FF95846"/>
    <w:rsid w:val="31DD6DFF"/>
    <w:rsid w:val="31E00094"/>
    <w:rsid w:val="32B91A02"/>
    <w:rsid w:val="32E14A9C"/>
    <w:rsid w:val="33596D28"/>
    <w:rsid w:val="335B31D9"/>
    <w:rsid w:val="33951136"/>
    <w:rsid w:val="33CC2A45"/>
    <w:rsid w:val="33D1542E"/>
    <w:rsid w:val="33D83861"/>
    <w:rsid w:val="35E75E21"/>
    <w:rsid w:val="367F5B08"/>
    <w:rsid w:val="386A72E1"/>
    <w:rsid w:val="38BD1B07"/>
    <w:rsid w:val="38D806EF"/>
    <w:rsid w:val="3A445910"/>
    <w:rsid w:val="3A502507"/>
    <w:rsid w:val="3D560352"/>
    <w:rsid w:val="3F171845"/>
    <w:rsid w:val="3F954B5E"/>
    <w:rsid w:val="424B1746"/>
    <w:rsid w:val="429D17C3"/>
    <w:rsid w:val="43882D11"/>
    <w:rsid w:val="451649A1"/>
    <w:rsid w:val="46475F8F"/>
    <w:rsid w:val="464E0242"/>
    <w:rsid w:val="47694F1C"/>
    <w:rsid w:val="47CE5C82"/>
    <w:rsid w:val="48166B3E"/>
    <w:rsid w:val="482760A2"/>
    <w:rsid w:val="486024AF"/>
    <w:rsid w:val="48D73CD4"/>
    <w:rsid w:val="49A32653"/>
    <w:rsid w:val="4B751DCD"/>
    <w:rsid w:val="4B8A7205"/>
    <w:rsid w:val="4B9C3C22"/>
    <w:rsid w:val="4C1C5F26"/>
    <w:rsid w:val="4CE17A85"/>
    <w:rsid w:val="4D084F7E"/>
    <w:rsid w:val="4DBE66F4"/>
    <w:rsid w:val="4FDB7DE4"/>
    <w:rsid w:val="51383FC6"/>
    <w:rsid w:val="51383FC9"/>
    <w:rsid w:val="51B353FD"/>
    <w:rsid w:val="5251726B"/>
    <w:rsid w:val="52CD24EF"/>
    <w:rsid w:val="53F87A3F"/>
    <w:rsid w:val="54841B20"/>
    <w:rsid w:val="54E666E2"/>
    <w:rsid w:val="551E2CCC"/>
    <w:rsid w:val="55591BA4"/>
    <w:rsid w:val="558D41B7"/>
    <w:rsid w:val="56241108"/>
    <w:rsid w:val="59160D02"/>
    <w:rsid w:val="59E22D24"/>
    <w:rsid w:val="5A3D43FE"/>
    <w:rsid w:val="5AE76118"/>
    <w:rsid w:val="5B595267"/>
    <w:rsid w:val="5BC776DF"/>
    <w:rsid w:val="5D753EAF"/>
    <w:rsid w:val="5E2D6537"/>
    <w:rsid w:val="5F2D4A41"/>
    <w:rsid w:val="62344338"/>
    <w:rsid w:val="63293771"/>
    <w:rsid w:val="636B656F"/>
    <w:rsid w:val="639E5F28"/>
    <w:rsid w:val="63F32623"/>
    <w:rsid w:val="65033538"/>
    <w:rsid w:val="676A05BC"/>
    <w:rsid w:val="67C75D19"/>
    <w:rsid w:val="68456970"/>
    <w:rsid w:val="69526670"/>
    <w:rsid w:val="69A52001"/>
    <w:rsid w:val="69B522B4"/>
    <w:rsid w:val="6A220C3A"/>
    <w:rsid w:val="6A603642"/>
    <w:rsid w:val="6AFA326B"/>
    <w:rsid w:val="6C283CFA"/>
    <w:rsid w:val="6D417909"/>
    <w:rsid w:val="6F914B78"/>
    <w:rsid w:val="6FA66085"/>
    <w:rsid w:val="6FA81EC2"/>
    <w:rsid w:val="708D739A"/>
    <w:rsid w:val="70B56472"/>
    <w:rsid w:val="714E4C03"/>
    <w:rsid w:val="75B66A1A"/>
    <w:rsid w:val="7753596A"/>
    <w:rsid w:val="77FC4B2C"/>
    <w:rsid w:val="78082EC3"/>
    <w:rsid w:val="78AC0EF3"/>
    <w:rsid w:val="7A6B6C44"/>
    <w:rsid w:val="7A8E602D"/>
    <w:rsid w:val="7B883888"/>
    <w:rsid w:val="7CC775AD"/>
    <w:rsid w:val="7F350DED"/>
    <w:rsid w:val="7F5F336D"/>
    <w:rsid w:val="7FA73EAD"/>
    <w:rsid w:val="7FC91F6F"/>
    <w:rsid w:val="7FFF7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nhideWhenUsed="0" w:uiPriority="0"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nhideWhenUsed="0" w:uiPriority="0" w:semiHidden="0" w:name="List Bullet 2"/>
    <w:lsdException w:unhideWhenUsed="0" w:uiPriority="0"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5"/>
    <w:qFormat/>
    <w:uiPriority w:val="9"/>
    <w:pPr>
      <w:keepNext/>
      <w:keepLines/>
      <w:spacing w:before="40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36"/>
    <w:unhideWhenUsed/>
    <w:qFormat/>
    <w:uiPriority w:val="9"/>
    <w:pPr>
      <w:keepNext/>
      <w:keepLines/>
      <w:spacing w:before="280" w:after="120"/>
      <w:outlineLvl w:val="1"/>
    </w:pPr>
    <w:rPr>
      <w:rFonts w:asciiTheme="majorHAnsi" w:hAnsiTheme="majorHAnsi" w:eastAsiaTheme="majorEastAsia" w:cstheme="majorBidi"/>
      <w:b/>
      <w:bCs/>
      <w:color w:val="2E75B6"/>
      <w:sz w:val="28"/>
      <w:szCs w:val="26"/>
    </w:rPr>
  </w:style>
  <w:style w:type="paragraph" w:styleId="5">
    <w:name w:val="heading 3"/>
    <w:basedOn w:val="1"/>
    <w:next w:val="1"/>
    <w:link w:val="137"/>
    <w:unhideWhenUsed/>
    <w:qFormat/>
    <w:uiPriority w:val="9"/>
    <w:pPr>
      <w:keepNext/>
      <w:keepLines/>
      <w:spacing w:before="200" w:after="80"/>
      <w:outlineLvl w:val="2"/>
    </w:pPr>
    <w:rPr>
      <w:rFonts w:ascii="微软雅黑" w:hAnsi="微软雅黑" w:cstheme="majorBidi"/>
      <w:b/>
      <w:bCs/>
      <w:color w:val="333333"/>
      <w:sz w:val="24"/>
    </w:rPr>
  </w:style>
  <w:style w:type="paragraph" w:styleId="6">
    <w:name w:val="heading 4"/>
    <w:basedOn w:val="1"/>
    <w:next w:val="1"/>
    <w:link w:val="14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4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4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4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4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9">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2">
    <w:name w:val="macro"/>
    <w:link w:val="14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Body Text 3"/>
    <w:basedOn w:val="1"/>
    <w:link w:val="142"/>
    <w:unhideWhenUsed/>
    <w:qFormat/>
    <w:uiPriority w:val="99"/>
    <w:pPr>
      <w:spacing w:after="120"/>
    </w:pPr>
    <w:rPr>
      <w:sz w:val="16"/>
      <w:szCs w:val="16"/>
    </w:rPr>
  </w:style>
  <w:style w:type="paragraph" w:styleId="17">
    <w:name w:val="Body Text"/>
    <w:basedOn w:val="1"/>
    <w:link w:val="140"/>
    <w:unhideWhenUsed/>
    <w:qFormat/>
    <w:uiPriority w:val="99"/>
    <w:pPr>
      <w:spacing w:before="40" w:after="40"/>
      <w:ind w:firstLine="420" w:firstLineChars="200"/>
    </w:pPr>
    <w:rPr>
      <w:sz w:val="24"/>
    </w:rPr>
  </w:style>
  <w:style w:type="paragraph" w:styleId="18">
    <w:name w:val="List Number 3"/>
    <w:basedOn w:val="1"/>
    <w:unhideWhenUsed/>
    <w:qFormat/>
    <w:uiPriority w:val="99"/>
    <w:pPr>
      <w:numPr>
        <w:ilvl w:val="0"/>
        <w:numId w:val="3"/>
      </w:numPr>
      <w:contextualSpacing/>
    </w:pPr>
  </w:style>
  <w:style w:type="paragraph" w:styleId="19">
    <w:name w:val="List 2"/>
    <w:basedOn w:val="1"/>
    <w:unhideWhenUsed/>
    <w:qFormat/>
    <w:uiPriority w:val="99"/>
    <w:pPr>
      <w:ind w:left="720" w:hanging="360"/>
      <w:contextualSpacing/>
    </w:pPr>
  </w:style>
  <w:style w:type="paragraph" w:styleId="20">
    <w:name w:val="toc 3"/>
    <w:basedOn w:val="1"/>
    <w:next w:val="1"/>
    <w:autoRedefine/>
    <w:unhideWhenUsed/>
    <w:qFormat/>
    <w:uiPriority w:val="39"/>
    <w:pPr>
      <w:spacing w:after="100" w:line="259" w:lineRule="auto"/>
      <w:ind w:left="440"/>
    </w:pPr>
    <w:rPr>
      <w:rFonts w:cs="Times New Roman" w:asciiTheme="minorHAnsi" w:hAnsiTheme="minorHAnsi" w:eastAsiaTheme="minorEastAsia"/>
      <w:sz w:val="22"/>
      <w:lang w:eastAsia="zh-CN"/>
    </w:rPr>
  </w:style>
  <w:style w:type="paragraph" w:styleId="21">
    <w:name w:val="footer"/>
    <w:basedOn w:val="1"/>
    <w:link w:val="134"/>
    <w:unhideWhenUsed/>
    <w:qFormat/>
    <w:uiPriority w:val="99"/>
    <w:pPr>
      <w:tabs>
        <w:tab w:val="center" w:pos="4680"/>
        <w:tab w:val="right" w:pos="9360"/>
      </w:tabs>
      <w:spacing w:after="0" w:line="240" w:lineRule="auto"/>
    </w:pPr>
  </w:style>
  <w:style w:type="paragraph" w:styleId="22">
    <w:name w:val="header"/>
    <w:basedOn w:val="1"/>
    <w:link w:val="133"/>
    <w:unhideWhenUsed/>
    <w:qFormat/>
    <w:uiPriority w:val="99"/>
    <w:pPr>
      <w:tabs>
        <w:tab w:val="center" w:pos="4680"/>
        <w:tab w:val="right" w:pos="9360"/>
      </w:tabs>
      <w:spacing w:after="0" w:line="240" w:lineRule="auto"/>
    </w:pPr>
  </w:style>
  <w:style w:type="paragraph" w:styleId="23">
    <w:name w:val="toc 1"/>
    <w:basedOn w:val="1"/>
    <w:next w:val="1"/>
    <w:autoRedefine/>
    <w:unhideWhenUsed/>
    <w:qFormat/>
    <w:uiPriority w:val="39"/>
    <w:pPr>
      <w:spacing w:after="100" w:line="259" w:lineRule="auto"/>
    </w:pPr>
    <w:rPr>
      <w:rFonts w:cs="Times New Roman" w:asciiTheme="minorHAnsi" w:hAnsiTheme="minorHAnsi" w:eastAsiaTheme="minorEastAsia"/>
      <w:sz w:val="22"/>
      <w:lang w:eastAsia="zh-CN"/>
    </w:rPr>
  </w:style>
  <w:style w:type="paragraph" w:styleId="24">
    <w:name w:val="Subtitle"/>
    <w:basedOn w:val="1"/>
    <w:next w:val="1"/>
    <w:link w:val="1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5">
    <w:name w:val="List"/>
    <w:basedOn w:val="1"/>
    <w:unhideWhenUsed/>
    <w:qFormat/>
    <w:uiPriority w:val="99"/>
    <w:pPr>
      <w:ind w:left="360" w:hanging="360"/>
      <w:contextualSpacing/>
    </w:pPr>
  </w:style>
  <w:style w:type="paragraph" w:styleId="26">
    <w:name w:val="toc 2"/>
    <w:basedOn w:val="1"/>
    <w:next w:val="1"/>
    <w:autoRedefine/>
    <w:unhideWhenUsed/>
    <w:qFormat/>
    <w:uiPriority w:val="39"/>
    <w:pPr>
      <w:spacing w:after="100" w:line="259" w:lineRule="auto"/>
      <w:ind w:left="220"/>
    </w:pPr>
    <w:rPr>
      <w:rFonts w:cs="Times New Roman" w:asciiTheme="minorHAnsi" w:hAnsiTheme="minorHAnsi" w:eastAsiaTheme="minorEastAsia"/>
      <w:sz w:val="22"/>
      <w:lang w:eastAsia="zh-CN"/>
    </w:rPr>
  </w:style>
  <w:style w:type="paragraph" w:styleId="27">
    <w:name w:val="Body Text 2"/>
    <w:basedOn w:val="1"/>
    <w:link w:val="141"/>
    <w:unhideWhenUsed/>
    <w:qFormat/>
    <w:uiPriority w:val="99"/>
    <w:pPr>
      <w:spacing w:after="120" w:line="480" w:lineRule="auto"/>
    </w:pPr>
  </w:style>
  <w:style w:type="paragraph" w:styleId="28">
    <w:name w:val="Title"/>
    <w:basedOn w:val="1"/>
    <w:next w:val="1"/>
    <w:link w:val="13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0">
    <w:name w:val="Table Grid"/>
    <w:basedOn w:val="2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Light Shading"/>
    <w:basedOn w:val="29"/>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2">
    <w:name w:val="Light Shading Accent 1"/>
    <w:basedOn w:val="29"/>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3">
    <w:name w:val="Light Shading Accent 2"/>
    <w:basedOn w:val="2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4">
    <w:name w:val="Light Shading Accent 3"/>
    <w:basedOn w:val="2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5">
    <w:name w:val="Light Shading Accent 4"/>
    <w:basedOn w:val="29"/>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6">
    <w:name w:val="Light Shading Accent 5"/>
    <w:basedOn w:val="29"/>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37">
    <w:name w:val="Light Shading Accent 6"/>
    <w:basedOn w:val="29"/>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38">
    <w:name w:val="Light List"/>
    <w:basedOn w:val="2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39">
    <w:name w:val="Light List Accent 1"/>
    <w:basedOn w:val="2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0">
    <w:name w:val="Light List Accent 2"/>
    <w:basedOn w:val="29"/>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1">
    <w:name w:val="Light List Accent 3"/>
    <w:basedOn w:val="29"/>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2">
    <w:name w:val="Light List Accent 4"/>
    <w:basedOn w:val="2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3">
    <w:name w:val="Light List Accent 5"/>
    <w:basedOn w:val="29"/>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4">
    <w:name w:val="Light List Accent 6"/>
    <w:basedOn w:val="29"/>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5">
    <w:name w:val="Light Grid"/>
    <w:basedOn w:val="2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6">
    <w:name w:val="Light Grid Accent 1"/>
    <w:basedOn w:val="29"/>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47">
    <w:name w:val="Light Grid Accent 2"/>
    <w:basedOn w:val="29"/>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48">
    <w:name w:val="Light Grid Accent 3"/>
    <w:basedOn w:val="29"/>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49">
    <w:name w:val="Light Grid Accent 4"/>
    <w:basedOn w:val="2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0">
    <w:name w:val="Light Grid Accent 5"/>
    <w:basedOn w:val="2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1">
    <w:name w:val="Light Grid Accent 6"/>
    <w:basedOn w:val="2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2">
    <w:name w:val="Medium Shading 1"/>
    <w:basedOn w:val="29"/>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3">
    <w:name w:val="Medium Shading 1 Accent 1"/>
    <w:basedOn w:val="29"/>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4">
    <w:name w:val="Medium Shading 1 Accent 2"/>
    <w:basedOn w:val="29"/>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5">
    <w:name w:val="Medium Shading 1 Accent 3"/>
    <w:basedOn w:val="2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6">
    <w:name w:val="Medium Shading 1 Accent 4"/>
    <w:basedOn w:val="2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57">
    <w:name w:val="Medium Shading 1 Accent 5"/>
    <w:basedOn w:val="29"/>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58">
    <w:name w:val="Medium Shading 1 Accent 6"/>
    <w:basedOn w:val="29"/>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59">
    <w:name w:val="Medium Shading 2"/>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0">
    <w:name w:val="Medium Shading 2 Accent 1"/>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1">
    <w:name w:val="Medium Shading 2 Accent 2"/>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3"/>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4"/>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5"/>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6"/>
    <w:basedOn w:val="29"/>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List 1"/>
    <w:basedOn w:val="29"/>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7">
    <w:name w:val="Medium List 1 Accent 1"/>
    <w:basedOn w:val="29"/>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8">
    <w:name w:val="Medium List 1 Accent 2"/>
    <w:basedOn w:val="29"/>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69">
    <w:name w:val="Medium List 1 Accent 3"/>
    <w:basedOn w:val="29"/>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0">
    <w:name w:val="Medium List 1 Accent 4"/>
    <w:basedOn w:val="29"/>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1">
    <w:name w:val="Medium List 1 Accent 5"/>
    <w:basedOn w:val="29"/>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2">
    <w:name w:val="Medium List 1 Accent 6"/>
    <w:basedOn w:val="29"/>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3">
    <w:name w:val="Medium List 2"/>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1"/>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2"/>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3"/>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4"/>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5"/>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6"/>
    <w:basedOn w:val="29"/>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Grid 1"/>
    <w:basedOn w:val="29"/>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1">
    <w:name w:val="Medium Grid 1 Accent 1"/>
    <w:basedOn w:val="29"/>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2">
    <w:name w:val="Medium Grid 1 Accent 2"/>
    <w:basedOn w:val="29"/>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3">
    <w:name w:val="Medium Grid 1 Accent 3"/>
    <w:basedOn w:val="29"/>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4">
    <w:name w:val="Medium Grid 1 Accent 4"/>
    <w:basedOn w:val="29"/>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5">
    <w:name w:val="Medium Grid 1 Accent 5"/>
    <w:basedOn w:val="29"/>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6">
    <w:name w:val="Medium Grid 1 Accent 6"/>
    <w:basedOn w:val="29"/>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87">
    <w:name w:val="Medium Grid 2"/>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88">
    <w:name w:val="Medium Grid 2 Accent 1"/>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89">
    <w:name w:val="Medium Grid 2 Accent 2"/>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0">
    <w:name w:val="Medium Grid 2 Accent 3"/>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1">
    <w:name w:val="Medium Grid 2 Accent 4"/>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2">
    <w:name w:val="Medium Grid 2 Accent 5"/>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3">
    <w:name w:val="Medium Grid 2 Accent 6"/>
    <w:basedOn w:val="29"/>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4">
    <w:name w:val="Medium Grid 3"/>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5">
    <w:name w:val="Medium Grid 3 Accent 1"/>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6">
    <w:name w:val="Medium Grid 3 Accent 2"/>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97">
    <w:name w:val="Medium Grid 3 Accent 3"/>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98">
    <w:name w:val="Medium Grid 3 Accent 4"/>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99">
    <w:name w:val="Medium Grid 3 Accent 5"/>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0">
    <w:name w:val="Medium Grid 3 Accent 6"/>
    <w:basedOn w:val="29"/>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1">
    <w:name w:val="Dark List"/>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2">
    <w:name w:val="Dark List Accent 1"/>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3">
    <w:name w:val="Dark List Accent 2"/>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4">
    <w:name w:val="Dark List Accent 3"/>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5">
    <w:name w:val="Dark List Accent 4"/>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6">
    <w:name w:val="Dark List Accent 5"/>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07">
    <w:name w:val="Dark List Accent 6"/>
    <w:basedOn w:val="29"/>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08">
    <w:name w:val="Colorful Shading"/>
    <w:basedOn w:val="2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9">
    <w:name w:val="Colorful Shading Accent 1"/>
    <w:basedOn w:val="2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0">
    <w:name w:val="Colorful Shading Accent 2"/>
    <w:basedOn w:val="29"/>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3"/>
    <w:basedOn w:val="29"/>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2">
    <w:name w:val="Colorful Shading Accent 4"/>
    <w:basedOn w:val="29"/>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5"/>
    <w:basedOn w:val="29"/>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6"/>
    <w:basedOn w:val="29"/>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List"/>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6">
    <w:name w:val="Colorful List Accent 1"/>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17">
    <w:name w:val="Colorful List Accent 2"/>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18">
    <w:name w:val="Colorful List Accent 3"/>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19">
    <w:name w:val="Colorful List Accent 4"/>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0">
    <w:name w:val="Colorful List Accent 5"/>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1">
    <w:name w:val="Colorful List Accent 6"/>
    <w:basedOn w:val="29"/>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2">
    <w:name w:val="Colorful Grid"/>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3">
    <w:name w:val="Colorful Grid Accent 1"/>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4">
    <w:name w:val="Colorful Grid Accent 2"/>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5">
    <w:name w:val="Colorful Grid Accent 3"/>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6">
    <w:name w:val="Colorful Grid Accent 4"/>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27">
    <w:name w:val="Colorful Grid Accent 5"/>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28">
    <w:name w:val="Colorful Grid Accent 6"/>
    <w:basedOn w:val="29"/>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0">
    <w:name w:val="Strong"/>
    <w:basedOn w:val="129"/>
    <w:qFormat/>
    <w:uiPriority w:val="22"/>
    <w:rPr>
      <w:b/>
      <w:bCs/>
    </w:rPr>
  </w:style>
  <w:style w:type="character" w:styleId="131">
    <w:name w:val="Emphasis"/>
    <w:basedOn w:val="129"/>
    <w:qFormat/>
    <w:uiPriority w:val="20"/>
    <w:rPr>
      <w:i/>
      <w:iCs/>
    </w:rPr>
  </w:style>
  <w:style w:type="character" w:styleId="132">
    <w:name w:val="Hyperlink"/>
    <w:basedOn w:val="129"/>
    <w:unhideWhenUsed/>
    <w:qFormat/>
    <w:uiPriority w:val="99"/>
    <w:rPr>
      <w:color w:val="0000FF" w:themeColor="hyperlink"/>
      <w:u w:val="single"/>
      <w14:textFill>
        <w14:solidFill>
          <w14:schemeClr w14:val="hlink"/>
        </w14:solidFill>
      </w14:textFill>
    </w:rPr>
  </w:style>
  <w:style w:type="character" w:customStyle="1" w:styleId="133">
    <w:name w:val="页眉 字符"/>
    <w:basedOn w:val="129"/>
    <w:link w:val="22"/>
    <w:qFormat/>
    <w:uiPriority w:val="99"/>
  </w:style>
  <w:style w:type="character" w:customStyle="1" w:styleId="134">
    <w:name w:val="页脚 字符"/>
    <w:basedOn w:val="129"/>
    <w:link w:val="21"/>
    <w:qFormat/>
    <w:uiPriority w:val="99"/>
  </w:style>
  <w:style w:type="character" w:customStyle="1" w:styleId="135">
    <w:name w:val="标题 1 字符"/>
    <w:basedOn w:val="129"/>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标题 2 字符"/>
    <w:basedOn w:val="129"/>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标题 3 字符"/>
    <w:basedOn w:val="129"/>
    <w:link w:val="5"/>
    <w:qFormat/>
    <w:uiPriority w:val="9"/>
    <w:rPr>
      <w:rFonts w:ascii="微软雅黑" w:hAnsi="微软雅黑" w:eastAsia="微软雅黑" w:cstheme="majorBidi"/>
      <w:b/>
      <w:bCs/>
      <w:color w:val="4F81BD" w:themeColor="accent1"/>
      <w14:textFill>
        <w14:solidFill>
          <w14:schemeClr w14:val="accent1"/>
        </w14:solidFill>
      </w14:textFill>
    </w:rPr>
  </w:style>
  <w:style w:type="character" w:customStyle="1" w:styleId="138">
    <w:name w:val="标题 字符"/>
    <w:basedOn w:val="129"/>
    <w:link w:val="2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39">
    <w:name w:val="副标题 字符"/>
    <w:basedOn w:val="129"/>
    <w:link w:val="2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0">
    <w:name w:val="正文文本 字符"/>
    <w:basedOn w:val="129"/>
    <w:link w:val="17"/>
    <w:qFormat/>
    <w:uiPriority w:val="99"/>
    <w:rPr>
      <w:rFonts w:eastAsia="微软雅黑"/>
      <w:sz w:val="24"/>
    </w:rPr>
  </w:style>
  <w:style w:type="character" w:customStyle="1" w:styleId="141">
    <w:name w:val="正文文本 2 字符"/>
    <w:basedOn w:val="129"/>
    <w:link w:val="27"/>
    <w:qFormat/>
    <w:uiPriority w:val="99"/>
  </w:style>
  <w:style w:type="character" w:customStyle="1" w:styleId="142">
    <w:name w:val="正文文本 3 字符"/>
    <w:basedOn w:val="129"/>
    <w:link w:val="16"/>
    <w:qFormat/>
    <w:uiPriority w:val="99"/>
    <w:rPr>
      <w:sz w:val="16"/>
      <w:szCs w:val="16"/>
    </w:rPr>
  </w:style>
  <w:style w:type="character" w:customStyle="1" w:styleId="143">
    <w:name w:val="宏文本 字符"/>
    <w:basedOn w:val="129"/>
    <w:link w:val="2"/>
    <w:qFormat/>
    <w:uiPriority w:val="99"/>
    <w:rPr>
      <w:rFonts w:ascii="Courier" w:hAnsi="Courier"/>
      <w:sz w:val="20"/>
      <w:szCs w:val="20"/>
    </w:rPr>
  </w:style>
  <w:style w:type="character" w:customStyle="1" w:styleId="144">
    <w:name w:val="标题 4 字符"/>
    <w:basedOn w:val="129"/>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5">
    <w:name w:val="标题 5 字符"/>
    <w:basedOn w:val="129"/>
    <w:link w:val="7"/>
    <w:semiHidden/>
    <w:qFormat/>
    <w:uiPriority w:val="9"/>
    <w:rPr>
      <w:rFonts w:asciiTheme="majorHAnsi" w:hAnsiTheme="majorHAnsi" w:eastAsiaTheme="majorEastAsia" w:cstheme="majorBidi"/>
      <w:color w:val="254061" w:themeColor="accent1" w:themeShade="80"/>
    </w:rPr>
  </w:style>
  <w:style w:type="character" w:customStyle="1" w:styleId="146">
    <w:name w:val="标题 6 字符"/>
    <w:basedOn w:val="129"/>
    <w:link w:val="8"/>
    <w:semiHidden/>
    <w:qFormat/>
    <w:uiPriority w:val="9"/>
    <w:rPr>
      <w:rFonts w:asciiTheme="majorHAnsi" w:hAnsiTheme="majorHAnsi" w:eastAsiaTheme="majorEastAsia" w:cstheme="majorBidi"/>
      <w:i/>
      <w:iCs/>
      <w:color w:val="254061" w:themeColor="accent1" w:themeShade="80"/>
    </w:rPr>
  </w:style>
  <w:style w:type="character" w:customStyle="1" w:styleId="147">
    <w:name w:val="标题 7 字符"/>
    <w:basedOn w:val="129"/>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8">
    <w:name w:val="标题 8 字符"/>
    <w:basedOn w:val="129"/>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49">
    <w:name w:val="标题 9 字符"/>
    <w:basedOn w:val="129"/>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0">
    <w:name w:val="TOC Heading"/>
    <w:basedOn w:val="3"/>
    <w:next w:val="1"/>
    <w:unhideWhenUsed/>
    <w:qFormat/>
    <w:uiPriority w:val="39"/>
    <w:pPr>
      <w:outlineLvl w:val="9"/>
    </w:pPr>
  </w:style>
  <w:style w:type="character" w:customStyle="1" w:styleId="151">
    <w:name w:val="font11"/>
    <w:basedOn w:val="129"/>
    <w:qFormat/>
    <w:uiPriority w:val="0"/>
    <w:rPr>
      <w:rFonts w:ascii="宋体" w:hAnsi="宋体" w:eastAsia="宋体" w:cs="宋体"/>
      <w:b/>
      <w:bCs/>
      <w:color w:val="FFFFFF"/>
      <w:sz w:val="28"/>
      <w:szCs w:val="28"/>
      <w:u w:val="none"/>
    </w:rPr>
  </w:style>
  <w:style w:type="character" w:customStyle="1" w:styleId="152">
    <w:name w:val="font61"/>
    <w:basedOn w:val="129"/>
    <w:qFormat/>
    <w:uiPriority w:val="0"/>
    <w:rPr>
      <w:rFonts w:ascii="宋体" w:hAnsi="宋体" w:eastAsia="宋体" w:cs="宋体"/>
      <w:color w:val="FFFFFF"/>
      <w:sz w:val="28"/>
      <w:szCs w:val="28"/>
      <w:u w:val="none"/>
    </w:rPr>
  </w:style>
  <w:style w:type="character" w:customStyle="1" w:styleId="153">
    <w:name w:val="font71"/>
    <w:basedOn w:val="129"/>
    <w:qFormat/>
    <w:uiPriority w:val="0"/>
    <w:rPr>
      <w:rFonts w:ascii="Arial" w:hAnsi="Arial" w:cs="Arial"/>
      <w:color w:val="000000"/>
      <w:sz w:val="15"/>
      <w:szCs w:val="15"/>
      <w:u w:val="none"/>
    </w:rPr>
  </w:style>
  <w:style w:type="character" w:customStyle="1" w:styleId="154">
    <w:name w:val="font81"/>
    <w:basedOn w:val="129"/>
    <w:qFormat/>
    <w:uiPriority w:val="0"/>
    <w:rPr>
      <w:rFonts w:ascii="宋体" w:hAnsi="宋体" w:eastAsia="宋体" w:cs="宋体"/>
      <w:color w:val="000000"/>
      <w:sz w:val="28"/>
      <w:szCs w:val="28"/>
      <w:u w:val="none"/>
    </w:rPr>
  </w:style>
  <w:style w:type="character" w:customStyle="1" w:styleId="155">
    <w:name w:val="font91"/>
    <w:basedOn w:val="129"/>
    <w:qFormat/>
    <w:uiPriority w:val="0"/>
    <w:rPr>
      <w:rFonts w:ascii="宋体" w:hAnsi="宋体" w:eastAsia="宋体" w:cs="宋体"/>
      <w:color w:val="403020"/>
      <w:sz w:val="28"/>
      <w:szCs w:val="28"/>
      <w:u w:val="none"/>
    </w:rPr>
  </w:style>
  <w:style w:type="character" w:customStyle="1" w:styleId="156">
    <w:name w:val="font31"/>
    <w:basedOn w:val="129"/>
    <w:qFormat/>
    <w:uiPriority w:val="0"/>
    <w:rPr>
      <w:rFonts w:ascii="宋体" w:hAnsi="宋体" w:eastAsia="宋体" w:cs="宋体"/>
      <w:color w:val="40304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2686</Words>
  <Characters>3000</Characters>
  <Lines>44</Lines>
  <Paragraphs>12</Paragraphs>
  <TotalTime>0</TotalTime>
  <ScaleCrop>false</ScaleCrop>
  <LinksUpToDate>false</LinksUpToDate>
  <CharactersWithSpaces>3236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2026-06-10T05:11:00Z</dcterms:created>
  <dc:creator>python-docx</dc:creator>
  <dc:description>generated by python-docx</dc:description>
  <cp:lastModifiedBy>孟宇辉</cp:lastModifiedBy>
  <dcterms:modified xsi:type="dcterms:W3CDTF">2026-08-27T03:30:55Z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eyJoZGlkIjoiOTc4Mjg3Y2NjMzEyMWJhMmFmM2MxMjk0YjA3NTk4MGMiLCJ1c2VySWQiOiIxNjkyNDUyNjcyIn0=</vt:lpwstr>
  </property>
  <property fmtid="{D5CDD505-2E9C-101B-9397-08002B2CF9AE}" pid="3" name="KSOProductBuildVer">
    <vt:lpwstr>2052-12.1.0.28043</vt:lpwstr>
  </property>
  <property fmtid="{D5CDD505-2E9C-101B-9397-08002B2CF9AE}" pid="4" name="ICV">
    <vt:lpwstr>5DC54DF8ABAD40118C9BB4D7767A6C50_13</vt:lpwstr>
  </property>
</Properties>
</file>