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B62050">
      <w:pPr>
        <w:pageBreakBefore w:val="0"/>
        <w:widowControl/>
        <w:kinsoku/>
        <w:wordWrap/>
        <w:overflowPunct/>
        <w:topLinePunct w:val="0"/>
        <w:autoSpaceDE/>
        <w:autoSpaceDN/>
        <w:bidi w:val="0"/>
        <w:adjustRightInd/>
        <w:snapToGrid/>
        <w:spacing w:after="0"/>
        <w:jc w:val="both"/>
        <w:rPr>
          <w:rFonts w:hint="eastAsia"/>
        </w:rPr>
      </w:pPr>
    </w:p>
    <w:p w14:paraId="7B025003">
      <w:pPr>
        <w:pageBreakBefore w:val="0"/>
        <w:widowControl/>
        <w:kinsoku/>
        <w:wordWrap/>
        <w:overflowPunct/>
        <w:topLinePunct w:val="0"/>
        <w:autoSpaceDE/>
        <w:autoSpaceDN/>
        <w:bidi w:val="0"/>
        <w:adjustRightInd/>
        <w:snapToGrid/>
        <w:spacing w:after="0"/>
        <w:jc w:val="both"/>
        <w:rPr>
          <w:rFonts w:hint="eastAsia"/>
        </w:rPr>
      </w:pPr>
    </w:p>
    <w:p w14:paraId="22C470B6">
      <w:pPr>
        <w:pageBreakBefore w:val="0"/>
        <w:widowControl/>
        <w:kinsoku/>
        <w:wordWrap/>
        <w:overflowPunct/>
        <w:topLinePunct w:val="0"/>
        <w:autoSpaceDE/>
        <w:autoSpaceDN/>
        <w:bidi w:val="0"/>
        <w:adjustRightInd/>
        <w:snapToGrid/>
        <w:spacing w:after="0"/>
        <w:jc w:val="both"/>
        <w:rPr>
          <w:rFonts w:hint="eastAsia"/>
        </w:rPr>
      </w:pPr>
    </w:p>
    <w:p w14:paraId="6524C610">
      <w:pPr>
        <w:pageBreakBefore w:val="0"/>
        <w:widowControl/>
        <w:kinsoku/>
        <w:wordWrap/>
        <w:overflowPunct/>
        <w:topLinePunct w:val="0"/>
        <w:autoSpaceDE/>
        <w:autoSpaceDN/>
        <w:bidi w:val="0"/>
        <w:adjustRightInd/>
        <w:snapToGrid/>
        <w:spacing w:after="0"/>
        <w:jc w:val="both"/>
        <w:rPr>
          <w:rFonts w:hint="eastAsia"/>
        </w:rPr>
      </w:pPr>
    </w:p>
    <w:p w14:paraId="4ECF4CBF">
      <w:pPr>
        <w:pageBreakBefore w:val="0"/>
        <w:widowControl/>
        <w:kinsoku/>
        <w:wordWrap/>
        <w:overflowPunct/>
        <w:topLinePunct w:val="0"/>
        <w:autoSpaceDE/>
        <w:autoSpaceDN/>
        <w:bidi w:val="0"/>
        <w:adjustRightInd/>
        <w:snapToGrid/>
        <w:spacing w:after="0"/>
        <w:jc w:val="both"/>
        <w:rPr>
          <w:rFonts w:hint="eastAsia"/>
        </w:rPr>
      </w:pPr>
    </w:p>
    <w:p w14:paraId="01C01BAC">
      <w:pPr>
        <w:pageBreakBefore w:val="0"/>
        <w:widowControl/>
        <w:kinsoku/>
        <w:wordWrap/>
        <w:overflowPunct/>
        <w:topLinePunct w:val="0"/>
        <w:autoSpaceDE/>
        <w:autoSpaceDN/>
        <w:bidi w:val="0"/>
        <w:adjustRightInd/>
        <w:snapToGrid/>
        <w:spacing w:after="0"/>
        <w:jc w:val="both"/>
        <w:rPr>
          <w:rFonts w:hint="eastAsia"/>
        </w:rPr>
      </w:pPr>
    </w:p>
    <w:p w14:paraId="41F2589F">
      <w:pPr>
        <w:pageBreakBefore w:val="0"/>
        <w:widowControl/>
        <w:kinsoku/>
        <w:wordWrap/>
        <w:overflowPunct/>
        <w:topLinePunct w:val="0"/>
        <w:autoSpaceDE/>
        <w:autoSpaceDN/>
        <w:bidi w:val="0"/>
        <w:adjustRightInd/>
        <w:snapToGrid/>
        <w:spacing w:after="160"/>
        <w:jc w:val="center"/>
        <w:rPr>
          <w:b/>
          <w:sz w:val="44"/>
          <w:lang w:val="zh-CN" w:eastAsia="zh-CN"/>
        </w:rPr>
      </w:pPr>
      <w:r>
        <w:rPr>
          <w:b/>
          <w:sz w:val="44"/>
          <w:lang w:val="zh-CN" w:eastAsia="zh-CN"/>
        </w:rPr>
        <w:t>中国海诚</w:t>
      </w:r>
      <w:r>
        <w:rPr>
          <w:rFonts w:hint="eastAsia"/>
          <w:b/>
          <w:sz w:val="44"/>
          <w:lang w:val="en-US" w:eastAsia="zh-CN"/>
        </w:rPr>
        <w:t>境外</w:t>
      </w:r>
      <w:r>
        <w:rPr>
          <w:b/>
          <w:sz w:val="44"/>
          <w:lang w:val="zh-CN" w:eastAsia="zh-CN"/>
        </w:rPr>
        <w:t>财务管理操作指南</w:t>
      </w:r>
    </w:p>
    <w:p w14:paraId="02782767">
      <w:pPr>
        <w:pageBreakBefore w:val="0"/>
        <w:widowControl/>
        <w:kinsoku/>
        <w:wordWrap/>
        <w:overflowPunct/>
        <w:topLinePunct w:val="0"/>
        <w:autoSpaceDE/>
        <w:autoSpaceDN/>
        <w:bidi w:val="0"/>
        <w:adjustRightInd/>
        <w:snapToGrid/>
        <w:spacing w:after="160"/>
        <w:jc w:val="center"/>
        <w:rPr>
          <w:rFonts w:hint="eastAsia"/>
          <w:b/>
          <w:sz w:val="44"/>
          <w:lang w:val="en-US" w:eastAsia="zh-CN"/>
        </w:rPr>
      </w:pPr>
      <w:r>
        <w:rPr>
          <w:rFonts w:hint="eastAsia"/>
          <w:b/>
          <w:sz w:val="44"/>
          <w:lang w:val="en-US" w:eastAsia="zh-CN"/>
        </w:rPr>
        <w:t>之</w:t>
      </w:r>
    </w:p>
    <w:p w14:paraId="624B64E7">
      <w:pPr>
        <w:pageBreakBefore w:val="0"/>
        <w:widowControl/>
        <w:kinsoku/>
        <w:wordWrap/>
        <w:overflowPunct/>
        <w:topLinePunct w:val="0"/>
        <w:autoSpaceDE/>
        <w:autoSpaceDN/>
        <w:bidi w:val="0"/>
        <w:adjustRightInd/>
        <w:snapToGrid/>
        <w:spacing w:after="160"/>
        <w:jc w:val="center"/>
        <w:rPr>
          <w:rFonts w:hint="default"/>
          <w:b/>
          <w:sz w:val="44"/>
          <w:lang w:val="en-US" w:eastAsia="zh-CN"/>
        </w:rPr>
      </w:pPr>
      <w:r>
        <w:rPr>
          <w:rFonts w:hint="eastAsia"/>
          <w:b/>
          <w:sz w:val="44"/>
          <w:lang w:val="en-US" w:eastAsia="zh-CN"/>
        </w:rPr>
        <w:t>阿联酋</w:t>
      </w:r>
    </w:p>
    <w:p w14:paraId="79504959">
      <w:pPr>
        <w:pageBreakBefore w:val="0"/>
        <w:widowControl/>
        <w:kinsoku/>
        <w:wordWrap/>
        <w:overflowPunct/>
        <w:topLinePunct w:val="0"/>
        <w:autoSpaceDE/>
        <w:autoSpaceDN/>
        <w:bidi w:val="0"/>
        <w:adjustRightInd/>
        <w:snapToGrid/>
        <w:spacing w:after="80"/>
        <w:jc w:val="both"/>
        <w:rPr>
          <w:b/>
          <w:sz w:val="22"/>
          <w:lang w:val="zh-CN" w:eastAsia="zh-CN"/>
        </w:rPr>
      </w:pPr>
    </w:p>
    <w:p w14:paraId="59C98410">
      <w:pPr>
        <w:pageBreakBefore w:val="0"/>
        <w:widowControl/>
        <w:kinsoku/>
        <w:wordWrap/>
        <w:overflowPunct/>
        <w:topLinePunct w:val="0"/>
        <w:autoSpaceDE/>
        <w:autoSpaceDN/>
        <w:bidi w:val="0"/>
        <w:adjustRightInd/>
        <w:snapToGrid/>
        <w:spacing w:after="80"/>
        <w:jc w:val="both"/>
        <w:rPr>
          <w:b/>
          <w:sz w:val="22"/>
          <w:lang w:val="zh-CN" w:eastAsia="zh-CN"/>
        </w:rPr>
      </w:pPr>
    </w:p>
    <w:p w14:paraId="781D5827">
      <w:pPr>
        <w:pageBreakBefore w:val="0"/>
        <w:widowControl/>
        <w:kinsoku/>
        <w:wordWrap/>
        <w:overflowPunct/>
        <w:topLinePunct w:val="0"/>
        <w:autoSpaceDE/>
        <w:autoSpaceDN/>
        <w:bidi w:val="0"/>
        <w:adjustRightInd/>
        <w:snapToGrid/>
        <w:spacing w:after="80"/>
        <w:jc w:val="both"/>
        <w:rPr>
          <w:b/>
          <w:sz w:val="22"/>
          <w:lang w:val="zh-CN" w:eastAsia="zh-CN"/>
        </w:rPr>
      </w:pPr>
    </w:p>
    <w:p w14:paraId="5ACCA34C">
      <w:pPr>
        <w:pageBreakBefore w:val="0"/>
        <w:widowControl/>
        <w:kinsoku/>
        <w:wordWrap/>
        <w:overflowPunct/>
        <w:topLinePunct w:val="0"/>
        <w:autoSpaceDE/>
        <w:autoSpaceDN/>
        <w:bidi w:val="0"/>
        <w:adjustRightInd/>
        <w:snapToGrid/>
        <w:spacing w:after="80"/>
        <w:jc w:val="both"/>
        <w:rPr>
          <w:b/>
          <w:sz w:val="22"/>
          <w:lang w:val="zh-CN" w:eastAsia="zh-CN"/>
        </w:rPr>
      </w:pPr>
    </w:p>
    <w:p w14:paraId="0CB19B44">
      <w:pPr>
        <w:pageBreakBefore w:val="0"/>
        <w:widowControl/>
        <w:kinsoku/>
        <w:wordWrap/>
        <w:overflowPunct/>
        <w:topLinePunct w:val="0"/>
        <w:autoSpaceDE/>
        <w:autoSpaceDN/>
        <w:bidi w:val="0"/>
        <w:adjustRightInd/>
        <w:snapToGrid/>
        <w:spacing w:after="80"/>
        <w:jc w:val="both"/>
        <w:rPr>
          <w:b/>
          <w:sz w:val="22"/>
          <w:lang w:val="zh-CN" w:eastAsia="zh-CN"/>
        </w:rPr>
      </w:pPr>
    </w:p>
    <w:p w14:paraId="14017EAE">
      <w:pPr>
        <w:pageBreakBefore w:val="0"/>
        <w:widowControl/>
        <w:kinsoku/>
        <w:wordWrap/>
        <w:overflowPunct/>
        <w:topLinePunct w:val="0"/>
        <w:autoSpaceDE/>
        <w:autoSpaceDN/>
        <w:bidi w:val="0"/>
        <w:adjustRightInd/>
        <w:snapToGrid/>
        <w:spacing w:after="80"/>
        <w:jc w:val="both"/>
        <w:rPr>
          <w:b/>
          <w:sz w:val="22"/>
          <w:lang w:val="zh-CN" w:eastAsia="zh-CN"/>
        </w:rPr>
      </w:pPr>
    </w:p>
    <w:p w14:paraId="1CD141F3">
      <w:pPr>
        <w:pageBreakBefore w:val="0"/>
        <w:widowControl/>
        <w:kinsoku/>
        <w:wordWrap/>
        <w:overflowPunct/>
        <w:topLinePunct w:val="0"/>
        <w:autoSpaceDE/>
        <w:autoSpaceDN/>
        <w:bidi w:val="0"/>
        <w:adjustRightInd/>
        <w:snapToGrid/>
        <w:spacing w:after="80"/>
        <w:jc w:val="both"/>
        <w:rPr>
          <w:rFonts w:hint="eastAsia"/>
          <w:b/>
          <w:sz w:val="22"/>
          <w:lang w:val="zh-CN" w:eastAsia="zh-CN"/>
        </w:rPr>
      </w:pPr>
    </w:p>
    <w:p w14:paraId="081DA12C">
      <w:pPr>
        <w:pageBreakBefore w:val="0"/>
        <w:widowControl/>
        <w:kinsoku/>
        <w:wordWrap/>
        <w:overflowPunct/>
        <w:topLinePunct w:val="0"/>
        <w:autoSpaceDE/>
        <w:autoSpaceDN/>
        <w:bidi w:val="0"/>
        <w:adjustRightInd/>
        <w:snapToGrid/>
        <w:spacing w:after="80"/>
        <w:jc w:val="both"/>
        <w:rPr>
          <w:rFonts w:hint="eastAsia"/>
          <w:b/>
          <w:sz w:val="22"/>
          <w:lang w:val="zh-CN" w:eastAsia="zh-CN"/>
        </w:rPr>
      </w:pPr>
    </w:p>
    <w:p w14:paraId="6912BD1D">
      <w:pPr>
        <w:pageBreakBefore w:val="0"/>
        <w:widowControl/>
        <w:kinsoku/>
        <w:wordWrap/>
        <w:overflowPunct/>
        <w:topLinePunct w:val="0"/>
        <w:autoSpaceDE/>
        <w:autoSpaceDN/>
        <w:bidi w:val="0"/>
        <w:adjustRightInd/>
        <w:snapToGrid/>
        <w:spacing w:after="80"/>
        <w:jc w:val="both"/>
        <w:rPr>
          <w:rFonts w:hint="eastAsia"/>
          <w:b/>
          <w:sz w:val="22"/>
          <w:lang w:val="zh-CN" w:eastAsia="zh-CN"/>
        </w:rPr>
      </w:pPr>
    </w:p>
    <w:p w14:paraId="2F058EC7">
      <w:pPr>
        <w:pageBreakBefore w:val="0"/>
        <w:widowControl/>
        <w:kinsoku/>
        <w:wordWrap/>
        <w:overflowPunct/>
        <w:topLinePunct w:val="0"/>
        <w:autoSpaceDE/>
        <w:autoSpaceDN/>
        <w:bidi w:val="0"/>
        <w:adjustRightInd/>
        <w:snapToGrid/>
        <w:spacing w:after="80"/>
        <w:jc w:val="both"/>
        <w:rPr>
          <w:rFonts w:hint="eastAsia"/>
          <w:b/>
          <w:sz w:val="22"/>
          <w:lang w:val="zh-CN" w:eastAsia="zh-CN"/>
        </w:rPr>
      </w:pPr>
    </w:p>
    <w:p w14:paraId="1E4615D4">
      <w:pPr>
        <w:pageBreakBefore w:val="0"/>
        <w:widowControl/>
        <w:kinsoku/>
        <w:wordWrap/>
        <w:overflowPunct/>
        <w:topLinePunct w:val="0"/>
        <w:autoSpaceDE/>
        <w:autoSpaceDN/>
        <w:bidi w:val="0"/>
        <w:adjustRightInd/>
        <w:snapToGrid/>
        <w:spacing w:after="80"/>
        <w:jc w:val="both"/>
        <w:rPr>
          <w:b/>
          <w:sz w:val="28"/>
          <w:szCs w:val="28"/>
          <w:lang w:val="zh-CN" w:eastAsia="zh-CN"/>
        </w:rPr>
      </w:pPr>
    </w:p>
    <w:p w14:paraId="486ACB14">
      <w:pPr>
        <w:pageBreakBefore w:val="0"/>
        <w:widowControl/>
        <w:kinsoku/>
        <w:wordWrap/>
        <w:overflowPunct/>
        <w:topLinePunct w:val="0"/>
        <w:autoSpaceDE/>
        <w:autoSpaceDN/>
        <w:bidi w:val="0"/>
        <w:adjustRightInd/>
        <w:snapToGrid/>
        <w:spacing w:after="80"/>
        <w:jc w:val="center"/>
        <w:rPr>
          <w:rFonts w:hint="eastAsia"/>
          <w:b/>
          <w:sz w:val="24"/>
          <w:szCs w:val="28"/>
          <w:lang w:eastAsia="zh-CN"/>
        </w:rPr>
      </w:pPr>
      <w:r>
        <w:rPr>
          <w:b/>
          <w:sz w:val="28"/>
          <w:szCs w:val="28"/>
          <w:lang w:val="zh-CN" w:eastAsia="zh-CN"/>
        </w:rPr>
        <w:t>版本号：V1.0</w:t>
      </w:r>
    </w:p>
    <w:p w14:paraId="43FDAA16">
      <w:pPr>
        <w:pageBreakBefore w:val="0"/>
        <w:widowControl/>
        <w:kinsoku/>
        <w:wordWrap/>
        <w:overflowPunct/>
        <w:topLinePunct w:val="0"/>
        <w:autoSpaceDE/>
        <w:autoSpaceDN/>
        <w:bidi w:val="0"/>
        <w:adjustRightInd/>
        <w:snapToGrid/>
        <w:spacing w:after="80"/>
        <w:jc w:val="center"/>
        <w:rPr>
          <w:rFonts w:hint="eastAsia"/>
          <w:b/>
          <w:sz w:val="24"/>
          <w:szCs w:val="28"/>
          <w:lang w:eastAsia="zh-CN"/>
        </w:rPr>
      </w:pPr>
      <w:r>
        <w:rPr>
          <w:b/>
          <w:sz w:val="28"/>
          <w:szCs w:val="28"/>
          <w:lang w:val="zh-CN" w:eastAsia="zh-CN"/>
        </w:rPr>
        <w:t>发布日期：</w:t>
      </w:r>
      <w:r>
        <w:rPr>
          <w:rFonts w:hint="eastAsia"/>
          <w:b/>
          <w:sz w:val="28"/>
          <w:szCs w:val="28"/>
          <w:lang w:val="en-US" w:eastAsia="zh-CN"/>
        </w:rPr>
        <w:t>2026</w:t>
      </w:r>
      <w:r>
        <w:rPr>
          <w:b/>
          <w:sz w:val="28"/>
          <w:szCs w:val="28"/>
          <w:lang w:val="zh-CN" w:eastAsia="zh-CN"/>
        </w:rPr>
        <w:t>年</w:t>
      </w:r>
      <w:r>
        <w:rPr>
          <w:rFonts w:hint="eastAsia"/>
          <w:b/>
          <w:sz w:val="28"/>
          <w:szCs w:val="28"/>
          <w:lang w:val="en-US" w:eastAsia="zh-CN"/>
        </w:rPr>
        <w:t>7</w:t>
      </w:r>
      <w:r>
        <w:rPr>
          <w:b/>
          <w:sz w:val="28"/>
          <w:szCs w:val="28"/>
          <w:lang w:val="zh-CN" w:eastAsia="zh-CN"/>
        </w:rPr>
        <w:t>月</w:t>
      </w:r>
      <w:r>
        <w:rPr>
          <w:rFonts w:hint="eastAsia"/>
          <w:b/>
          <w:sz w:val="28"/>
          <w:szCs w:val="28"/>
          <w:lang w:val="en-US" w:eastAsia="zh-CN"/>
        </w:rPr>
        <w:t>16</w:t>
      </w:r>
      <w:r>
        <w:rPr>
          <w:b/>
          <w:sz w:val="28"/>
          <w:szCs w:val="28"/>
          <w:lang w:val="zh-CN" w:eastAsia="zh-CN"/>
        </w:rPr>
        <w:t>日</w:t>
      </w:r>
    </w:p>
    <w:p w14:paraId="07ACF825">
      <w:pPr>
        <w:pStyle w:val="168"/>
        <w:pageBreakBefore w:val="0"/>
        <w:widowControl/>
        <w:kinsoku/>
        <w:wordWrap/>
        <w:overflowPunct/>
        <w:topLinePunct w:val="0"/>
        <w:autoSpaceDE/>
        <w:autoSpaceDN/>
        <w:bidi w:val="0"/>
        <w:adjustRightInd/>
        <w:snapToGrid/>
        <w:jc w:val="both"/>
        <w:rPr>
          <w:rFonts w:ascii="微软雅黑" w:hAnsi="微软雅黑" w:eastAsia="微软雅黑"/>
          <w:color w:val="auto"/>
          <w:lang w:val="zh-CN" w:eastAsia="zh-CN"/>
        </w:rPr>
        <w:sectPr>
          <w:footerReference r:id="rId5" w:type="default"/>
          <w:pgSz w:w="12240" w:h="15840"/>
          <w:pgMar w:top="1440" w:right="1803" w:bottom="1440" w:left="1803" w:header="720" w:footer="720" w:gutter="0"/>
          <w:pgNumType w:fmt="decimal"/>
          <w:cols w:space="720" w:num="1"/>
          <w:docGrid w:linePitch="360" w:charSpace="0"/>
        </w:sectPr>
      </w:pPr>
    </w:p>
    <w:sdt>
      <w:sdtPr>
        <w:rPr>
          <w:rFonts w:ascii="宋体" w:hAnsi="宋体" w:eastAsia="宋体" w:cstheme="minorBidi"/>
          <w:sz w:val="21"/>
          <w:szCs w:val="22"/>
          <w:lang w:val="en-US" w:eastAsia="en-US" w:bidi="ar-SA"/>
        </w:rPr>
        <w:id w:val="147461899"/>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75246B88">
          <w:pPr>
            <w:spacing w:before="0" w:beforeLines="0" w:after="0" w:afterLines="0" w:line="240" w:lineRule="auto"/>
            <w:ind w:left="0" w:leftChars="0" w:right="0" w:rightChars="0" w:firstLine="0" w:firstLineChars="0"/>
            <w:jc w:val="left"/>
          </w:pPr>
          <w:r>
            <w:rPr>
              <w:rFonts w:hint="eastAsia" w:ascii="微软雅黑" w:hAnsi="微软雅黑" w:eastAsia="微软雅黑" w:cs="微软雅黑"/>
              <w:b/>
              <w:bCs/>
              <w:sz w:val="36"/>
              <w:szCs w:val="36"/>
            </w:rPr>
            <w:t>目录</w:t>
          </w:r>
        </w:p>
        <w:p w14:paraId="6DFA088C">
          <w:pPr>
            <w:pStyle w:val="28"/>
            <w:tabs>
              <w:tab w:val="right" w:leader="dot" w:pos="8634"/>
            </w:tabs>
          </w:pPr>
          <w:r>
            <w:fldChar w:fldCharType="begin"/>
          </w:r>
          <w:r>
            <w:instrText xml:space="preserve">TOC \o "1-3" \h \u </w:instrText>
          </w:r>
          <w:r>
            <w:fldChar w:fldCharType="separate"/>
          </w:r>
          <w:r>
            <w:fldChar w:fldCharType="begin"/>
          </w:r>
          <w:r>
            <w:instrText xml:space="preserve"> HYPERLINK \l _Toc1276 </w:instrText>
          </w:r>
          <w:r>
            <w:fldChar w:fldCharType="separate"/>
          </w:r>
          <w:r>
            <w:rPr>
              <w:rFonts w:hint="eastAsia" w:ascii="微软雅黑" w:hAnsi="微软雅黑" w:eastAsia="微软雅黑"/>
              <w:lang w:val="en-US" w:eastAsia="zh-CN"/>
            </w:rPr>
            <w:t>序言</w:t>
          </w:r>
          <w:r>
            <w:tab/>
          </w:r>
          <w:r>
            <w:fldChar w:fldCharType="begin"/>
          </w:r>
          <w:r>
            <w:instrText xml:space="preserve"> PAGEREF _Toc1276 \h </w:instrText>
          </w:r>
          <w:r>
            <w:fldChar w:fldCharType="separate"/>
          </w:r>
          <w:r>
            <w:t>5</w:t>
          </w:r>
          <w:r>
            <w:fldChar w:fldCharType="end"/>
          </w:r>
          <w:r>
            <w:fldChar w:fldCharType="end"/>
          </w:r>
        </w:p>
        <w:p w14:paraId="08401BB5">
          <w:pPr>
            <w:pStyle w:val="28"/>
            <w:tabs>
              <w:tab w:val="right" w:leader="dot" w:pos="8634"/>
            </w:tabs>
          </w:pPr>
          <w:r>
            <w:fldChar w:fldCharType="begin"/>
          </w:r>
          <w:r>
            <w:instrText xml:space="preserve"> HYPERLINK \l _Toc27040 </w:instrText>
          </w:r>
          <w:r>
            <w:fldChar w:fldCharType="separate"/>
          </w:r>
          <w:r>
            <w:rPr>
              <w:rFonts w:ascii="微软雅黑" w:hAnsi="微软雅黑" w:eastAsia="微软雅黑"/>
              <w:lang w:val="zh-CN" w:eastAsia="zh-CN"/>
            </w:rPr>
            <w:t>版本修订记录</w:t>
          </w:r>
          <w:r>
            <w:tab/>
          </w:r>
          <w:r>
            <w:fldChar w:fldCharType="begin"/>
          </w:r>
          <w:r>
            <w:instrText xml:space="preserve"> PAGEREF _Toc27040 \h </w:instrText>
          </w:r>
          <w:r>
            <w:fldChar w:fldCharType="separate"/>
          </w:r>
          <w:r>
            <w:t>6</w:t>
          </w:r>
          <w:r>
            <w:fldChar w:fldCharType="end"/>
          </w:r>
          <w:r>
            <w:fldChar w:fldCharType="end"/>
          </w:r>
        </w:p>
        <w:p w14:paraId="5A8091CF">
          <w:pPr>
            <w:pStyle w:val="28"/>
            <w:tabs>
              <w:tab w:val="right" w:leader="dot" w:pos="8634"/>
            </w:tabs>
          </w:pPr>
          <w:r>
            <w:fldChar w:fldCharType="begin"/>
          </w:r>
          <w:r>
            <w:instrText xml:space="preserve"> HYPERLINK \l _Toc21143 </w:instrText>
          </w:r>
          <w:r>
            <w:fldChar w:fldCharType="separate"/>
          </w:r>
          <w:r>
            <w:rPr>
              <w:rFonts w:ascii="微软雅黑" w:hAnsi="微软雅黑" w:eastAsia="微软雅黑"/>
              <w:lang w:val="zh-CN" w:eastAsia="zh-CN"/>
            </w:rPr>
            <w:t>第一章  总则</w:t>
          </w:r>
          <w:r>
            <w:tab/>
          </w:r>
          <w:r>
            <w:fldChar w:fldCharType="begin"/>
          </w:r>
          <w:r>
            <w:instrText xml:space="preserve"> PAGEREF _Toc21143 \h </w:instrText>
          </w:r>
          <w:r>
            <w:fldChar w:fldCharType="separate"/>
          </w:r>
          <w:r>
            <w:t>7</w:t>
          </w:r>
          <w:r>
            <w:fldChar w:fldCharType="end"/>
          </w:r>
          <w:r>
            <w:fldChar w:fldCharType="end"/>
          </w:r>
        </w:p>
        <w:p w14:paraId="2716DAC3">
          <w:pPr>
            <w:pStyle w:val="31"/>
            <w:tabs>
              <w:tab w:val="right" w:leader="dot" w:pos="8634"/>
            </w:tabs>
          </w:pPr>
          <w:r>
            <w:fldChar w:fldCharType="begin"/>
          </w:r>
          <w:r>
            <w:instrText xml:space="preserve"> HYPERLINK \l _Toc5246 </w:instrText>
          </w:r>
          <w:r>
            <w:fldChar w:fldCharType="separate"/>
          </w:r>
          <w:r>
            <w:rPr>
              <w:rFonts w:ascii="微软雅黑" w:hAnsi="微软雅黑" w:eastAsia="微软雅黑"/>
              <w:lang w:val="zh-CN" w:eastAsia="zh-CN"/>
            </w:rPr>
            <w:t>1.1  编制目的</w:t>
          </w:r>
          <w:r>
            <w:tab/>
          </w:r>
          <w:r>
            <w:fldChar w:fldCharType="begin"/>
          </w:r>
          <w:r>
            <w:instrText xml:space="preserve"> PAGEREF _Toc5246 \h </w:instrText>
          </w:r>
          <w:r>
            <w:fldChar w:fldCharType="separate"/>
          </w:r>
          <w:r>
            <w:t>7</w:t>
          </w:r>
          <w:r>
            <w:fldChar w:fldCharType="end"/>
          </w:r>
          <w:r>
            <w:fldChar w:fldCharType="end"/>
          </w:r>
        </w:p>
        <w:p w14:paraId="307A6C29">
          <w:pPr>
            <w:pStyle w:val="31"/>
            <w:tabs>
              <w:tab w:val="right" w:leader="dot" w:pos="8634"/>
            </w:tabs>
          </w:pPr>
          <w:r>
            <w:fldChar w:fldCharType="begin"/>
          </w:r>
          <w:r>
            <w:instrText xml:space="preserve"> HYPERLINK \l _Toc21526 </w:instrText>
          </w:r>
          <w:r>
            <w:fldChar w:fldCharType="separate"/>
          </w:r>
          <w:r>
            <w:rPr>
              <w:rFonts w:ascii="微软雅黑" w:hAnsi="微软雅黑" w:eastAsia="微软雅黑"/>
              <w:lang w:val="zh-CN" w:eastAsia="zh-CN"/>
            </w:rPr>
            <w:t>1.2  适用范围</w:t>
          </w:r>
          <w:r>
            <w:tab/>
          </w:r>
          <w:r>
            <w:fldChar w:fldCharType="begin"/>
          </w:r>
          <w:r>
            <w:instrText xml:space="preserve"> PAGEREF _Toc21526 \h </w:instrText>
          </w:r>
          <w:r>
            <w:fldChar w:fldCharType="separate"/>
          </w:r>
          <w:r>
            <w:t>7</w:t>
          </w:r>
          <w:r>
            <w:fldChar w:fldCharType="end"/>
          </w:r>
          <w:r>
            <w:fldChar w:fldCharType="end"/>
          </w:r>
        </w:p>
        <w:p w14:paraId="35F36946">
          <w:pPr>
            <w:pStyle w:val="31"/>
            <w:tabs>
              <w:tab w:val="right" w:leader="dot" w:pos="8634"/>
            </w:tabs>
          </w:pPr>
          <w:r>
            <w:fldChar w:fldCharType="begin"/>
          </w:r>
          <w:r>
            <w:instrText xml:space="preserve"> HYPERLINK \l _Toc21076 </w:instrText>
          </w:r>
          <w:r>
            <w:fldChar w:fldCharType="separate"/>
          </w:r>
          <w:r>
            <w:rPr>
              <w:rFonts w:ascii="微软雅黑" w:hAnsi="微软雅黑" w:eastAsia="微软雅黑"/>
              <w:lang w:val="zh-CN" w:eastAsia="zh-CN"/>
            </w:rPr>
            <w:t>1.3  编写原则</w:t>
          </w:r>
          <w:r>
            <w:tab/>
          </w:r>
          <w:r>
            <w:fldChar w:fldCharType="begin"/>
          </w:r>
          <w:r>
            <w:instrText xml:space="preserve"> PAGEREF _Toc21076 \h </w:instrText>
          </w:r>
          <w:r>
            <w:fldChar w:fldCharType="separate"/>
          </w:r>
          <w:r>
            <w:t>7</w:t>
          </w:r>
          <w:r>
            <w:fldChar w:fldCharType="end"/>
          </w:r>
          <w:r>
            <w:fldChar w:fldCharType="end"/>
          </w:r>
        </w:p>
        <w:p w14:paraId="47D5CA57">
          <w:pPr>
            <w:pStyle w:val="28"/>
            <w:tabs>
              <w:tab w:val="right" w:leader="dot" w:pos="8634"/>
            </w:tabs>
          </w:pPr>
          <w:r>
            <w:fldChar w:fldCharType="begin"/>
          </w:r>
          <w:r>
            <w:instrText xml:space="preserve"> HYPERLINK \l _Toc31164 </w:instrText>
          </w:r>
          <w:r>
            <w:fldChar w:fldCharType="separate"/>
          </w:r>
          <w:r>
            <w:rPr>
              <w:rFonts w:ascii="微软雅黑" w:hAnsi="微软雅黑" w:eastAsia="微软雅黑"/>
              <w:lang w:val="zh-CN" w:eastAsia="zh-CN"/>
            </w:rPr>
            <w:t>第二章  国别财税环境速览</w:t>
          </w:r>
          <w:r>
            <w:tab/>
          </w:r>
          <w:r>
            <w:fldChar w:fldCharType="begin"/>
          </w:r>
          <w:r>
            <w:instrText xml:space="preserve"> PAGEREF _Toc31164 \h </w:instrText>
          </w:r>
          <w:r>
            <w:fldChar w:fldCharType="separate"/>
          </w:r>
          <w:r>
            <w:t>8</w:t>
          </w:r>
          <w:r>
            <w:fldChar w:fldCharType="end"/>
          </w:r>
          <w:r>
            <w:fldChar w:fldCharType="end"/>
          </w:r>
        </w:p>
        <w:p w14:paraId="2F4B0CBC">
          <w:pPr>
            <w:pStyle w:val="31"/>
            <w:tabs>
              <w:tab w:val="right" w:leader="dot" w:pos="8634"/>
            </w:tabs>
          </w:pPr>
          <w:r>
            <w:fldChar w:fldCharType="begin"/>
          </w:r>
          <w:r>
            <w:instrText xml:space="preserve"> HYPERLINK \l _Toc20876 </w:instrText>
          </w:r>
          <w:r>
            <w:fldChar w:fldCharType="separate"/>
          </w:r>
          <w:r>
            <w:rPr>
              <w:rFonts w:ascii="微软雅黑" w:hAnsi="微软雅黑" w:eastAsia="微软雅黑"/>
              <w:lang w:val="zh-CN" w:eastAsia="zh-CN"/>
            </w:rPr>
            <w:t>2.1  国别基础信息</w:t>
          </w:r>
          <w:r>
            <w:tab/>
          </w:r>
          <w:r>
            <w:fldChar w:fldCharType="begin"/>
          </w:r>
          <w:r>
            <w:instrText xml:space="preserve"> PAGEREF _Toc20876 \h </w:instrText>
          </w:r>
          <w:r>
            <w:fldChar w:fldCharType="separate"/>
          </w:r>
          <w:r>
            <w:t>8</w:t>
          </w:r>
          <w:r>
            <w:fldChar w:fldCharType="end"/>
          </w:r>
          <w:r>
            <w:fldChar w:fldCharType="end"/>
          </w:r>
        </w:p>
        <w:p w14:paraId="4763BB3F">
          <w:pPr>
            <w:pStyle w:val="31"/>
            <w:tabs>
              <w:tab w:val="right" w:leader="dot" w:pos="8634"/>
            </w:tabs>
          </w:pPr>
          <w:r>
            <w:fldChar w:fldCharType="begin"/>
          </w:r>
          <w:r>
            <w:instrText xml:space="preserve"> HYPERLINK \l _Toc689 </w:instrText>
          </w:r>
          <w:r>
            <w:fldChar w:fldCharType="separate"/>
          </w:r>
          <w:r>
            <w:rPr>
              <w:rFonts w:ascii="微软雅黑" w:hAnsi="微软雅黑" w:eastAsia="微软雅黑"/>
              <w:lang w:val="zh-CN" w:eastAsia="zh-CN"/>
            </w:rPr>
            <w:t>2.2  核心税种速览表</w:t>
          </w:r>
          <w:r>
            <w:tab/>
          </w:r>
          <w:r>
            <w:fldChar w:fldCharType="begin"/>
          </w:r>
          <w:r>
            <w:instrText xml:space="preserve"> PAGEREF _Toc689 \h </w:instrText>
          </w:r>
          <w:r>
            <w:fldChar w:fldCharType="separate"/>
          </w:r>
          <w:r>
            <w:t>8</w:t>
          </w:r>
          <w:r>
            <w:fldChar w:fldCharType="end"/>
          </w:r>
          <w:r>
            <w:fldChar w:fldCharType="end"/>
          </w:r>
        </w:p>
        <w:p w14:paraId="64B14DF1">
          <w:pPr>
            <w:pStyle w:val="31"/>
            <w:tabs>
              <w:tab w:val="right" w:leader="dot" w:pos="8634"/>
            </w:tabs>
          </w:pPr>
          <w:r>
            <w:fldChar w:fldCharType="begin"/>
          </w:r>
          <w:r>
            <w:instrText xml:space="preserve"> HYPERLINK \l _Toc7540 </w:instrText>
          </w:r>
          <w:r>
            <w:fldChar w:fldCharType="separate"/>
          </w:r>
          <w:r>
            <w:rPr>
              <w:rFonts w:ascii="微软雅黑" w:hAnsi="微软雅黑" w:eastAsia="微软雅黑"/>
              <w:lang w:val="zh-CN" w:eastAsia="zh-CN"/>
            </w:rPr>
            <w:t>2.3  常设机构（PE）认定规则</w:t>
          </w:r>
          <w:r>
            <w:tab/>
          </w:r>
          <w:r>
            <w:fldChar w:fldCharType="begin"/>
          </w:r>
          <w:r>
            <w:instrText xml:space="preserve"> PAGEREF _Toc7540 \h </w:instrText>
          </w:r>
          <w:r>
            <w:fldChar w:fldCharType="separate"/>
          </w:r>
          <w:r>
            <w:t>9</w:t>
          </w:r>
          <w:r>
            <w:fldChar w:fldCharType="end"/>
          </w:r>
          <w:r>
            <w:fldChar w:fldCharType="end"/>
          </w:r>
        </w:p>
        <w:p w14:paraId="75137CC8">
          <w:pPr>
            <w:pStyle w:val="31"/>
            <w:tabs>
              <w:tab w:val="right" w:leader="dot" w:pos="8634"/>
            </w:tabs>
          </w:pPr>
          <w:r>
            <w:fldChar w:fldCharType="begin"/>
          </w:r>
          <w:r>
            <w:instrText xml:space="preserve"> HYPERLINK \l _Toc31433 </w:instrText>
          </w:r>
          <w:r>
            <w:fldChar w:fldCharType="separate"/>
          </w:r>
          <w:r>
            <w:rPr>
              <w:rFonts w:ascii="微软雅黑" w:hAnsi="微软雅黑" w:eastAsia="微软雅黑"/>
              <w:lang w:val="zh-CN" w:eastAsia="zh-CN"/>
            </w:rPr>
            <w:t>2.4  外汇管理政策速览</w:t>
          </w:r>
          <w:r>
            <w:tab/>
          </w:r>
          <w:r>
            <w:fldChar w:fldCharType="begin"/>
          </w:r>
          <w:r>
            <w:instrText xml:space="preserve"> PAGEREF _Toc31433 \h </w:instrText>
          </w:r>
          <w:r>
            <w:fldChar w:fldCharType="separate"/>
          </w:r>
          <w:r>
            <w:t>10</w:t>
          </w:r>
          <w:r>
            <w:fldChar w:fldCharType="end"/>
          </w:r>
          <w:r>
            <w:fldChar w:fldCharType="end"/>
          </w:r>
        </w:p>
        <w:p w14:paraId="240E4B37">
          <w:pPr>
            <w:pStyle w:val="31"/>
            <w:tabs>
              <w:tab w:val="right" w:leader="dot" w:pos="8634"/>
            </w:tabs>
          </w:pPr>
          <w:r>
            <w:fldChar w:fldCharType="begin"/>
          </w:r>
          <w:r>
            <w:instrText xml:space="preserve"> HYPERLINK \l _Toc29020 </w:instrText>
          </w:r>
          <w:r>
            <w:fldChar w:fldCharType="separate"/>
          </w:r>
          <w:r>
            <w:rPr>
              <w:rFonts w:ascii="微软雅黑" w:hAnsi="微软雅黑" w:eastAsia="微软雅黑"/>
              <w:lang w:val="zh-CN" w:eastAsia="zh-CN"/>
            </w:rPr>
            <w:t>2.5  公司已落地项目概览</w:t>
          </w:r>
          <w:r>
            <w:tab/>
          </w:r>
          <w:r>
            <w:fldChar w:fldCharType="begin"/>
          </w:r>
          <w:r>
            <w:instrText xml:space="preserve"> PAGEREF _Toc29020 \h </w:instrText>
          </w:r>
          <w:r>
            <w:fldChar w:fldCharType="separate"/>
          </w:r>
          <w:r>
            <w:t>11</w:t>
          </w:r>
          <w:r>
            <w:fldChar w:fldCharType="end"/>
          </w:r>
          <w:r>
            <w:fldChar w:fldCharType="end"/>
          </w:r>
        </w:p>
        <w:p w14:paraId="34EA9F8B">
          <w:pPr>
            <w:pStyle w:val="28"/>
            <w:tabs>
              <w:tab w:val="right" w:leader="dot" w:pos="8634"/>
            </w:tabs>
          </w:pPr>
          <w:r>
            <w:fldChar w:fldCharType="begin"/>
          </w:r>
          <w:r>
            <w:instrText xml:space="preserve"> HYPERLINK \l _Toc23452 </w:instrText>
          </w:r>
          <w:r>
            <w:fldChar w:fldCharType="separate"/>
          </w:r>
          <w:r>
            <w:rPr>
              <w:rFonts w:ascii="微软雅黑" w:hAnsi="微软雅黑" w:eastAsia="微软雅黑"/>
              <w:lang w:val="zh-CN" w:eastAsia="zh-CN"/>
            </w:rPr>
            <w:t>第三章  国别基础概况</w:t>
          </w:r>
          <w:r>
            <w:tab/>
          </w:r>
          <w:r>
            <w:fldChar w:fldCharType="begin"/>
          </w:r>
          <w:r>
            <w:instrText xml:space="preserve"> PAGEREF _Toc23452 \h </w:instrText>
          </w:r>
          <w:r>
            <w:fldChar w:fldCharType="separate"/>
          </w:r>
          <w:r>
            <w:t>12</w:t>
          </w:r>
          <w:r>
            <w:fldChar w:fldCharType="end"/>
          </w:r>
          <w:r>
            <w:fldChar w:fldCharType="end"/>
          </w:r>
        </w:p>
        <w:p w14:paraId="2685A1CE">
          <w:pPr>
            <w:pStyle w:val="31"/>
            <w:tabs>
              <w:tab w:val="right" w:leader="dot" w:pos="8634"/>
            </w:tabs>
          </w:pPr>
          <w:r>
            <w:fldChar w:fldCharType="begin"/>
          </w:r>
          <w:r>
            <w:instrText xml:space="preserve"> HYPERLINK \l _Toc1509 </w:instrText>
          </w:r>
          <w:r>
            <w:fldChar w:fldCharType="separate"/>
          </w:r>
          <w:r>
            <w:rPr>
              <w:rFonts w:ascii="微软雅黑" w:hAnsi="微软雅黑" w:eastAsia="微软雅黑"/>
              <w:lang w:val="zh-CN" w:eastAsia="zh-CN"/>
            </w:rPr>
            <w:t>3.1  地缘、人文、法律与营商环境</w:t>
          </w:r>
          <w:r>
            <w:tab/>
          </w:r>
          <w:r>
            <w:fldChar w:fldCharType="begin"/>
          </w:r>
          <w:r>
            <w:instrText xml:space="preserve"> PAGEREF _Toc1509 \h </w:instrText>
          </w:r>
          <w:r>
            <w:fldChar w:fldCharType="separate"/>
          </w:r>
          <w:r>
            <w:t>12</w:t>
          </w:r>
          <w:r>
            <w:fldChar w:fldCharType="end"/>
          </w:r>
          <w:r>
            <w:fldChar w:fldCharType="end"/>
          </w:r>
        </w:p>
        <w:p w14:paraId="2F8AEDA0">
          <w:pPr>
            <w:pStyle w:val="25"/>
            <w:tabs>
              <w:tab w:val="right" w:leader="dot" w:pos="8634"/>
            </w:tabs>
          </w:pPr>
          <w:r>
            <w:fldChar w:fldCharType="begin"/>
          </w:r>
          <w:r>
            <w:instrText xml:space="preserve"> HYPERLINK \l _Toc4897 </w:instrText>
          </w:r>
          <w:r>
            <w:fldChar w:fldCharType="separate"/>
          </w:r>
          <w:r>
            <w:rPr>
              <w:rFonts w:hint="eastAsia" w:ascii="微软雅黑" w:hAnsi="微软雅黑" w:eastAsia="微软雅黑"/>
              <w:lang w:val="en-US" w:eastAsia="zh-CN"/>
            </w:rPr>
            <w:t>3</w:t>
          </w:r>
          <w:r>
            <w:rPr>
              <w:rFonts w:ascii="微软雅黑" w:hAnsi="微软雅黑" w:eastAsia="微软雅黑"/>
              <w:lang w:val="zh-CN" w:eastAsia="zh-CN"/>
            </w:rPr>
            <w:t xml:space="preserve">.1.1  </w:t>
          </w:r>
          <w:r>
            <w:rPr>
              <w:rFonts w:hint="eastAsia" w:ascii="微软雅黑" w:hAnsi="微软雅黑" w:eastAsia="微软雅黑"/>
              <w:lang w:val="zh-CN" w:eastAsia="zh-CN"/>
            </w:rPr>
            <w:t>地理与政治环境</w:t>
          </w:r>
          <w:r>
            <w:tab/>
          </w:r>
          <w:r>
            <w:fldChar w:fldCharType="begin"/>
          </w:r>
          <w:r>
            <w:instrText xml:space="preserve"> PAGEREF _Toc4897 \h </w:instrText>
          </w:r>
          <w:r>
            <w:fldChar w:fldCharType="separate"/>
          </w:r>
          <w:r>
            <w:t>12</w:t>
          </w:r>
          <w:r>
            <w:fldChar w:fldCharType="end"/>
          </w:r>
          <w:r>
            <w:fldChar w:fldCharType="end"/>
          </w:r>
        </w:p>
        <w:p w14:paraId="3AB213C0">
          <w:pPr>
            <w:pStyle w:val="25"/>
            <w:tabs>
              <w:tab w:val="right" w:leader="dot" w:pos="8634"/>
            </w:tabs>
          </w:pPr>
          <w:r>
            <w:fldChar w:fldCharType="begin"/>
          </w:r>
          <w:r>
            <w:instrText xml:space="preserve"> HYPERLINK \l _Toc12692 </w:instrText>
          </w:r>
          <w:r>
            <w:fldChar w:fldCharType="separate"/>
          </w:r>
          <w:r>
            <w:rPr>
              <w:rFonts w:hint="eastAsia" w:ascii="微软雅黑" w:hAnsi="微软雅黑" w:eastAsia="微软雅黑"/>
              <w:lang w:val="en-US" w:eastAsia="zh-CN"/>
            </w:rPr>
            <w:t>3</w:t>
          </w:r>
          <w:r>
            <w:rPr>
              <w:rFonts w:ascii="微软雅黑" w:hAnsi="微软雅黑" w:eastAsia="微软雅黑"/>
              <w:lang w:val="zh-CN" w:eastAsia="zh-CN"/>
            </w:rPr>
            <w:t>.1.</w:t>
          </w:r>
          <w:r>
            <w:rPr>
              <w:rFonts w:hint="eastAsia" w:ascii="微软雅黑" w:hAnsi="微软雅黑" w:eastAsia="微软雅黑"/>
              <w:lang w:val="en-US" w:eastAsia="zh-CN"/>
            </w:rPr>
            <w:t>2</w:t>
          </w:r>
          <w:r>
            <w:rPr>
              <w:rFonts w:ascii="微软雅黑" w:hAnsi="微软雅黑" w:eastAsia="微软雅黑"/>
              <w:lang w:val="zh-CN" w:eastAsia="zh-CN"/>
            </w:rPr>
            <w:t xml:space="preserve">  </w:t>
          </w:r>
          <w:r>
            <w:rPr>
              <w:rFonts w:hint="eastAsia" w:ascii="微软雅黑" w:hAnsi="微软雅黑" w:eastAsia="微软雅黑"/>
              <w:lang w:val="zh-CN" w:eastAsia="zh-CN"/>
            </w:rPr>
            <w:t>经济概况</w:t>
          </w:r>
          <w:r>
            <w:tab/>
          </w:r>
          <w:r>
            <w:fldChar w:fldCharType="begin"/>
          </w:r>
          <w:r>
            <w:instrText xml:space="preserve"> PAGEREF _Toc12692 \h </w:instrText>
          </w:r>
          <w:r>
            <w:fldChar w:fldCharType="separate"/>
          </w:r>
          <w:r>
            <w:t>13</w:t>
          </w:r>
          <w:r>
            <w:fldChar w:fldCharType="end"/>
          </w:r>
          <w:r>
            <w:fldChar w:fldCharType="end"/>
          </w:r>
        </w:p>
        <w:p w14:paraId="2D88D03B">
          <w:pPr>
            <w:pStyle w:val="25"/>
            <w:tabs>
              <w:tab w:val="right" w:leader="dot" w:pos="8634"/>
            </w:tabs>
          </w:pPr>
          <w:r>
            <w:fldChar w:fldCharType="begin"/>
          </w:r>
          <w:r>
            <w:instrText xml:space="preserve"> HYPERLINK \l _Toc1140 </w:instrText>
          </w:r>
          <w:r>
            <w:fldChar w:fldCharType="separate"/>
          </w:r>
          <w:r>
            <w:rPr>
              <w:rFonts w:hint="eastAsia" w:ascii="微软雅黑" w:hAnsi="微软雅黑" w:eastAsia="微软雅黑"/>
              <w:lang w:val="en-US" w:eastAsia="zh-CN"/>
            </w:rPr>
            <w:t>3</w:t>
          </w:r>
          <w:r>
            <w:rPr>
              <w:rFonts w:ascii="微软雅黑" w:hAnsi="微软雅黑" w:eastAsia="微软雅黑"/>
              <w:lang w:val="zh-CN" w:eastAsia="zh-CN"/>
            </w:rPr>
            <w:t>.1.</w:t>
          </w:r>
          <w:r>
            <w:rPr>
              <w:rFonts w:hint="eastAsia" w:ascii="微软雅黑" w:hAnsi="微软雅黑" w:eastAsia="微软雅黑"/>
              <w:lang w:val="en-US" w:eastAsia="zh-CN"/>
            </w:rPr>
            <w:t>3</w:t>
          </w:r>
          <w:r>
            <w:rPr>
              <w:rFonts w:ascii="微软雅黑" w:hAnsi="微软雅黑" w:eastAsia="微软雅黑"/>
              <w:lang w:val="zh-CN" w:eastAsia="zh-CN"/>
            </w:rPr>
            <w:t xml:space="preserve">  </w:t>
          </w:r>
          <w:r>
            <w:rPr>
              <w:rFonts w:hint="eastAsia" w:ascii="微软雅黑" w:hAnsi="微软雅黑" w:eastAsia="微软雅黑"/>
              <w:lang w:val="zh-CN" w:eastAsia="zh-CN"/>
            </w:rPr>
            <w:t>法律与营商环境</w:t>
          </w:r>
          <w:r>
            <w:tab/>
          </w:r>
          <w:r>
            <w:fldChar w:fldCharType="begin"/>
          </w:r>
          <w:r>
            <w:instrText xml:space="preserve"> PAGEREF _Toc1140 \h </w:instrText>
          </w:r>
          <w:r>
            <w:fldChar w:fldCharType="separate"/>
          </w:r>
          <w:r>
            <w:t>14</w:t>
          </w:r>
          <w:r>
            <w:fldChar w:fldCharType="end"/>
          </w:r>
          <w:r>
            <w:fldChar w:fldCharType="end"/>
          </w:r>
        </w:p>
        <w:p w14:paraId="35797E06">
          <w:pPr>
            <w:pStyle w:val="25"/>
            <w:tabs>
              <w:tab w:val="right" w:leader="dot" w:pos="8634"/>
            </w:tabs>
          </w:pPr>
          <w:r>
            <w:fldChar w:fldCharType="begin"/>
          </w:r>
          <w:r>
            <w:instrText xml:space="preserve"> HYPERLINK \l _Toc16160 </w:instrText>
          </w:r>
          <w:r>
            <w:fldChar w:fldCharType="separate"/>
          </w:r>
          <w:r>
            <w:rPr>
              <w:rFonts w:hint="eastAsia" w:ascii="微软雅黑" w:hAnsi="微软雅黑" w:eastAsia="微软雅黑"/>
              <w:lang w:val="en-US" w:eastAsia="zh-CN"/>
            </w:rPr>
            <w:t>3</w:t>
          </w:r>
          <w:r>
            <w:rPr>
              <w:rFonts w:ascii="微软雅黑" w:hAnsi="微软雅黑" w:eastAsia="微软雅黑"/>
              <w:lang w:val="zh-CN" w:eastAsia="zh-CN"/>
            </w:rPr>
            <w:t>.1.</w:t>
          </w:r>
          <w:r>
            <w:rPr>
              <w:rFonts w:hint="eastAsia" w:ascii="微软雅黑" w:hAnsi="微软雅黑" w:eastAsia="微软雅黑"/>
              <w:lang w:val="en-US" w:eastAsia="zh-CN"/>
            </w:rPr>
            <w:t>4</w:t>
          </w:r>
          <w:r>
            <w:rPr>
              <w:rFonts w:ascii="微软雅黑" w:hAnsi="微软雅黑" w:eastAsia="微软雅黑"/>
              <w:lang w:val="zh-CN" w:eastAsia="zh-CN"/>
            </w:rPr>
            <w:t xml:space="preserve">  </w:t>
          </w:r>
          <w:r>
            <w:rPr>
              <w:rFonts w:hint="eastAsia" w:ascii="微软雅黑" w:hAnsi="微软雅黑" w:eastAsia="微软雅黑"/>
              <w:lang w:val="zh-CN" w:eastAsia="zh-CN"/>
            </w:rPr>
            <w:t>文化习俗影响</w:t>
          </w:r>
          <w:r>
            <w:tab/>
          </w:r>
          <w:r>
            <w:fldChar w:fldCharType="begin"/>
          </w:r>
          <w:r>
            <w:instrText xml:space="preserve"> PAGEREF _Toc16160 \h </w:instrText>
          </w:r>
          <w:r>
            <w:fldChar w:fldCharType="separate"/>
          </w:r>
          <w:r>
            <w:t>16</w:t>
          </w:r>
          <w:r>
            <w:fldChar w:fldCharType="end"/>
          </w:r>
          <w:r>
            <w:fldChar w:fldCharType="end"/>
          </w:r>
        </w:p>
        <w:p w14:paraId="04804699">
          <w:pPr>
            <w:pStyle w:val="31"/>
            <w:tabs>
              <w:tab w:val="right" w:leader="dot" w:pos="8634"/>
            </w:tabs>
          </w:pPr>
          <w:r>
            <w:fldChar w:fldCharType="begin"/>
          </w:r>
          <w:r>
            <w:instrText xml:space="preserve"> HYPERLINK \l _Toc31592 </w:instrText>
          </w:r>
          <w:r>
            <w:fldChar w:fldCharType="separate"/>
          </w:r>
          <w:r>
            <w:rPr>
              <w:rFonts w:ascii="微软雅黑" w:hAnsi="微软雅黑" w:eastAsia="微软雅黑"/>
              <w:lang w:val="zh-CN" w:eastAsia="zh-CN"/>
            </w:rPr>
            <w:t>3.2  中资企业落地现状</w:t>
          </w:r>
          <w:r>
            <w:tab/>
          </w:r>
          <w:r>
            <w:fldChar w:fldCharType="begin"/>
          </w:r>
          <w:r>
            <w:instrText xml:space="preserve"> PAGEREF _Toc31592 \h </w:instrText>
          </w:r>
          <w:r>
            <w:fldChar w:fldCharType="separate"/>
          </w:r>
          <w:r>
            <w:t>16</w:t>
          </w:r>
          <w:r>
            <w:fldChar w:fldCharType="end"/>
          </w:r>
          <w:r>
            <w:fldChar w:fldCharType="end"/>
          </w:r>
        </w:p>
        <w:p w14:paraId="6F5F0820">
          <w:pPr>
            <w:pStyle w:val="25"/>
            <w:tabs>
              <w:tab w:val="right" w:leader="dot" w:pos="8634"/>
            </w:tabs>
          </w:pPr>
          <w:r>
            <w:fldChar w:fldCharType="begin"/>
          </w:r>
          <w:r>
            <w:instrText xml:space="preserve"> HYPERLINK \l _Toc12057 </w:instrText>
          </w:r>
          <w:r>
            <w:fldChar w:fldCharType="separate"/>
          </w:r>
          <w:r>
            <w:rPr>
              <w:rFonts w:hint="eastAsia" w:ascii="微软雅黑" w:hAnsi="微软雅黑" w:eastAsia="微软雅黑"/>
              <w:lang w:val="en-US" w:eastAsia="zh-CN"/>
            </w:rPr>
            <w:t>3</w:t>
          </w:r>
          <w:r>
            <w:rPr>
              <w:rFonts w:ascii="微软雅黑" w:hAnsi="微软雅黑" w:eastAsia="微软雅黑"/>
              <w:lang w:val="zh-CN" w:eastAsia="zh-CN"/>
            </w:rPr>
            <w:t>.</w:t>
          </w:r>
          <w:r>
            <w:rPr>
              <w:rFonts w:hint="eastAsia" w:ascii="微软雅黑" w:hAnsi="微软雅黑" w:eastAsia="微软雅黑"/>
              <w:lang w:val="en-US" w:eastAsia="zh-CN"/>
            </w:rPr>
            <w:t>2</w:t>
          </w:r>
          <w:r>
            <w:rPr>
              <w:rFonts w:ascii="微软雅黑" w:hAnsi="微软雅黑" w:eastAsia="微软雅黑"/>
              <w:lang w:val="zh-CN" w:eastAsia="zh-CN"/>
            </w:rPr>
            <w:t>.</w:t>
          </w:r>
          <w:r>
            <w:rPr>
              <w:rFonts w:hint="eastAsia" w:ascii="微软雅黑" w:hAnsi="微软雅黑" w:eastAsia="微软雅黑"/>
              <w:lang w:val="en-US" w:eastAsia="zh-CN"/>
            </w:rPr>
            <w:t>1</w:t>
          </w:r>
          <w:r>
            <w:rPr>
              <w:rFonts w:ascii="微软雅黑" w:hAnsi="微软雅黑" w:eastAsia="微软雅黑"/>
              <w:lang w:val="zh-CN" w:eastAsia="zh-CN"/>
            </w:rPr>
            <w:t xml:space="preserve">  </w:t>
          </w:r>
          <w:r>
            <w:rPr>
              <w:rFonts w:hint="eastAsia" w:ascii="微软雅黑" w:hAnsi="微软雅黑" w:eastAsia="微软雅黑"/>
              <w:lang w:val="zh-CN" w:eastAsia="zh-CN"/>
            </w:rPr>
            <w:t>中资企业</w:t>
          </w:r>
          <w:r>
            <w:rPr>
              <w:rFonts w:hint="eastAsia" w:ascii="微软雅黑" w:hAnsi="微软雅黑" w:eastAsia="微软雅黑"/>
              <w:lang w:val="en-US" w:eastAsia="zh-CN"/>
            </w:rPr>
            <w:t>在阿联酋经营情况</w:t>
          </w:r>
          <w:r>
            <w:tab/>
          </w:r>
          <w:r>
            <w:fldChar w:fldCharType="begin"/>
          </w:r>
          <w:r>
            <w:instrText xml:space="preserve"> PAGEREF _Toc12057 \h </w:instrText>
          </w:r>
          <w:r>
            <w:fldChar w:fldCharType="separate"/>
          </w:r>
          <w:r>
            <w:t>16</w:t>
          </w:r>
          <w:r>
            <w:fldChar w:fldCharType="end"/>
          </w:r>
          <w:r>
            <w:fldChar w:fldCharType="end"/>
          </w:r>
        </w:p>
        <w:p w14:paraId="2C9B98BD">
          <w:pPr>
            <w:pStyle w:val="25"/>
            <w:tabs>
              <w:tab w:val="right" w:leader="dot" w:pos="8634"/>
            </w:tabs>
          </w:pPr>
          <w:r>
            <w:fldChar w:fldCharType="begin"/>
          </w:r>
          <w:r>
            <w:instrText xml:space="preserve"> HYPERLINK \l _Toc4632 </w:instrText>
          </w:r>
          <w:r>
            <w:fldChar w:fldCharType="separate"/>
          </w:r>
          <w:r>
            <w:rPr>
              <w:rFonts w:hint="eastAsia" w:ascii="微软雅黑" w:hAnsi="微软雅黑" w:eastAsia="微软雅黑"/>
              <w:highlight w:val="none"/>
              <w:lang w:val="en-US" w:eastAsia="zh-CN"/>
            </w:rPr>
            <w:t>3</w:t>
          </w:r>
          <w:r>
            <w:rPr>
              <w:rFonts w:ascii="微软雅黑" w:hAnsi="微软雅黑" w:eastAsia="微软雅黑"/>
              <w:highlight w:val="none"/>
              <w:lang w:val="zh-CN" w:eastAsia="zh-CN"/>
            </w:rPr>
            <w:t>.</w:t>
          </w:r>
          <w:r>
            <w:rPr>
              <w:rFonts w:hint="eastAsia" w:ascii="微软雅黑" w:hAnsi="微软雅黑" w:eastAsia="微软雅黑"/>
              <w:highlight w:val="none"/>
              <w:lang w:val="en-US" w:eastAsia="zh-CN"/>
            </w:rPr>
            <w:t>2</w:t>
          </w:r>
          <w:r>
            <w:rPr>
              <w:rFonts w:ascii="微软雅黑" w:hAnsi="微软雅黑" w:eastAsia="微软雅黑"/>
              <w:highlight w:val="none"/>
              <w:lang w:val="zh-CN" w:eastAsia="zh-CN"/>
            </w:rPr>
            <w:t>.</w:t>
          </w:r>
          <w:r>
            <w:rPr>
              <w:rFonts w:hint="eastAsia" w:ascii="微软雅黑" w:hAnsi="微软雅黑" w:eastAsia="微软雅黑"/>
              <w:highlight w:val="none"/>
              <w:lang w:val="en-US" w:eastAsia="zh-CN"/>
            </w:rPr>
            <w:t>2</w:t>
          </w:r>
          <w:r>
            <w:rPr>
              <w:rFonts w:ascii="微软雅黑" w:hAnsi="微软雅黑" w:eastAsia="微软雅黑"/>
              <w:highlight w:val="none"/>
              <w:lang w:val="zh-CN" w:eastAsia="zh-CN"/>
            </w:rPr>
            <w:t xml:space="preserve">  </w:t>
          </w:r>
          <w:r>
            <w:rPr>
              <w:rFonts w:hint="eastAsia" w:ascii="微软雅黑" w:hAnsi="微软雅黑" w:eastAsia="微软雅黑"/>
              <w:highlight w:val="none"/>
              <w:lang w:val="en-US" w:eastAsia="zh-CN"/>
            </w:rPr>
            <w:t>中国海诚各经营单位在阿联酋的业务开展情况</w:t>
          </w:r>
          <w:r>
            <w:tab/>
          </w:r>
          <w:r>
            <w:fldChar w:fldCharType="begin"/>
          </w:r>
          <w:r>
            <w:instrText xml:space="preserve"> PAGEREF _Toc4632 \h </w:instrText>
          </w:r>
          <w:r>
            <w:fldChar w:fldCharType="separate"/>
          </w:r>
          <w:r>
            <w:t>18</w:t>
          </w:r>
          <w:r>
            <w:fldChar w:fldCharType="end"/>
          </w:r>
          <w:r>
            <w:fldChar w:fldCharType="end"/>
          </w:r>
        </w:p>
        <w:p w14:paraId="044D8D18">
          <w:pPr>
            <w:pStyle w:val="25"/>
            <w:tabs>
              <w:tab w:val="right" w:leader="dot" w:pos="8634"/>
            </w:tabs>
          </w:pPr>
          <w:r>
            <w:fldChar w:fldCharType="begin"/>
          </w:r>
          <w:r>
            <w:instrText xml:space="preserve"> HYPERLINK \l _Toc2008 </w:instrText>
          </w:r>
          <w:r>
            <w:fldChar w:fldCharType="separate"/>
          </w:r>
          <w:r>
            <w:rPr>
              <w:rFonts w:hint="eastAsia" w:ascii="微软雅黑" w:hAnsi="微软雅黑" w:eastAsia="微软雅黑"/>
              <w:lang w:val="en-US" w:eastAsia="zh-CN"/>
            </w:rPr>
            <w:t>3</w:t>
          </w:r>
          <w:r>
            <w:rPr>
              <w:rFonts w:ascii="微软雅黑" w:hAnsi="微软雅黑" w:eastAsia="微软雅黑"/>
              <w:lang w:val="zh-CN" w:eastAsia="zh-CN"/>
            </w:rPr>
            <w:t>.</w:t>
          </w:r>
          <w:r>
            <w:rPr>
              <w:rFonts w:hint="eastAsia" w:ascii="微软雅黑" w:hAnsi="微软雅黑" w:eastAsia="微软雅黑"/>
              <w:lang w:val="en-US" w:eastAsia="zh-CN"/>
            </w:rPr>
            <w:t>2</w:t>
          </w:r>
          <w:r>
            <w:rPr>
              <w:rFonts w:ascii="微软雅黑" w:hAnsi="微软雅黑" w:eastAsia="微软雅黑"/>
              <w:lang w:val="zh-CN" w:eastAsia="zh-CN"/>
            </w:rPr>
            <w:t>.</w:t>
          </w:r>
          <w:r>
            <w:rPr>
              <w:rFonts w:hint="eastAsia" w:ascii="微软雅黑" w:hAnsi="微软雅黑" w:eastAsia="微软雅黑"/>
              <w:lang w:val="en-US" w:eastAsia="zh-CN"/>
            </w:rPr>
            <w:t>3</w:t>
          </w:r>
          <w:r>
            <w:rPr>
              <w:rFonts w:ascii="微软雅黑" w:hAnsi="微软雅黑" w:eastAsia="微软雅黑"/>
              <w:lang w:val="zh-CN" w:eastAsia="zh-CN"/>
            </w:rPr>
            <w:t xml:space="preserve">  </w:t>
          </w:r>
          <w:r>
            <w:rPr>
              <w:rFonts w:hint="eastAsia" w:ascii="微软雅黑" w:hAnsi="微软雅黑" w:eastAsia="微软雅黑"/>
              <w:lang w:val="zh-CN" w:eastAsia="zh-CN"/>
            </w:rPr>
            <w:t>与当地中资企业协会联系情况</w:t>
          </w:r>
          <w:r>
            <w:tab/>
          </w:r>
          <w:r>
            <w:fldChar w:fldCharType="begin"/>
          </w:r>
          <w:r>
            <w:instrText xml:space="preserve"> PAGEREF _Toc2008 \h </w:instrText>
          </w:r>
          <w:r>
            <w:fldChar w:fldCharType="separate"/>
          </w:r>
          <w:r>
            <w:t>19</w:t>
          </w:r>
          <w:r>
            <w:fldChar w:fldCharType="end"/>
          </w:r>
          <w:r>
            <w:fldChar w:fldCharType="end"/>
          </w:r>
        </w:p>
        <w:p w14:paraId="388AFA8E">
          <w:pPr>
            <w:pStyle w:val="31"/>
            <w:tabs>
              <w:tab w:val="right" w:leader="dot" w:pos="8634"/>
            </w:tabs>
          </w:pPr>
          <w:r>
            <w:fldChar w:fldCharType="begin"/>
          </w:r>
          <w:r>
            <w:instrText xml:space="preserve"> HYPERLINK \l _Toc16277 </w:instrText>
          </w:r>
          <w:r>
            <w:fldChar w:fldCharType="separate"/>
          </w:r>
          <w:r>
            <w:rPr>
              <w:rFonts w:ascii="微软雅黑" w:hAnsi="微软雅黑" w:eastAsia="微软雅黑"/>
              <w:lang w:val="zh-CN" w:eastAsia="zh-CN"/>
            </w:rPr>
            <w:t>3.3  通用风险提示</w:t>
          </w:r>
          <w:r>
            <w:tab/>
          </w:r>
          <w:r>
            <w:fldChar w:fldCharType="begin"/>
          </w:r>
          <w:r>
            <w:instrText xml:space="preserve"> PAGEREF _Toc16277 \h </w:instrText>
          </w:r>
          <w:r>
            <w:fldChar w:fldCharType="separate"/>
          </w:r>
          <w:r>
            <w:t>19</w:t>
          </w:r>
          <w:r>
            <w:fldChar w:fldCharType="end"/>
          </w:r>
          <w:r>
            <w:fldChar w:fldCharType="end"/>
          </w:r>
        </w:p>
        <w:p w14:paraId="7838310E">
          <w:pPr>
            <w:pStyle w:val="25"/>
            <w:tabs>
              <w:tab w:val="right" w:leader="dot" w:pos="8634"/>
            </w:tabs>
          </w:pPr>
          <w:r>
            <w:fldChar w:fldCharType="begin"/>
          </w:r>
          <w:r>
            <w:instrText xml:space="preserve"> HYPERLINK \l _Toc11733 </w:instrText>
          </w:r>
          <w:r>
            <w:fldChar w:fldCharType="separate"/>
          </w:r>
          <w:r>
            <w:rPr>
              <w:rFonts w:hint="eastAsia" w:ascii="微软雅黑" w:hAnsi="微软雅黑" w:eastAsia="微软雅黑"/>
              <w:lang w:val="en-US" w:eastAsia="zh-CN"/>
            </w:rPr>
            <w:t>3</w:t>
          </w:r>
          <w:r>
            <w:rPr>
              <w:rFonts w:ascii="微软雅黑" w:hAnsi="微软雅黑" w:eastAsia="微软雅黑"/>
              <w:lang w:val="zh-CN" w:eastAsia="zh-CN"/>
            </w:rPr>
            <w:t>.</w:t>
          </w:r>
          <w:r>
            <w:rPr>
              <w:rFonts w:hint="eastAsia" w:ascii="微软雅黑" w:hAnsi="微软雅黑" w:eastAsia="微软雅黑"/>
              <w:lang w:val="en-US" w:eastAsia="zh-CN"/>
            </w:rPr>
            <w:t>3</w:t>
          </w:r>
          <w:r>
            <w:rPr>
              <w:rFonts w:ascii="微软雅黑" w:hAnsi="微软雅黑" w:eastAsia="微软雅黑"/>
              <w:lang w:val="zh-CN" w:eastAsia="zh-CN"/>
            </w:rPr>
            <w:t>.</w:t>
          </w:r>
          <w:r>
            <w:rPr>
              <w:rFonts w:hint="eastAsia" w:ascii="微软雅黑" w:hAnsi="微软雅黑" w:eastAsia="微软雅黑"/>
              <w:lang w:val="en-US" w:eastAsia="zh-CN"/>
            </w:rPr>
            <w:t>1</w:t>
          </w:r>
          <w:r>
            <w:rPr>
              <w:rFonts w:ascii="微软雅黑" w:hAnsi="微软雅黑" w:eastAsia="微软雅黑"/>
              <w:lang w:val="zh-CN" w:eastAsia="zh-CN"/>
            </w:rPr>
            <w:t xml:space="preserve">  </w:t>
          </w:r>
          <w:r>
            <w:rPr>
              <w:rFonts w:hint="eastAsia" w:ascii="微软雅黑" w:hAnsi="微软雅黑" w:eastAsia="微软雅黑"/>
              <w:lang w:val="zh-CN" w:eastAsia="zh-CN"/>
            </w:rPr>
            <w:t>汇率风险</w:t>
          </w:r>
          <w:r>
            <w:tab/>
          </w:r>
          <w:r>
            <w:fldChar w:fldCharType="begin"/>
          </w:r>
          <w:r>
            <w:instrText xml:space="preserve"> PAGEREF _Toc11733 \h </w:instrText>
          </w:r>
          <w:r>
            <w:fldChar w:fldCharType="separate"/>
          </w:r>
          <w:r>
            <w:t>19</w:t>
          </w:r>
          <w:r>
            <w:fldChar w:fldCharType="end"/>
          </w:r>
          <w:r>
            <w:fldChar w:fldCharType="end"/>
          </w:r>
        </w:p>
        <w:p w14:paraId="196ADE02">
          <w:pPr>
            <w:pStyle w:val="25"/>
            <w:tabs>
              <w:tab w:val="right" w:leader="dot" w:pos="8634"/>
            </w:tabs>
          </w:pPr>
          <w:r>
            <w:fldChar w:fldCharType="begin"/>
          </w:r>
          <w:r>
            <w:instrText xml:space="preserve"> HYPERLINK \l _Toc16733 </w:instrText>
          </w:r>
          <w:r>
            <w:fldChar w:fldCharType="separate"/>
          </w:r>
          <w:r>
            <w:rPr>
              <w:rFonts w:hint="eastAsia" w:ascii="微软雅黑" w:hAnsi="微软雅黑" w:eastAsia="微软雅黑"/>
              <w:lang w:val="en-US" w:eastAsia="zh-CN"/>
            </w:rPr>
            <w:t>3</w:t>
          </w:r>
          <w:r>
            <w:rPr>
              <w:rFonts w:ascii="微软雅黑" w:hAnsi="微软雅黑" w:eastAsia="微软雅黑"/>
              <w:lang w:val="zh-CN" w:eastAsia="zh-CN"/>
            </w:rPr>
            <w:t>.</w:t>
          </w:r>
          <w:r>
            <w:rPr>
              <w:rFonts w:hint="eastAsia" w:ascii="微软雅黑" w:hAnsi="微软雅黑" w:eastAsia="微软雅黑"/>
              <w:lang w:val="en-US" w:eastAsia="zh-CN"/>
            </w:rPr>
            <w:t>3</w:t>
          </w:r>
          <w:r>
            <w:rPr>
              <w:rFonts w:ascii="微软雅黑" w:hAnsi="微软雅黑" w:eastAsia="微软雅黑"/>
              <w:lang w:val="zh-CN" w:eastAsia="zh-CN"/>
            </w:rPr>
            <w:t>.</w:t>
          </w:r>
          <w:r>
            <w:rPr>
              <w:rFonts w:hint="eastAsia" w:ascii="微软雅黑" w:hAnsi="微软雅黑" w:eastAsia="微软雅黑"/>
              <w:lang w:val="en-US" w:eastAsia="zh-CN"/>
            </w:rPr>
            <w:t>2</w:t>
          </w:r>
          <w:r>
            <w:rPr>
              <w:rFonts w:ascii="微软雅黑" w:hAnsi="微软雅黑" w:eastAsia="微软雅黑"/>
              <w:lang w:val="zh-CN" w:eastAsia="zh-CN"/>
            </w:rPr>
            <w:t xml:space="preserve">  </w:t>
          </w:r>
          <w:r>
            <w:rPr>
              <w:rFonts w:hint="eastAsia" w:ascii="微软雅黑" w:hAnsi="微软雅黑" w:eastAsia="微软雅黑"/>
              <w:lang w:val="zh-CN" w:eastAsia="zh-CN"/>
            </w:rPr>
            <w:t>政治风险</w:t>
          </w:r>
          <w:r>
            <w:tab/>
          </w:r>
          <w:r>
            <w:fldChar w:fldCharType="begin"/>
          </w:r>
          <w:r>
            <w:instrText xml:space="preserve"> PAGEREF _Toc16733 \h </w:instrText>
          </w:r>
          <w:r>
            <w:fldChar w:fldCharType="separate"/>
          </w:r>
          <w:r>
            <w:t>19</w:t>
          </w:r>
          <w:r>
            <w:fldChar w:fldCharType="end"/>
          </w:r>
          <w:r>
            <w:fldChar w:fldCharType="end"/>
          </w:r>
        </w:p>
        <w:p w14:paraId="6E5CBF31">
          <w:pPr>
            <w:pStyle w:val="25"/>
            <w:tabs>
              <w:tab w:val="right" w:leader="dot" w:pos="8634"/>
            </w:tabs>
          </w:pPr>
          <w:r>
            <w:fldChar w:fldCharType="begin"/>
          </w:r>
          <w:r>
            <w:instrText xml:space="preserve"> HYPERLINK \l _Toc20445 </w:instrText>
          </w:r>
          <w:r>
            <w:fldChar w:fldCharType="separate"/>
          </w:r>
          <w:r>
            <w:rPr>
              <w:rFonts w:hint="eastAsia" w:ascii="微软雅黑" w:hAnsi="微软雅黑" w:eastAsia="微软雅黑"/>
              <w:lang w:val="en-US" w:eastAsia="zh-CN"/>
            </w:rPr>
            <w:t>3</w:t>
          </w:r>
          <w:r>
            <w:rPr>
              <w:rFonts w:ascii="微软雅黑" w:hAnsi="微软雅黑" w:eastAsia="微软雅黑"/>
              <w:lang w:val="zh-CN" w:eastAsia="zh-CN"/>
            </w:rPr>
            <w:t>.</w:t>
          </w:r>
          <w:r>
            <w:rPr>
              <w:rFonts w:hint="eastAsia" w:ascii="微软雅黑" w:hAnsi="微软雅黑" w:eastAsia="微软雅黑"/>
              <w:lang w:val="en-US" w:eastAsia="zh-CN"/>
            </w:rPr>
            <w:t>3</w:t>
          </w:r>
          <w:r>
            <w:rPr>
              <w:rFonts w:ascii="微软雅黑" w:hAnsi="微软雅黑" w:eastAsia="微软雅黑"/>
              <w:lang w:val="zh-CN" w:eastAsia="zh-CN"/>
            </w:rPr>
            <w:t>.</w:t>
          </w:r>
          <w:r>
            <w:rPr>
              <w:rFonts w:hint="eastAsia" w:ascii="微软雅黑" w:hAnsi="微软雅黑" w:eastAsia="微软雅黑"/>
              <w:lang w:val="en-US" w:eastAsia="zh-CN"/>
            </w:rPr>
            <w:t>3</w:t>
          </w:r>
          <w:r>
            <w:rPr>
              <w:rFonts w:ascii="微软雅黑" w:hAnsi="微软雅黑" w:eastAsia="微软雅黑"/>
              <w:lang w:val="zh-CN" w:eastAsia="zh-CN"/>
            </w:rPr>
            <w:t xml:space="preserve">  </w:t>
          </w:r>
          <w:r>
            <w:rPr>
              <w:rFonts w:hint="eastAsia" w:ascii="微软雅黑" w:hAnsi="微软雅黑" w:eastAsia="微软雅黑"/>
              <w:lang w:val="zh-CN" w:eastAsia="zh-CN"/>
            </w:rPr>
            <w:t>安全风险</w:t>
          </w:r>
          <w:r>
            <w:tab/>
          </w:r>
          <w:r>
            <w:fldChar w:fldCharType="begin"/>
          </w:r>
          <w:r>
            <w:instrText xml:space="preserve"> PAGEREF _Toc20445 \h </w:instrText>
          </w:r>
          <w:r>
            <w:fldChar w:fldCharType="separate"/>
          </w:r>
          <w:r>
            <w:t>20</w:t>
          </w:r>
          <w:r>
            <w:fldChar w:fldCharType="end"/>
          </w:r>
          <w:r>
            <w:fldChar w:fldCharType="end"/>
          </w:r>
        </w:p>
        <w:p w14:paraId="5F2B52E7">
          <w:pPr>
            <w:pStyle w:val="25"/>
            <w:tabs>
              <w:tab w:val="right" w:leader="dot" w:pos="8634"/>
            </w:tabs>
          </w:pPr>
          <w:r>
            <w:fldChar w:fldCharType="begin"/>
          </w:r>
          <w:r>
            <w:instrText xml:space="preserve"> HYPERLINK \l _Toc23880 </w:instrText>
          </w:r>
          <w:r>
            <w:fldChar w:fldCharType="separate"/>
          </w:r>
          <w:r>
            <w:rPr>
              <w:rFonts w:hint="eastAsia" w:ascii="微软雅黑" w:hAnsi="微软雅黑" w:eastAsia="微软雅黑"/>
              <w:lang w:val="en-US" w:eastAsia="zh-CN"/>
            </w:rPr>
            <w:t>3</w:t>
          </w:r>
          <w:r>
            <w:rPr>
              <w:rFonts w:ascii="微软雅黑" w:hAnsi="微软雅黑" w:eastAsia="微软雅黑"/>
              <w:lang w:val="zh-CN" w:eastAsia="zh-CN"/>
            </w:rPr>
            <w:t>.</w:t>
          </w:r>
          <w:r>
            <w:rPr>
              <w:rFonts w:hint="eastAsia" w:ascii="微软雅黑" w:hAnsi="微软雅黑" w:eastAsia="微软雅黑"/>
              <w:lang w:val="en-US" w:eastAsia="zh-CN"/>
            </w:rPr>
            <w:t>3</w:t>
          </w:r>
          <w:r>
            <w:rPr>
              <w:rFonts w:ascii="微软雅黑" w:hAnsi="微软雅黑" w:eastAsia="微软雅黑"/>
              <w:lang w:val="zh-CN" w:eastAsia="zh-CN"/>
            </w:rPr>
            <w:t>.</w:t>
          </w:r>
          <w:r>
            <w:rPr>
              <w:rFonts w:hint="eastAsia" w:ascii="微软雅黑" w:hAnsi="微软雅黑" w:eastAsia="微软雅黑"/>
              <w:lang w:val="en-US" w:eastAsia="zh-CN"/>
            </w:rPr>
            <w:t>4</w:t>
          </w:r>
          <w:r>
            <w:rPr>
              <w:rFonts w:ascii="微软雅黑" w:hAnsi="微软雅黑" w:eastAsia="微软雅黑"/>
              <w:lang w:val="zh-CN" w:eastAsia="zh-CN"/>
            </w:rPr>
            <w:t xml:space="preserve">  </w:t>
          </w:r>
          <w:r>
            <w:rPr>
              <w:rFonts w:hint="eastAsia" w:ascii="微软雅黑" w:hAnsi="微软雅黑" w:eastAsia="微软雅黑"/>
              <w:lang w:val="en-US" w:eastAsia="zh-CN"/>
            </w:rPr>
            <w:t>劳工</w:t>
          </w:r>
          <w:r>
            <w:rPr>
              <w:rFonts w:hint="eastAsia" w:ascii="微软雅黑" w:hAnsi="微软雅黑" w:eastAsia="微软雅黑"/>
              <w:lang w:val="zh-CN" w:eastAsia="zh-CN"/>
            </w:rPr>
            <w:t>风险</w:t>
          </w:r>
          <w:r>
            <w:tab/>
          </w:r>
          <w:r>
            <w:fldChar w:fldCharType="begin"/>
          </w:r>
          <w:r>
            <w:instrText xml:space="preserve"> PAGEREF _Toc23880 \h </w:instrText>
          </w:r>
          <w:r>
            <w:fldChar w:fldCharType="separate"/>
          </w:r>
          <w:r>
            <w:t>20</w:t>
          </w:r>
          <w:r>
            <w:fldChar w:fldCharType="end"/>
          </w:r>
          <w:r>
            <w:fldChar w:fldCharType="end"/>
          </w:r>
        </w:p>
        <w:p w14:paraId="58017C51">
          <w:pPr>
            <w:pStyle w:val="25"/>
            <w:tabs>
              <w:tab w:val="right" w:leader="dot" w:pos="8634"/>
            </w:tabs>
          </w:pPr>
          <w:r>
            <w:fldChar w:fldCharType="begin"/>
          </w:r>
          <w:r>
            <w:instrText xml:space="preserve"> HYPERLINK \l _Toc3512 </w:instrText>
          </w:r>
          <w:r>
            <w:fldChar w:fldCharType="separate"/>
          </w:r>
          <w:r>
            <w:rPr>
              <w:rFonts w:hint="eastAsia" w:ascii="微软雅黑" w:hAnsi="微软雅黑" w:eastAsia="微软雅黑"/>
              <w:lang w:val="en-US" w:eastAsia="zh-CN"/>
            </w:rPr>
            <w:t>3</w:t>
          </w:r>
          <w:r>
            <w:rPr>
              <w:rFonts w:ascii="微软雅黑" w:hAnsi="微软雅黑" w:eastAsia="微软雅黑"/>
              <w:lang w:val="zh-CN" w:eastAsia="zh-CN"/>
            </w:rPr>
            <w:t>.</w:t>
          </w:r>
          <w:r>
            <w:rPr>
              <w:rFonts w:hint="eastAsia" w:ascii="微软雅黑" w:hAnsi="微软雅黑" w:eastAsia="微软雅黑"/>
              <w:lang w:val="en-US" w:eastAsia="zh-CN"/>
            </w:rPr>
            <w:t>3</w:t>
          </w:r>
          <w:r>
            <w:rPr>
              <w:rFonts w:ascii="微软雅黑" w:hAnsi="微软雅黑" w:eastAsia="微软雅黑"/>
              <w:lang w:val="zh-CN" w:eastAsia="zh-CN"/>
            </w:rPr>
            <w:t>.</w:t>
          </w:r>
          <w:r>
            <w:rPr>
              <w:rFonts w:hint="eastAsia" w:ascii="微软雅黑" w:hAnsi="微软雅黑" w:eastAsia="微软雅黑"/>
              <w:lang w:val="en-US" w:eastAsia="zh-CN"/>
            </w:rPr>
            <w:t>5</w:t>
          </w:r>
          <w:r>
            <w:rPr>
              <w:rFonts w:ascii="微软雅黑" w:hAnsi="微软雅黑" w:eastAsia="微软雅黑"/>
              <w:lang w:val="zh-CN" w:eastAsia="zh-CN"/>
            </w:rPr>
            <w:t xml:space="preserve">  </w:t>
          </w:r>
          <w:r>
            <w:rPr>
              <w:rFonts w:hint="eastAsia" w:ascii="微软雅黑" w:hAnsi="微软雅黑" w:eastAsia="微软雅黑"/>
              <w:lang w:val="en-US" w:eastAsia="zh-CN"/>
            </w:rPr>
            <w:t>技术</w:t>
          </w:r>
          <w:r>
            <w:rPr>
              <w:rFonts w:hint="eastAsia" w:ascii="微软雅黑" w:hAnsi="微软雅黑" w:eastAsia="微软雅黑"/>
              <w:lang w:val="zh-CN" w:eastAsia="zh-CN"/>
            </w:rPr>
            <w:t>风险</w:t>
          </w:r>
          <w:r>
            <w:tab/>
          </w:r>
          <w:r>
            <w:fldChar w:fldCharType="begin"/>
          </w:r>
          <w:r>
            <w:instrText xml:space="preserve"> PAGEREF _Toc3512 \h </w:instrText>
          </w:r>
          <w:r>
            <w:fldChar w:fldCharType="separate"/>
          </w:r>
          <w:r>
            <w:t>20</w:t>
          </w:r>
          <w:r>
            <w:fldChar w:fldCharType="end"/>
          </w:r>
          <w:r>
            <w:fldChar w:fldCharType="end"/>
          </w:r>
        </w:p>
        <w:p w14:paraId="13397F71">
          <w:pPr>
            <w:pStyle w:val="28"/>
            <w:tabs>
              <w:tab w:val="right" w:leader="dot" w:pos="8634"/>
            </w:tabs>
          </w:pPr>
          <w:r>
            <w:fldChar w:fldCharType="begin"/>
          </w:r>
          <w:r>
            <w:instrText xml:space="preserve"> HYPERLINK \l _Toc10243 </w:instrText>
          </w:r>
          <w:r>
            <w:fldChar w:fldCharType="separate"/>
          </w:r>
          <w:r>
            <w:rPr>
              <w:rFonts w:ascii="微软雅黑" w:hAnsi="微软雅黑" w:eastAsia="微软雅黑"/>
              <w:lang w:val="zh-CN" w:eastAsia="zh-CN"/>
            </w:rPr>
            <w:t>第四章  国别财税与外汇监管环境</w:t>
          </w:r>
          <w:r>
            <w:tab/>
          </w:r>
          <w:r>
            <w:fldChar w:fldCharType="begin"/>
          </w:r>
          <w:r>
            <w:instrText xml:space="preserve"> PAGEREF _Toc10243 \h </w:instrText>
          </w:r>
          <w:r>
            <w:fldChar w:fldCharType="separate"/>
          </w:r>
          <w:r>
            <w:t>21</w:t>
          </w:r>
          <w:r>
            <w:fldChar w:fldCharType="end"/>
          </w:r>
          <w:r>
            <w:fldChar w:fldCharType="end"/>
          </w:r>
        </w:p>
        <w:p w14:paraId="13F9E091">
          <w:pPr>
            <w:pStyle w:val="31"/>
            <w:tabs>
              <w:tab w:val="right" w:leader="dot" w:pos="8634"/>
            </w:tabs>
          </w:pPr>
          <w:r>
            <w:fldChar w:fldCharType="begin"/>
          </w:r>
          <w:r>
            <w:instrText xml:space="preserve"> HYPERLINK \l _Toc30016 </w:instrText>
          </w:r>
          <w:r>
            <w:fldChar w:fldCharType="separate"/>
          </w:r>
          <w:r>
            <w:rPr>
              <w:rFonts w:ascii="微软雅黑" w:hAnsi="微软雅黑" w:eastAsia="微软雅黑"/>
              <w:lang w:val="zh-CN" w:eastAsia="zh-CN"/>
            </w:rPr>
            <w:t>4.1  属地监管体系</w:t>
          </w:r>
          <w:r>
            <w:tab/>
          </w:r>
          <w:r>
            <w:fldChar w:fldCharType="begin"/>
          </w:r>
          <w:r>
            <w:instrText xml:space="preserve"> PAGEREF _Toc30016 \h </w:instrText>
          </w:r>
          <w:r>
            <w:fldChar w:fldCharType="separate"/>
          </w:r>
          <w:r>
            <w:t>21</w:t>
          </w:r>
          <w:r>
            <w:fldChar w:fldCharType="end"/>
          </w:r>
          <w:r>
            <w:fldChar w:fldCharType="end"/>
          </w:r>
        </w:p>
        <w:p w14:paraId="7D9134F5">
          <w:pPr>
            <w:pStyle w:val="25"/>
            <w:tabs>
              <w:tab w:val="right" w:leader="dot" w:pos="8634"/>
            </w:tabs>
          </w:pPr>
          <w:r>
            <w:fldChar w:fldCharType="begin"/>
          </w:r>
          <w:r>
            <w:instrText xml:space="preserve"> HYPERLINK \l _Toc7261 </w:instrText>
          </w:r>
          <w:r>
            <w:fldChar w:fldCharType="separate"/>
          </w:r>
          <w:r>
            <w:rPr>
              <w:rFonts w:hint="eastAsia" w:ascii="微软雅黑" w:hAnsi="微软雅黑" w:eastAsia="微软雅黑"/>
              <w:lang w:val="en-US" w:eastAsia="zh-CN"/>
            </w:rPr>
            <w:t>4</w:t>
          </w:r>
          <w:r>
            <w:rPr>
              <w:rFonts w:ascii="微软雅黑" w:hAnsi="微软雅黑" w:eastAsia="微软雅黑"/>
              <w:lang w:val="zh-CN" w:eastAsia="zh-CN"/>
            </w:rPr>
            <w:t>.</w:t>
          </w:r>
          <w:r>
            <w:rPr>
              <w:rFonts w:hint="eastAsia" w:ascii="微软雅黑" w:hAnsi="微软雅黑" w:eastAsia="微软雅黑"/>
              <w:lang w:val="en-US" w:eastAsia="zh-CN"/>
            </w:rPr>
            <w:t>1</w:t>
          </w:r>
          <w:r>
            <w:rPr>
              <w:rFonts w:ascii="微软雅黑" w:hAnsi="微软雅黑" w:eastAsia="微软雅黑"/>
              <w:lang w:val="zh-CN" w:eastAsia="zh-CN"/>
            </w:rPr>
            <w:t>.</w:t>
          </w:r>
          <w:r>
            <w:rPr>
              <w:rFonts w:hint="eastAsia" w:ascii="微软雅黑" w:hAnsi="微软雅黑" w:eastAsia="微软雅黑"/>
              <w:lang w:val="en-US" w:eastAsia="zh-CN"/>
            </w:rPr>
            <w:t>1</w:t>
          </w:r>
          <w:r>
            <w:rPr>
              <w:rFonts w:ascii="微软雅黑" w:hAnsi="微软雅黑" w:eastAsia="微软雅黑"/>
              <w:lang w:val="zh-CN" w:eastAsia="zh-CN"/>
            </w:rPr>
            <w:t xml:space="preserve">  </w:t>
          </w:r>
          <w:r>
            <w:rPr>
              <w:rFonts w:hint="eastAsia" w:ascii="微软雅黑" w:hAnsi="微软雅黑" w:eastAsia="微软雅黑"/>
              <w:lang w:val="zh-CN" w:eastAsia="zh-CN"/>
            </w:rPr>
            <w:t>税务管理机构</w:t>
          </w:r>
          <w:r>
            <w:tab/>
          </w:r>
          <w:r>
            <w:fldChar w:fldCharType="begin"/>
          </w:r>
          <w:r>
            <w:instrText xml:space="preserve"> PAGEREF _Toc7261 \h </w:instrText>
          </w:r>
          <w:r>
            <w:fldChar w:fldCharType="separate"/>
          </w:r>
          <w:r>
            <w:t>21</w:t>
          </w:r>
          <w:r>
            <w:fldChar w:fldCharType="end"/>
          </w:r>
          <w:r>
            <w:fldChar w:fldCharType="end"/>
          </w:r>
        </w:p>
        <w:p w14:paraId="417811AD">
          <w:pPr>
            <w:pStyle w:val="25"/>
            <w:tabs>
              <w:tab w:val="right" w:leader="dot" w:pos="8634"/>
            </w:tabs>
          </w:pPr>
          <w:r>
            <w:fldChar w:fldCharType="begin"/>
          </w:r>
          <w:r>
            <w:instrText xml:space="preserve"> HYPERLINK \l _Toc4348 </w:instrText>
          </w:r>
          <w:r>
            <w:fldChar w:fldCharType="separate"/>
          </w:r>
          <w:r>
            <w:rPr>
              <w:rFonts w:hint="eastAsia" w:ascii="微软雅黑" w:hAnsi="微软雅黑" w:eastAsia="微软雅黑"/>
              <w:lang w:val="en-US" w:eastAsia="zh-CN"/>
            </w:rPr>
            <w:t>4</w:t>
          </w:r>
          <w:r>
            <w:rPr>
              <w:rFonts w:ascii="微软雅黑" w:hAnsi="微软雅黑" w:eastAsia="微软雅黑"/>
              <w:lang w:val="zh-CN" w:eastAsia="zh-CN"/>
            </w:rPr>
            <w:t>.</w:t>
          </w:r>
          <w:r>
            <w:rPr>
              <w:rFonts w:hint="eastAsia" w:ascii="微软雅黑" w:hAnsi="微软雅黑" w:eastAsia="微软雅黑"/>
              <w:lang w:val="en-US" w:eastAsia="zh-CN"/>
            </w:rPr>
            <w:t>1</w:t>
          </w:r>
          <w:r>
            <w:rPr>
              <w:rFonts w:ascii="微软雅黑" w:hAnsi="微软雅黑" w:eastAsia="微软雅黑"/>
              <w:lang w:val="zh-CN" w:eastAsia="zh-CN"/>
            </w:rPr>
            <w:t>.</w:t>
          </w:r>
          <w:r>
            <w:rPr>
              <w:rFonts w:hint="eastAsia" w:ascii="微软雅黑" w:hAnsi="微软雅黑" w:eastAsia="微软雅黑"/>
              <w:lang w:val="en-US" w:eastAsia="zh-CN"/>
            </w:rPr>
            <w:t>2</w:t>
          </w:r>
          <w:r>
            <w:rPr>
              <w:rFonts w:ascii="微软雅黑" w:hAnsi="微软雅黑" w:eastAsia="微软雅黑"/>
              <w:lang w:val="zh-CN" w:eastAsia="zh-CN"/>
            </w:rPr>
            <w:t xml:space="preserve">  </w:t>
          </w:r>
          <w:r>
            <w:rPr>
              <w:rFonts w:hint="eastAsia" w:ascii="微软雅黑" w:hAnsi="微软雅黑" w:eastAsia="微软雅黑"/>
              <w:lang w:val="zh-CN" w:eastAsia="zh-CN"/>
            </w:rPr>
            <w:t>会计与审计监管</w:t>
          </w:r>
          <w:r>
            <w:tab/>
          </w:r>
          <w:r>
            <w:fldChar w:fldCharType="begin"/>
          </w:r>
          <w:r>
            <w:instrText xml:space="preserve"> PAGEREF _Toc4348 \h </w:instrText>
          </w:r>
          <w:r>
            <w:fldChar w:fldCharType="separate"/>
          </w:r>
          <w:r>
            <w:t>21</w:t>
          </w:r>
          <w:r>
            <w:fldChar w:fldCharType="end"/>
          </w:r>
          <w:r>
            <w:fldChar w:fldCharType="end"/>
          </w:r>
        </w:p>
        <w:p w14:paraId="41C302E1">
          <w:pPr>
            <w:pStyle w:val="31"/>
            <w:tabs>
              <w:tab w:val="right" w:leader="dot" w:pos="8634"/>
            </w:tabs>
          </w:pPr>
          <w:r>
            <w:fldChar w:fldCharType="begin"/>
          </w:r>
          <w:r>
            <w:instrText xml:space="preserve"> HYPERLINK \l _Toc29160 </w:instrText>
          </w:r>
          <w:r>
            <w:fldChar w:fldCharType="separate"/>
          </w:r>
          <w:r>
            <w:rPr>
              <w:rFonts w:ascii="微软雅黑" w:hAnsi="微软雅黑" w:eastAsia="微软雅黑"/>
              <w:lang w:val="zh-CN" w:eastAsia="zh-CN"/>
            </w:rPr>
            <w:t>4.2  核心税收制度</w:t>
          </w:r>
          <w:r>
            <w:tab/>
          </w:r>
          <w:r>
            <w:fldChar w:fldCharType="begin"/>
          </w:r>
          <w:r>
            <w:instrText xml:space="preserve"> PAGEREF _Toc29160 \h </w:instrText>
          </w:r>
          <w:r>
            <w:fldChar w:fldCharType="separate"/>
          </w:r>
          <w:r>
            <w:t>23</w:t>
          </w:r>
          <w:r>
            <w:fldChar w:fldCharType="end"/>
          </w:r>
          <w:r>
            <w:fldChar w:fldCharType="end"/>
          </w:r>
        </w:p>
        <w:p w14:paraId="5E090381">
          <w:pPr>
            <w:pStyle w:val="25"/>
            <w:tabs>
              <w:tab w:val="right" w:leader="dot" w:pos="8634"/>
            </w:tabs>
          </w:pPr>
          <w:r>
            <w:fldChar w:fldCharType="begin"/>
          </w:r>
          <w:r>
            <w:instrText xml:space="preserve"> HYPERLINK \l _Toc23736 </w:instrText>
          </w:r>
          <w:r>
            <w:fldChar w:fldCharType="separate"/>
          </w:r>
          <w:r>
            <w:rPr>
              <w:rFonts w:hint="eastAsia" w:ascii="微软雅黑" w:hAnsi="微软雅黑" w:eastAsia="微软雅黑"/>
              <w:lang w:val="en-US" w:eastAsia="zh-CN"/>
            </w:rPr>
            <w:t>4</w:t>
          </w:r>
          <w:r>
            <w:rPr>
              <w:rFonts w:ascii="微软雅黑" w:hAnsi="微软雅黑" w:eastAsia="微软雅黑"/>
              <w:lang w:val="zh-CN" w:eastAsia="zh-CN"/>
            </w:rPr>
            <w:t>.</w:t>
          </w:r>
          <w:r>
            <w:rPr>
              <w:rFonts w:hint="eastAsia" w:ascii="微软雅黑" w:hAnsi="微软雅黑" w:eastAsia="微软雅黑"/>
              <w:lang w:val="en-US" w:eastAsia="zh-CN"/>
            </w:rPr>
            <w:t>2</w:t>
          </w:r>
          <w:r>
            <w:rPr>
              <w:rFonts w:ascii="微软雅黑" w:hAnsi="微软雅黑" w:eastAsia="微软雅黑"/>
              <w:lang w:val="zh-CN" w:eastAsia="zh-CN"/>
            </w:rPr>
            <w:t>.</w:t>
          </w:r>
          <w:r>
            <w:rPr>
              <w:rFonts w:hint="eastAsia" w:ascii="微软雅黑" w:hAnsi="微软雅黑" w:eastAsia="微软雅黑"/>
              <w:lang w:val="en-US" w:eastAsia="zh-CN"/>
            </w:rPr>
            <w:t>1</w:t>
          </w:r>
          <w:r>
            <w:rPr>
              <w:rFonts w:ascii="微软雅黑" w:hAnsi="微软雅黑" w:eastAsia="微软雅黑"/>
              <w:lang w:val="zh-CN" w:eastAsia="zh-CN"/>
            </w:rPr>
            <w:t xml:space="preserve">  </w:t>
          </w:r>
          <w:r>
            <w:rPr>
              <w:rFonts w:hint="eastAsia" w:ascii="微软雅黑" w:hAnsi="微软雅黑" w:eastAsia="微软雅黑"/>
              <w:lang w:val="zh-CN" w:eastAsia="zh-CN"/>
            </w:rPr>
            <w:t>企业所得税</w:t>
          </w:r>
          <w:r>
            <w:tab/>
          </w:r>
          <w:r>
            <w:fldChar w:fldCharType="begin"/>
          </w:r>
          <w:r>
            <w:instrText xml:space="preserve"> PAGEREF _Toc23736 \h </w:instrText>
          </w:r>
          <w:r>
            <w:fldChar w:fldCharType="separate"/>
          </w:r>
          <w:r>
            <w:t>23</w:t>
          </w:r>
          <w:r>
            <w:fldChar w:fldCharType="end"/>
          </w:r>
          <w:r>
            <w:fldChar w:fldCharType="end"/>
          </w:r>
        </w:p>
        <w:p w14:paraId="0F49D1FF">
          <w:pPr>
            <w:pStyle w:val="25"/>
            <w:tabs>
              <w:tab w:val="right" w:leader="dot" w:pos="8634"/>
            </w:tabs>
          </w:pPr>
          <w:r>
            <w:fldChar w:fldCharType="begin"/>
          </w:r>
          <w:r>
            <w:instrText xml:space="preserve"> HYPERLINK \l _Toc21953 </w:instrText>
          </w:r>
          <w:r>
            <w:fldChar w:fldCharType="separate"/>
          </w:r>
          <w:r>
            <w:rPr>
              <w:rFonts w:hint="eastAsia" w:ascii="微软雅黑" w:hAnsi="微软雅黑" w:eastAsia="微软雅黑"/>
              <w:lang w:val="en-US" w:eastAsia="zh-CN"/>
            </w:rPr>
            <w:t>4</w:t>
          </w:r>
          <w:r>
            <w:rPr>
              <w:rFonts w:ascii="微软雅黑" w:hAnsi="微软雅黑" w:eastAsia="微软雅黑"/>
              <w:lang w:val="zh-CN" w:eastAsia="zh-CN"/>
            </w:rPr>
            <w:t>.</w:t>
          </w:r>
          <w:r>
            <w:rPr>
              <w:rFonts w:hint="eastAsia" w:ascii="微软雅黑" w:hAnsi="微软雅黑" w:eastAsia="微软雅黑"/>
              <w:lang w:val="en-US" w:eastAsia="zh-CN"/>
            </w:rPr>
            <w:t>2</w:t>
          </w:r>
          <w:r>
            <w:rPr>
              <w:rFonts w:ascii="微软雅黑" w:hAnsi="微软雅黑" w:eastAsia="微软雅黑"/>
              <w:lang w:val="zh-CN" w:eastAsia="zh-CN"/>
            </w:rPr>
            <w:t>.</w:t>
          </w:r>
          <w:r>
            <w:rPr>
              <w:rFonts w:hint="eastAsia" w:ascii="微软雅黑" w:hAnsi="微软雅黑" w:eastAsia="微软雅黑"/>
              <w:lang w:val="en-US" w:eastAsia="zh-CN"/>
            </w:rPr>
            <w:t>2</w:t>
          </w:r>
          <w:r>
            <w:rPr>
              <w:rFonts w:ascii="微软雅黑" w:hAnsi="微软雅黑" w:eastAsia="微软雅黑"/>
              <w:lang w:val="zh-CN" w:eastAsia="zh-CN"/>
            </w:rPr>
            <w:t xml:space="preserve">  </w:t>
          </w:r>
          <w:r>
            <w:rPr>
              <w:rFonts w:hint="eastAsia" w:ascii="微软雅黑" w:hAnsi="微软雅黑" w:eastAsia="微软雅黑"/>
              <w:lang w:val="zh-CN" w:eastAsia="zh-CN"/>
            </w:rPr>
            <w:t>增值税</w:t>
          </w:r>
          <w:r>
            <w:tab/>
          </w:r>
          <w:r>
            <w:fldChar w:fldCharType="begin"/>
          </w:r>
          <w:r>
            <w:instrText xml:space="preserve"> PAGEREF _Toc21953 \h </w:instrText>
          </w:r>
          <w:r>
            <w:fldChar w:fldCharType="separate"/>
          </w:r>
          <w:r>
            <w:t>25</w:t>
          </w:r>
          <w:r>
            <w:fldChar w:fldCharType="end"/>
          </w:r>
          <w:r>
            <w:fldChar w:fldCharType="end"/>
          </w:r>
        </w:p>
        <w:p w14:paraId="799A5262">
          <w:pPr>
            <w:pStyle w:val="25"/>
            <w:tabs>
              <w:tab w:val="right" w:leader="dot" w:pos="8634"/>
            </w:tabs>
          </w:pPr>
          <w:r>
            <w:fldChar w:fldCharType="begin"/>
          </w:r>
          <w:r>
            <w:instrText xml:space="preserve"> HYPERLINK \l _Toc22446 </w:instrText>
          </w:r>
          <w:r>
            <w:fldChar w:fldCharType="separate"/>
          </w:r>
          <w:r>
            <w:rPr>
              <w:rFonts w:hint="eastAsia" w:ascii="微软雅黑" w:hAnsi="微软雅黑" w:eastAsia="微软雅黑"/>
              <w:lang w:val="en-US" w:eastAsia="zh-CN"/>
            </w:rPr>
            <w:t>4</w:t>
          </w:r>
          <w:r>
            <w:rPr>
              <w:rFonts w:ascii="微软雅黑" w:hAnsi="微软雅黑" w:eastAsia="微软雅黑"/>
              <w:lang w:val="zh-CN" w:eastAsia="zh-CN"/>
            </w:rPr>
            <w:t>.</w:t>
          </w:r>
          <w:r>
            <w:rPr>
              <w:rFonts w:hint="eastAsia" w:ascii="微软雅黑" w:hAnsi="微软雅黑" w:eastAsia="微软雅黑"/>
              <w:lang w:val="en-US" w:eastAsia="zh-CN"/>
            </w:rPr>
            <w:t>2</w:t>
          </w:r>
          <w:r>
            <w:rPr>
              <w:rFonts w:ascii="微软雅黑" w:hAnsi="微软雅黑" w:eastAsia="微软雅黑"/>
              <w:lang w:val="zh-CN" w:eastAsia="zh-CN"/>
            </w:rPr>
            <w:t>.</w:t>
          </w:r>
          <w:r>
            <w:rPr>
              <w:rFonts w:hint="eastAsia" w:ascii="微软雅黑" w:hAnsi="微软雅黑" w:eastAsia="微软雅黑"/>
              <w:lang w:val="en-US" w:eastAsia="zh-CN"/>
            </w:rPr>
            <w:t>3</w:t>
          </w:r>
          <w:r>
            <w:rPr>
              <w:rFonts w:ascii="微软雅黑" w:hAnsi="微软雅黑" w:eastAsia="微软雅黑"/>
              <w:lang w:val="zh-CN" w:eastAsia="zh-CN"/>
            </w:rPr>
            <w:t xml:space="preserve">  </w:t>
          </w:r>
          <w:r>
            <w:rPr>
              <w:rFonts w:hint="eastAsia" w:ascii="微软雅黑" w:hAnsi="微软雅黑" w:eastAsia="微软雅黑"/>
              <w:lang w:val="zh-CN" w:eastAsia="zh-CN"/>
            </w:rPr>
            <w:t>社保</w:t>
          </w:r>
          <w:r>
            <w:tab/>
          </w:r>
          <w:r>
            <w:fldChar w:fldCharType="begin"/>
          </w:r>
          <w:r>
            <w:instrText xml:space="preserve"> PAGEREF _Toc22446 \h </w:instrText>
          </w:r>
          <w:r>
            <w:fldChar w:fldCharType="separate"/>
          </w:r>
          <w:r>
            <w:t>26</w:t>
          </w:r>
          <w:r>
            <w:fldChar w:fldCharType="end"/>
          </w:r>
          <w:r>
            <w:fldChar w:fldCharType="end"/>
          </w:r>
        </w:p>
        <w:p w14:paraId="65E6E6FC">
          <w:pPr>
            <w:pStyle w:val="25"/>
            <w:tabs>
              <w:tab w:val="right" w:leader="dot" w:pos="8634"/>
            </w:tabs>
          </w:pPr>
          <w:r>
            <w:fldChar w:fldCharType="begin"/>
          </w:r>
          <w:r>
            <w:instrText xml:space="preserve"> HYPERLINK \l _Toc32380 </w:instrText>
          </w:r>
          <w:r>
            <w:fldChar w:fldCharType="separate"/>
          </w:r>
          <w:r>
            <w:rPr>
              <w:rFonts w:hint="eastAsia" w:ascii="微软雅黑" w:hAnsi="微软雅黑" w:eastAsia="微软雅黑"/>
              <w:lang w:val="en-US" w:eastAsia="zh-CN"/>
            </w:rPr>
            <w:t>4</w:t>
          </w:r>
          <w:r>
            <w:rPr>
              <w:rFonts w:ascii="微软雅黑" w:hAnsi="微软雅黑" w:eastAsia="微软雅黑"/>
              <w:lang w:val="zh-CN" w:eastAsia="zh-CN"/>
            </w:rPr>
            <w:t>.</w:t>
          </w:r>
          <w:r>
            <w:rPr>
              <w:rFonts w:hint="eastAsia" w:ascii="微软雅黑" w:hAnsi="微软雅黑" w:eastAsia="微软雅黑"/>
              <w:lang w:val="en-US" w:eastAsia="zh-CN"/>
            </w:rPr>
            <w:t>2</w:t>
          </w:r>
          <w:r>
            <w:rPr>
              <w:rFonts w:ascii="微软雅黑" w:hAnsi="微软雅黑" w:eastAsia="微软雅黑"/>
              <w:lang w:val="zh-CN" w:eastAsia="zh-CN"/>
            </w:rPr>
            <w:t>.</w:t>
          </w:r>
          <w:r>
            <w:rPr>
              <w:rFonts w:hint="eastAsia" w:ascii="微软雅黑" w:hAnsi="微软雅黑" w:eastAsia="微软雅黑"/>
              <w:lang w:val="en-US" w:eastAsia="zh-CN"/>
            </w:rPr>
            <w:t>4</w:t>
          </w:r>
          <w:r>
            <w:rPr>
              <w:rFonts w:ascii="微软雅黑" w:hAnsi="微软雅黑" w:eastAsia="微软雅黑"/>
              <w:lang w:val="zh-CN" w:eastAsia="zh-CN"/>
            </w:rPr>
            <w:t xml:space="preserve">  </w:t>
          </w:r>
          <w:r>
            <w:rPr>
              <w:rFonts w:hint="eastAsia" w:ascii="微软雅黑" w:hAnsi="微软雅黑" w:eastAsia="微软雅黑"/>
              <w:lang w:val="en-US" w:eastAsia="zh-CN"/>
            </w:rPr>
            <w:t>关税</w:t>
          </w:r>
          <w:r>
            <w:tab/>
          </w:r>
          <w:r>
            <w:fldChar w:fldCharType="begin"/>
          </w:r>
          <w:r>
            <w:instrText xml:space="preserve"> PAGEREF _Toc32380 \h </w:instrText>
          </w:r>
          <w:r>
            <w:fldChar w:fldCharType="separate"/>
          </w:r>
          <w:r>
            <w:t>27</w:t>
          </w:r>
          <w:r>
            <w:fldChar w:fldCharType="end"/>
          </w:r>
          <w:r>
            <w:fldChar w:fldCharType="end"/>
          </w:r>
        </w:p>
        <w:p w14:paraId="34089E39">
          <w:pPr>
            <w:pStyle w:val="31"/>
            <w:tabs>
              <w:tab w:val="right" w:leader="dot" w:pos="8634"/>
            </w:tabs>
          </w:pPr>
          <w:r>
            <w:fldChar w:fldCharType="begin"/>
          </w:r>
          <w:r>
            <w:instrText xml:space="preserve"> HYPERLINK \l _Toc26948 </w:instrText>
          </w:r>
          <w:r>
            <w:fldChar w:fldCharType="separate"/>
          </w:r>
          <w:r>
            <w:rPr>
              <w:rFonts w:ascii="微软雅黑" w:hAnsi="微软雅黑" w:eastAsia="微软雅黑"/>
              <w:lang w:val="zh-CN" w:eastAsia="zh-CN"/>
            </w:rPr>
            <w:t>4.3  外汇及资金管制政策</w:t>
          </w:r>
          <w:r>
            <w:tab/>
          </w:r>
          <w:r>
            <w:fldChar w:fldCharType="begin"/>
          </w:r>
          <w:r>
            <w:instrText xml:space="preserve"> PAGEREF _Toc26948 \h </w:instrText>
          </w:r>
          <w:r>
            <w:fldChar w:fldCharType="separate"/>
          </w:r>
          <w:r>
            <w:t>27</w:t>
          </w:r>
          <w:r>
            <w:fldChar w:fldCharType="end"/>
          </w:r>
          <w:r>
            <w:fldChar w:fldCharType="end"/>
          </w:r>
        </w:p>
        <w:p w14:paraId="5AB39BB1">
          <w:pPr>
            <w:pStyle w:val="28"/>
            <w:tabs>
              <w:tab w:val="right" w:leader="dot" w:pos="8634"/>
            </w:tabs>
          </w:pPr>
          <w:r>
            <w:fldChar w:fldCharType="begin"/>
          </w:r>
          <w:r>
            <w:instrText xml:space="preserve"> HYPERLINK \l _Toc7300 </w:instrText>
          </w:r>
          <w:r>
            <w:fldChar w:fldCharType="separate"/>
          </w:r>
          <w:r>
            <w:rPr>
              <w:rFonts w:ascii="微软雅黑" w:hAnsi="微软雅黑" w:eastAsia="微软雅黑"/>
              <w:lang w:val="zh-CN" w:eastAsia="zh-CN"/>
            </w:rPr>
            <w:t>第五章  项目全周期财务管理指引</w:t>
          </w:r>
          <w:r>
            <w:tab/>
          </w:r>
          <w:r>
            <w:fldChar w:fldCharType="begin"/>
          </w:r>
          <w:r>
            <w:instrText xml:space="preserve"> PAGEREF _Toc7300 \h </w:instrText>
          </w:r>
          <w:r>
            <w:fldChar w:fldCharType="separate"/>
          </w:r>
          <w:r>
            <w:t>29</w:t>
          </w:r>
          <w:r>
            <w:fldChar w:fldCharType="end"/>
          </w:r>
          <w:r>
            <w:fldChar w:fldCharType="end"/>
          </w:r>
        </w:p>
        <w:p w14:paraId="7DE4BAFD">
          <w:pPr>
            <w:pStyle w:val="31"/>
            <w:tabs>
              <w:tab w:val="right" w:leader="dot" w:pos="8634"/>
            </w:tabs>
          </w:pPr>
          <w:r>
            <w:fldChar w:fldCharType="begin"/>
          </w:r>
          <w:r>
            <w:instrText xml:space="preserve"> HYPERLINK \l _Toc13418 </w:instrText>
          </w:r>
          <w:r>
            <w:fldChar w:fldCharType="separate"/>
          </w:r>
          <w:r>
            <w:rPr>
              <w:rFonts w:ascii="微软雅黑" w:hAnsi="微软雅黑" w:eastAsia="微软雅黑"/>
              <w:lang w:val="zh-CN" w:eastAsia="zh-CN"/>
            </w:rPr>
            <w:t xml:space="preserve">5.1  </w:t>
          </w:r>
          <w:r>
            <w:rPr>
              <w:rFonts w:hint="eastAsia" w:ascii="微软雅黑" w:hAnsi="微软雅黑" w:eastAsia="微软雅黑"/>
              <w:lang w:val="zh-CN" w:eastAsia="zh-CN"/>
            </w:rPr>
            <w:t>投标</w:t>
          </w:r>
          <w:r>
            <w:rPr>
              <w:rFonts w:ascii="微软雅黑" w:hAnsi="微软雅黑" w:eastAsia="微软雅黑"/>
              <w:lang w:val="zh-CN" w:eastAsia="zh-CN"/>
            </w:rPr>
            <w:t>及合同谈判阶段</w:t>
          </w:r>
          <w:r>
            <w:tab/>
          </w:r>
          <w:r>
            <w:fldChar w:fldCharType="begin"/>
          </w:r>
          <w:r>
            <w:instrText xml:space="preserve"> PAGEREF _Toc13418 \h </w:instrText>
          </w:r>
          <w:r>
            <w:fldChar w:fldCharType="separate"/>
          </w:r>
          <w:r>
            <w:t>29</w:t>
          </w:r>
          <w:r>
            <w:fldChar w:fldCharType="end"/>
          </w:r>
          <w:r>
            <w:fldChar w:fldCharType="end"/>
          </w:r>
        </w:p>
        <w:p w14:paraId="4726E2EB">
          <w:pPr>
            <w:pStyle w:val="25"/>
            <w:tabs>
              <w:tab w:val="right" w:leader="dot" w:pos="8634"/>
            </w:tabs>
          </w:pPr>
          <w:r>
            <w:fldChar w:fldCharType="begin"/>
          </w:r>
          <w:r>
            <w:instrText xml:space="preserve"> HYPERLINK \l _Toc29301 </w:instrText>
          </w:r>
          <w:r>
            <w:fldChar w:fldCharType="separate"/>
          </w:r>
          <w:r>
            <w:rPr>
              <w:rFonts w:ascii="微软雅黑" w:hAnsi="微软雅黑" w:eastAsia="微软雅黑"/>
              <w:lang w:val="zh-CN" w:eastAsia="zh-CN"/>
            </w:rPr>
            <w:t>5.1.1  主体形式选择</w:t>
          </w:r>
          <w:r>
            <w:tab/>
          </w:r>
          <w:r>
            <w:fldChar w:fldCharType="begin"/>
          </w:r>
          <w:r>
            <w:instrText xml:space="preserve"> PAGEREF _Toc29301 \h </w:instrText>
          </w:r>
          <w:r>
            <w:fldChar w:fldCharType="separate"/>
          </w:r>
          <w:r>
            <w:t>29</w:t>
          </w:r>
          <w:r>
            <w:fldChar w:fldCharType="end"/>
          </w:r>
          <w:r>
            <w:fldChar w:fldCharType="end"/>
          </w:r>
        </w:p>
        <w:p w14:paraId="2BA4BCE7">
          <w:pPr>
            <w:pStyle w:val="25"/>
            <w:tabs>
              <w:tab w:val="right" w:leader="dot" w:pos="8634"/>
            </w:tabs>
          </w:pPr>
          <w:r>
            <w:fldChar w:fldCharType="begin"/>
          </w:r>
          <w:r>
            <w:instrText xml:space="preserve"> HYPERLINK \l _Toc5906 </w:instrText>
          </w:r>
          <w:r>
            <w:fldChar w:fldCharType="separate"/>
          </w:r>
          <w:r>
            <w:rPr>
              <w:rFonts w:ascii="微软雅黑" w:hAnsi="微软雅黑" w:eastAsia="微软雅黑"/>
              <w:lang w:val="zh-CN" w:eastAsia="zh-CN"/>
            </w:rPr>
            <w:t>5.1.2  项目前期尽调</w:t>
          </w:r>
          <w:r>
            <w:tab/>
          </w:r>
          <w:r>
            <w:fldChar w:fldCharType="begin"/>
          </w:r>
          <w:r>
            <w:instrText xml:space="preserve"> PAGEREF _Toc5906 \h </w:instrText>
          </w:r>
          <w:r>
            <w:fldChar w:fldCharType="separate"/>
          </w:r>
          <w:r>
            <w:t>32</w:t>
          </w:r>
          <w:r>
            <w:fldChar w:fldCharType="end"/>
          </w:r>
          <w:r>
            <w:fldChar w:fldCharType="end"/>
          </w:r>
        </w:p>
        <w:p w14:paraId="26009419">
          <w:pPr>
            <w:pStyle w:val="25"/>
            <w:tabs>
              <w:tab w:val="right" w:leader="dot" w:pos="8634"/>
            </w:tabs>
          </w:pPr>
          <w:r>
            <w:fldChar w:fldCharType="begin"/>
          </w:r>
          <w:r>
            <w:instrText xml:space="preserve"> HYPERLINK \l _Toc32048 </w:instrText>
          </w:r>
          <w:r>
            <w:fldChar w:fldCharType="separate"/>
          </w:r>
          <w:r>
            <w:rPr>
              <w:rFonts w:ascii="微软雅黑" w:hAnsi="微软雅黑" w:eastAsia="微软雅黑"/>
              <w:lang w:val="zh-CN" w:eastAsia="zh-CN"/>
            </w:rPr>
            <w:t>5.1.3  资金管理准备</w:t>
          </w:r>
          <w:r>
            <w:tab/>
          </w:r>
          <w:r>
            <w:fldChar w:fldCharType="begin"/>
          </w:r>
          <w:r>
            <w:instrText xml:space="preserve"> PAGEREF _Toc32048 \h </w:instrText>
          </w:r>
          <w:r>
            <w:fldChar w:fldCharType="separate"/>
          </w:r>
          <w:r>
            <w:t>32</w:t>
          </w:r>
          <w:r>
            <w:fldChar w:fldCharType="end"/>
          </w:r>
          <w:r>
            <w:fldChar w:fldCharType="end"/>
          </w:r>
        </w:p>
        <w:p w14:paraId="3849B4E8">
          <w:pPr>
            <w:pStyle w:val="25"/>
            <w:tabs>
              <w:tab w:val="right" w:leader="dot" w:pos="8634"/>
            </w:tabs>
          </w:pPr>
          <w:r>
            <w:fldChar w:fldCharType="begin"/>
          </w:r>
          <w:r>
            <w:instrText xml:space="preserve"> HYPERLINK \l _Toc15974 </w:instrText>
          </w:r>
          <w:r>
            <w:fldChar w:fldCharType="separate"/>
          </w:r>
          <w:r>
            <w:rPr>
              <w:rFonts w:ascii="微软雅黑" w:hAnsi="微软雅黑" w:eastAsia="微软雅黑"/>
              <w:lang w:val="zh-CN" w:eastAsia="zh-CN"/>
            </w:rPr>
            <w:t>5.1.4  外部合作资源</w:t>
          </w:r>
          <w:r>
            <w:tab/>
          </w:r>
          <w:r>
            <w:fldChar w:fldCharType="begin"/>
          </w:r>
          <w:r>
            <w:instrText xml:space="preserve"> PAGEREF _Toc15974 \h </w:instrText>
          </w:r>
          <w:r>
            <w:fldChar w:fldCharType="separate"/>
          </w:r>
          <w:r>
            <w:t>33</w:t>
          </w:r>
          <w:r>
            <w:fldChar w:fldCharType="end"/>
          </w:r>
          <w:r>
            <w:fldChar w:fldCharType="end"/>
          </w:r>
        </w:p>
        <w:p w14:paraId="62344252">
          <w:pPr>
            <w:pStyle w:val="25"/>
            <w:tabs>
              <w:tab w:val="right" w:leader="dot" w:pos="8634"/>
            </w:tabs>
          </w:pPr>
          <w:r>
            <w:fldChar w:fldCharType="begin"/>
          </w:r>
          <w:r>
            <w:instrText xml:space="preserve"> HYPERLINK \l _Toc4548 </w:instrText>
          </w:r>
          <w:r>
            <w:fldChar w:fldCharType="separate"/>
          </w:r>
          <w:r>
            <w:rPr>
              <w:rFonts w:ascii="微软雅黑" w:hAnsi="微软雅黑" w:eastAsia="微软雅黑"/>
              <w:lang w:val="zh-CN" w:eastAsia="zh-CN"/>
            </w:rPr>
            <w:t>5.1.5  具体项目案例</w:t>
          </w:r>
          <w:r>
            <w:tab/>
          </w:r>
          <w:r>
            <w:fldChar w:fldCharType="begin"/>
          </w:r>
          <w:r>
            <w:instrText xml:space="preserve"> PAGEREF _Toc4548 \h </w:instrText>
          </w:r>
          <w:r>
            <w:fldChar w:fldCharType="separate"/>
          </w:r>
          <w:r>
            <w:t>35</w:t>
          </w:r>
          <w:r>
            <w:fldChar w:fldCharType="end"/>
          </w:r>
          <w:r>
            <w:fldChar w:fldCharType="end"/>
          </w:r>
        </w:p>
        <w:p w14:paraId="371F3074">
          <w:pPr>
            <w:pStyle w:val="31"/>
            <w:tabs>
              <w:tab w:val="right" w:leader="dot" w:pos="8634"/>
            </w:tabs>
          </w:pPr>
          <w:r>
            <w:fldChar w:fldCharType="begin"/>
          </w:r>
          <w:r>
            <w:instrText xml:space="preserve"> HYPERLINK \l _Toc15776 </w:instrText>
          </w:r>
          <w:r>
            <w:fldChar w:fldCharType="separate"/>
          </w:r>
          <w:r>
            <w:rPr>
              <w:rFonts w:ascii="微软雅黑" w:hAnsi="微软雅黑" w:eastAsia="微软雅黑"/>
              <w:lang w:val="zh-CN" w:eastAsia="zh-CN"/>
            </w:rPr>
            <w:t>5.2  建设实施阶段</w:t>
          </w:r>
          <w:r>
            <w:tab/>
          </w:r>
          <w:r>
            <w:fldChar w:fldCharType="begin"/>
          </w:r>
          <w:r>
            <w:instrText xml:space="preserve"> PAGEREF _Toc15776 \h </w:instrText>
          </w:r>
          <w:r>
            <w:fldChar w:fldCharType="separate"/>
          </w:r>
          <w:r>
            <w:t>36</w:t>
          </w:r>
          <w:r>
            <w:fldChar w:fldCharType="end"/>
          </w:r>
          <w:r>
            <w:fldChar w:fldCharType="end"/>
          </w:r>
        </w:p>
        <w:p w14:paraId="16181B1C">
          <w:pPr>
            <w:pStyle w:val="25"/>
            <w:tabs>
              <w:tab w:val="right" w:leader="dot" w:pos="8634"/>
            </w:tabs>
          </w:pPr>
          <w:r>
            <w:fldChar w:fldCharType="begin"/>
          </w:r>
          <w:r>
            <w:instrText xml:space="preserve"> HYPERLINK \l _Toc18266 </w:instrText>
          </w:r>
          <w:r>
            <w:fldChar w:fldCharType="separate"/>
          </w:r>
          <w:r>
            <w:rPr>
              <w:rFonts w:ascii="微软雅黑" w:hAnsi="微软雅黑" w:eastAsia="微软雅黑"/>
              <w:lang w:val="zh-CN" w:eastAsia="zh-CN"/>
            </w:rPr>
            <w:t>5.2.1  会计核算管理</w:t>
          </w:r>
          <w:r>
            <w:tab/>
          </w:r>
          <w:r>
            <w:fldChar w:fldCharType="begin"/>
          </w:r>
          <w:r>
            <w:instrText xml:space="preserve"> PAGEREF _Toc18266 \h </w:instrText>
          </w:r>
          <w:r>
            <w:fldChar w:fldCharType="separate"/>
          </w:r>
          <w:r>
            <w:t>36</w:t>
          </w:r>
          <w:r>
            <w:fldChar w:fldCharType="end"/>
          </w:r>
          <w:r>
            <w:fldChar w:fldCharType="end"/>
          </w:r>
        </w:p>
        <w:p w14:paraId="30350EAF">
          <w:pPr>
            <w:pStyle w:val="25"/>
            <w:tabs>
              <w:tab w:val="right" w:leader="dot" w:pos="8634"/>
            </w:tabs>
          </w:pPr>
          <w:r>
            <w:fldChar w:fldCharType="begin"/>
          </w:r>
          <w:r>
            <w:instrText xml:space="preserve"> HYPERLINK \l _Toc17585 </w:instrText>
          </w:r>
          <w:r>
            <w:fldChar w:fldCharType="separate"/>
          </w:r>
          <w:r>
            <w:rPr>
              <w:rFonts w:ascii="微软雅黑" w:hAnsi="微软雅黑" w:eastAsia="微软雅黑"/>
              <w:lang w:val="zh-CN" w:eastAsia="zh-CN"/>
            </w:rPr>
            <w:t>5.2.2  资金管理</w:t>
          </w:r>
          <w:r>
            <w:tab/>
          </w:r>
          <w:r>
            <w:fldChar w:fldCharType="begin"/>
          </w:r>
          <w:r>
            <w:instrText xml:space="preserve"> PAGEREF _Toc17585 \h </w:instrText>
          </w:r>
          <w:r>
            <w:fldChar w:fldCharType="separate"/>
          </w:r>
          <w:r>
            <w:t>38</w:t>
          </w:r>
          <w:r>
            <w:fldChar w:fldCharType="end"/>
          </w:r>
          <w:r>
            <w:fldChar w:fldCharType="end"/>
          </w:r>
        </w:p>
        <w:p w14:paraId="1B00E9D9">
          <w:pPr>
            <w:pStyle w:val="25"/>
            <w:tabs>
              <w:tab w:val="right" w:leader="dot" w:pos="8634"/>
            </w:tabs>
          </w:pPr>
          <w:r>
            <w:fldChar w:fldCharType="begin"/>
          </w:r>
          <w:r>
            <w:instrText xml:space="preserve"> HYPERLINK \l _Toc30151 </w:instrText>
          </w:r>
          <w:r>
            <w:fldChar w:fldCharType="separate"/>
          </w:r>
          <w:r>
            <w:rPr>
              <w:rFonts w:ascii="微软雅黑" w:hAnsi="微软雅黑" w:eastAsia="微软雅黑"/>
              <w:lang w:val="zh-CN" w:eastAsia="zh-CN"/>
            </w:rPr>
            <w:t>5.2.3  税务管理</w:t>
          </w:r>
          <w:r>
            <w:tab/>
          </w:r>
          <w:r>
            <w:fldChar w:fldCharType="begin"/>
          </w:r>
          <w:r>
            <w:instrText xml:space="preserve"> PAGEREF _Toc30151 \h </w:instrText>
          </w:r>
          <w:r>
            <w:fldChar w:fldCharType="separate"/>
          </w:r>
          <w:r>
            <w:t>40</w:t>
          </w:r>
          <w:r>
            <w:fldChar w:fldCharType="end"/>
          </w:r>
          <w:r>
            <w:fldChar w:fldCharType="end"/>
          </w:r>
        </w:p>
        <w:p w14:paraId="59BAE0C4">
          <w:pPr>
            <w:pStyle w:val="25"/>
            <w:tabs>
              <w:tab w:val="right" w:leader="dot" w:pos="8634"/>
            </w:tabs>
          </w:pPr>
          <w:r>
            <w:fldChar w:fldCharType="begin"/>
          </w:r>
          <w:r>
            <w:instrText xml:space="preserve"> HYPERLINK \l _Toc15649 </w:instrText>
          </w:r>
          <w:r>
            <w:fldChar w:fldCharType="separate"/>
          </w:r>
          <w:r>
            <w:rPr>
              <w:rFonts w:ascii="微软雅黑" w:hAnsi="微软雅黑" w:eastAsia="微软雅黑"/>
              <w:lang w:val="zh-CN" w:eastAsia="zh-CN"/>
            </w:rPr>
            <w:t>5.2.4  具体项目案例</w:t>
          </w:r>
          <w:r>
            <w:tab/>
          </w:r>
          <w:r>
            <w:fldChar w:fldCharType="begin"/>
          </w:r>
          <w:r>
            <w:instrText xml:space="preserve"> PAGEREF _Toc15649 \h </w:instrText>
          </w:r>
          <w:r>
            <w:fldChar w:fldCharType="separate"/>
          </w:r>
          <w:r>
            <w:t>42</w:t>
          </w:r>
          <w:r>
            <w:fldChar w:fldCharType="end"/>
          </w:r>
          <w:r>
            <w:fldChar w:fldCharType="end"/>
          </w:r>
        </w:p>
        <w:p w14:paraId="086E3AE0">
          <w:pPr>
            <w:pStyle w:val="31"/>
            <w:tabs>
              <w:tab w:val="right" w:leader="dot" w:pos="8634"/>
            </w:tabs>
          </w:pPr>
          <w:r>
            <w:fldChar w:fldCharType="begin"/>
          </w:r>
          <w:r>
            <w:instrText xml:space="preserve"> HYPERLINK \l _Toc5494 </w:instrText>
          </w:r>
          <w:r>
            <w:fldChar w:fldCharType="separate"/>
          </w:r>
          <w:r>
            <w:rPr>
              <w:rFonts w:ascii="微软雅黑" w:hAnsi="微软雅黑" w:eastAsia="微软雅黑"/>
              <w:lang w:val="zh-CN" w:eastAsia="zh-CN"/>
            </w:rPr>
            <w:t>5.3  收尾清算阶段</w:t>
          </w:r>
          <w:r>
            <w:tab/>
          </w:r>
          <w:r>
            <w:fldChar w:fldCharType="begin"/>
          </w:r>
          <w:r>
            <w:instrText xml:space="preserve"> PAGEREF _Toc5494 \h </w:instrText>
          </w:r>
          <w:r>
            <w:fldChar w:fldCharType="separate"/>
          </w:r>
          <w:r>
            <w:t>43</w:t>
          </w:r>
          <w:r>
            <w:fldChar w:fldCharType="end"/>
          </w:r>
          <w:r>
            <w:fldChar w:fldCharType="end"/>
          </w:r>
        </w:p>
        <w:p w14:paraId="56E746E2">
          <w:pPr>
            <w:pStyle w:val="25"/>
            <w:tabs>
              <w:tab w:val="right" w:leader="dot" w:pos="8634"/>
            </w:tabs>
          </w:pPr>
          <w:r>
            <w:fldChar w:fldCharType="begin"/>
          </w:r>
          <w:r>
            <w:instrText xml:space="preserve"> HYPERLINK \l _Toc1725 </w:instrText>
          </w:r>
          <w:r>
            <w:fldChar w:fldCharType="separate"/>
          </w:r>
          <w:r>
            <w:rPr>
              <w:rFonts w:ascii="微软雅黑" w:hAnsi="微软雅黑" w:eastAsia="微软雅黑"/>
              <w:lang w:val="zh-CN" w:eastAsia="zh-CN"/>
            </w:rPr>
            <w:t>5.3.1  核算管理</w:t>
          </w:r>
          <w:r>
            <w:tab/>
          </w:r>
          <w:r>
            <w:fldChar w:fldCharType="begin"/>
          </w:r>
          <w:r>
            <w:instrText xml:space="preserve"> PAGEREF _Toc1725 \h </w:instrText>
          </w:r>
          <w:r>
            <w:fldChar w:fldCharType="separate"/>
          </w:r>
          <w:r>
            <w:t>43</w:t>
          </w:r>
          <w:r>
            <w:fldChar w:fldCharType="end"/>
          </w:r>
          <w:r>
            <w:fldChar w:fldCharType="end"/>
          </w:r>
        </w:p>
        <w:p w14:paraId="6FD79B3F">
          <w:pPr>
            <w:pStyle w:val="25"/>
            <w:tabs>
              <w:tab w:val="right" w:leader="dot" w:pos="8634"/>
            </w:tabs>
          </w:pPr>
          <w:r>
            <w:fldChar w:fldCharType="begin"/>
          </w:r>
          <w:r>
            <w:instrText xml:space="preserve"> HYPERLINK \l _Toc29632 </w:instrText>
          </w:r>
          <w:r>
            <w:fldChar w:fldCharType="separate"/>
          </w:r>
          <w:r>
            <w:rPr>
              <w:rFonts w:ascii="微软雅黑" w:hAnsi="微软雅黑" w:eastAsia="微软雅黑"/>
              <w:lang w:val="zh-CN" w:eastAsia="zh-CN"/>
            </w:rPr>
            <w:t>5.3.2  税务管理</w:t>
          </w:r>
          <w:r>
            <w:tab/>
          </w:r>
          <w:r>
            <w:fldChar w:fldCharType="begin"/>
          </w:r>
          <w:r>
            <w:instrText xml:space="preserve"> PAGEREF _Toc29632 \h </w:instrText>
          </w:r>
          <w:r>
            <w:fldChar w:fldCharType="separate"/>
          </w:r>
          <w:r>
            <w:t>43</w:t>
          </w:r>
          <w:r>
            <w:fldChar w:fldCharType="end"/>
          </w:r>
          <w:r>
            <w:fldChar w:fldCharType="end"/>
          </w:r>
        </w:p>
        <w:p w14:paraId="74D4163E">
          <w:pPr>
            <w:pStyle w:val="25"/>
            <w:tabs>
              <w:tab w:val="right" w:leader="dot" w:pos="8634"/>
            </w:tabs>
          </w:pPr>
          <w:r>
            <w:fldChar w:fldCharType="begin"/>
          </w:r>
          <w:r>
            <w:instrText xml:space="preserve"> HYPERLINK \l _Toc6946 </w:instrText>
          </w:r>
          <w:r>
            <w:fldChar w:fldCharType="separate"/>
          </w:r>
          <w:r>
            <w:rPr>
              <w:rFonts w:ascii="微软雅黑" w:hAnsi="微软雅黑" w:eastAsia="微软雅黑"/>
              <w:lang w:val="zh-CN" w:eastAsia="zh-CN"/>
            </w:rPr>
            <w:t>5.3.3  资金管理</w:t>
          </w:r>
          <w:r>
            <w:tab/>
          </w:r>
          <w:r>
            <w:fldChar w:fldCharType="begin"/>
          </w:r>
          <w:r>
            <w:instrText xml:space="preserve"> PAGEREF _Toc6946 \h </w:instrText>
          </w:r>
          <w:r>
            <w:fldChar w:fldCharType="separate"/>
          </w:r>
          <w:r>
            <w:t>44</w:t>
          </w:r>
          <w:r>
            <w:fldChar w:fldCharType="end"/>
          </w:r>
          <w:r>
            <w:fldChar w:fldCharType="end"/>
          </w:r>
        </w:p>
        <w:p w14:paraId="4A2485CC">
          <w:r>
            <w:fldChar w:fldCharType="end"/>
          </w:r>
        </w:p>
      </w:sdtContent>
    </w:sdt>
    <w:p w14:paraId="0837ECDE"/>
    <w:p w14:paraId="4BF45F28">
      <w:pPr>
        <w:pageBreakBefore w:val="0"/>
        <w:widowControl/>
        <w:kinsoku/>
        <w:wordWrap/>
        <w:overflowPunct/>
        <w:topLinePunct w:val="0"/>
        <w:autoSpaceDE/>
        <w:autoSpaceDN/>
        <w:bidi w:val="0"/>
        <w:adjustRightInd/>
        <w:snapToGrid/>
        <w:jc w:val="both"/>
        <w:rPr>
          <w:rFonts w:hint="eastAsia"/>
          <w:lang w:eastAsia="zh-CN"/>
        </w:rPr>
      </w:pPr>
      <w:r>
        <w:rPr>
          <w:lang w:val="zh-CN" w:eastAsia="zh-CN"/>
        </w:rPr>
        <w:br w:type="page"/>
      </w:r>
    </w:p>
    <w:p w14:paraId="3FA51870">
      <w:pPr>
        <w:pStyle w:val="3"/>
        <w:pageBreakBefore w:val="0"/>
        <w:widowControl/>
        <w:kinsoku/>
        <w:wordWrap/>
        <w:overflowPunct/>
        <w:topLinePunct w:val="0"/>
        <w:autoSpaceDE/>
        <w:autoSpaceDN/>
        <w:bidi w:val="0"/>
        <w:adjustRightInd/>
        <w:snapToGrid/>
        <w:jc w:val="both"/>
        <w:rPr>
          <w:rFonts w:hint="eastAsia" w:ascii="微软雅黑" w:hAnsi="微软雅黑" w:eastAsia="微软雅黑"/>
          <w:color w:val="auto"/>
          <w:lang w:val="en-US" w:eastAsia="zh-CN"/>
        </w:rPr>
      </w:pPr>
      <w:bookmarkStart w:id="0" w:name="_Toc1276"/>
      <w:r>
        <w:rPr>
          <w:rFonts w:hint="eastAsia" w:ascii="微软雅黑" w:hAnsi="微软雅黑" w:eastAsia="微软雅黑"/>
          <w:color w:val="auto"/>
          <w:lang w:val="en-US" w:eastAsia="zh-CN"/>
        </w:rPr>
        <w:t>序言</w:t>
      </w:r>
      <w:bookmarkEnd w:id="0"/>
    </w:p>
    <w:p w14:paraId="30392275">
      <w:pPr>
        <w:pageBreakBefore w:val="0"/>
        <w:widowControl/>
        <w:kinsoku/>
        <w:wordWrap/>
        <w:overflowPunct/>
        <w:topLinePunct w:val="0"/>
        <w:autoSpaceDE/>
        <w:autoSpaceDN/>
        <w:bidi w:val="0"/>
        <w:adjustRightInd/>
        <w:snapToGrid/>
        <w:spacing w:after="120"/>
        <w:ind w:firstLine="397"/>
        <w:jc w:val="both"/>
        <w:rPr>
          <w:rFonts w:hint="eastAsia"/>
          <w:sz w:val="24"/>
          <w:szCs w:val="24"/>
          <w:lang w:val="en-US" w:eastAsia="zh-CN"/>
        </w:rPr>
      </w:pPr>
      <w:r>
        <w:rPr>
          <w:rFonts w:hint="eastAsia"/>
          <w:sz w:val="24"/>
          <w:szCs w:val="24"/>
          <w:lang w:val="en-US" w:eastAsia="zh-CN"/>
        </w:rPr>
        <w:t>为深度落实中国海诚境外项目财务合规管理要求，规范公司境外项目全流程财务运作，防范国别财税、外汇、资金、税务等各类经营风险，公司结合境外相应国别现行监管法规、双边税收协定及境外项目实操经验，组织编制系列《中国海诚境外财务管理操作指南》，本文为阿联酋篇。</w:t>
      </w:r>
    </w:p>
    <w:p w14:paraId="3A62A9E9">
      <w:pPr>
        <w:pageBreakBefore w:val="0"/>
        <w:widowControl/>
        <w:kinsoku/>
        <w:wordWrap/>
        <w:overflowPunct/>
        <w:topLinePunct w:val="0"/>
        <w:autoSpaceDE/>
        <w:autoSpaceDN/>
        <w:bidi w:val="0"/>
        <w:adjustRightInd/>
        <w:snapToGrid/>
        <w:spacing w:after="120"/>
        <w:ind w:firstLine="397"/>
        <w:jc w:val="both"/>
        <w:rPr>
          <w:rFonts w:hint="eastAsia"/>
          <w:sz w:val="24"/>
          <w:szCs w:val="24"/>
          <w:lang w:val="en-US" w:eastAsia="zh-CN"/>
        </w:rPr>
      </w:pPr>
      <w:r>
        <w:rPr>
          <w:rFonts w:hint="eastAsia"/>
          <w:sz w:val="24"/>
          <w:szCs w:val="24"/>
          <w:lang w:val="en-US" w:eastAsia="zh-CN"/>
        </w:rPr>
        <w:t>阿联酋财税、劳工、外汇政策属地特征突出，常设机构判定、税费申报、本地用工、跨境资金收付等规则与国内差异较大，工程业务极易出现主体选择失当、税务成本失控、汇兑损失等实操风险。本指南覆盖投标谈判、建设实施、收尾清算全项目周期，系统梳理当地营商财税监管体系，对比项目部、分公司、子公司经营模式，结合公司真实项目案例明确核算、资金、税务、档案标准化操作规范。</w:t>
      </w:r>
    </w:p>
    <w:p w14:paraId="19A1149B">
      <w:pPr>
        <w:pageBreakBefore w:val="0"/>
        <w:widowControl/>
        <w:kinsoku/>
        <w:wordWrap/>
        <w:overflowPunct/>
        <w:topLinePunct w:val="0"/>
        <w:autoSpaceDE/>
        <w:autoSpaceDN/>
        <w:bidi w:val="0"/>
        <w:adjustRightInd/>
        <w:snapToGrid/>
        <w:spacing w:after="120"/>
        <w:ind w:firstLine="397"/>
        <w:jc w:val="both"/>
        <w:rPr>
          <w:rFonts w:hint="eastAsia"/>
          <w:sz w:val="24"/>
          <w:szCs w:val="24"/>
          <w:lang w:val="en-US" w:eastAsia="zh-CN"/>
        </w:rPr>
      </w:pPr>
      <w:r>
        <w:rPr>
          <w:rFonts w:hint="eastAsia"/>
          <w:sz w:val="24"/>
          <w:szCs w:val="24"/>
          <w:lang w:val="en-US" w:eastAsia="zh-CN"/>
        </w:rPr>
        <w:t>本指南遵循衔接公司制度、依托实操经验的编写原则，兼顾合规底线与经营效率，适用于总部及各经营单位阿联酋相关财务管理工作。</w:t>
      </w:r>
      <w:r>
        <w:rPr>
          <w:rFonts w:hint="eastAsia"/>
          <w:sz w:val="24"/>
          <w:szCs w:val="24"/>
          <w:lang w:eastAsia="zh-CN"/>
        </w:rPr>
        <w:t>本</w:t>
      </w:r>
      <w:r>
        <w:rPr>
          <w:rFonts w:hint="eastAsia"/>
          <w:sz w:val="24"/>
          <w:szCs w:val="24"/>
          <w:lang w:val="en-US" w:eastAsia="zh-CN"/>
        </w:rPr>
        <w:t>指南</w:t>
      </w:r>
      <w:r>
        <w:rPr>
          <w:rFonts w:hint="eastAsia"/>
          <w:sz w:val="24"/>
          <w:szCs w:val="24"/>
          <w:lang w:eastAsia="zh-CN"/>
        </w:rPr>
        <w:t>所引用的法律法规、政策文件及数据，均来源于公开渠道，</w:t>
      </w:r>
      <w:r>
        <w:rPr>
          <w:rFonts w:hint="eastAsia"/>
          <w:sz w:val="24"/>
          <w:szCs w:val="24"/>
          <w:lang w:val="en-US" w:eastAsia="zh-CN"/>
        </w:rPr>
        <w:t>国别基础概况等部分非财务专业范畴的内容通过公开渠道收集资料整理，供财务人员参考。</w:t>
      </w:r>
      <w:r>
        <w:rPr>
          <w:rFonts w:hint="eastAsia"/>
          <w:sz w:val="24"/>
          <w:szCs w:val="24"/>
          <w:lang w:eastAsia="zh-CN"/>
        </w:rPr>
        <w:t>阿联酋相关政策存在调整的可能，使用过程中请留意官方最新信息，切勿以过时信息作为决策依据。本</w:t>
      </w:r>
      <w:r>
        <w:rPr>
          <w:rFonts w:hint="eastAsia"/>
          <w:sz w:val="24"/>
          <w:szCs w:val="24"/>
          <w:lang w:val="en-US" w:eastAsia="zh-CN"/>
        </w:rPr>
        <w:t>指南是</w:t>
      </w:r>
      <w:r>
        <w:rPr>
          <w:rFonts w:hint="eastAsia"/>
          <w:sz w:val="24"/>
          <w:szCs w:val="24"/>
          <w:lang w:eastAsia="zh-CN"/>
        </w:rPr>
        <w:t>内部参考文件，非正式的法律意见或财务建议，涉及重大决策时，</w:t>
      </w:r>
      <w:r>
        <w:rPr>
          <w:rFonts w:hint="eastAsia"/>
          <w:sz w:val="24"/>
          <w:szCs w:val="24"/>
          <w:lang w:val="en-US" w:eastAsia="zh-CN"/>
        </w:rPr>
        <w:t>应</w:t>
      </w:r>
      <w:r>
        <w:rPr>
          <w:rFonts w:hint="eastAsia"/>
          <w:sz w:val="24"/>
          <w:szCs w:val="24"/>
          <w:lang w:eastAsia="zh-CN"/>
        </w:rPr>
        <w:t>结合</w:t>
      </w:r>
      <w:r>
        <w:rPr>
          <w:rFonts w:hint="eastAsia"/>
          <w:sz w:val="24"/>
          <w:szCs w:val="24"/>
          <w:lang w:val="en-US" w:eastAsia="zh-CN"/>
        </w:rPr>
        <w:t>公司实际情况及</w:t>
      </w:r>
      <w:r>
        <w:rPr>
          <w:rFonts w:hint="eastAsia"/>
          <w:sz w:val="24"/>
          <w:szCs w:val="24"/>
          <w:lang w:eastAsia="zh-CN"/>
        </w:rPr>
        <w:t>当地专业顾问的意见综合判断。</w:t>
      </w:r>
    </w:p>
    <w:p w14:paraId="74931F6B">
      <w:pPr>
        <w:pageBreakBefore w:val="0"/>
        <w:widowControl/>
        <w:kinsoku/>
        <w:wordWrap/>
        <w:overflowPunct/>
        <w:topLinePunct w:val="0"/>
        <w:autoSpaceDE/>
        <w:autoSpaceDN/>
        <w:bidi w:val="0"/>
        <w:adjustRightInd/>
        <w:snapToGrid/>
        <w:spacing w:after="120"/>
        <w:ind w:firstLine="397"/>
        <w:jc w:val="both"/>
        <w:rPr>
          <w:rFonts w:hint="eastAsia"/>
          <w:sz w:val="24"/>
          <w:szCs w:val="24"/>
          <w:lang w:val="en-US" w:eastAsia="zh-CN"/>
        </w:rPr>
      </w:pPr>
      <w:r>
        <w:rPr>
          <w:rFonts w:hint="eastAsia"/>
          <w:sz w:val="24"/>
          <w:szCs w:val="24"/>
          <w:lang w:val="en-US" w:eastAsia="zh-CN"/>
        </w:rPr>
        <w:t>谨向本次指南编制牵头单位中国中轻国际工程有限公司致以诚挚鸣谢。</w:t>
      </w:r>
    </w:p>
    <w:p w14:paraId="7E05D110">
      <w:pPr>
        <w:rPr>
          <w:rFonts w:ascii="微软雅黑" w:hAnsi="微软雅黑" w:eastAsia="微软雅黑"/>
          <w:color w:val="auto"/>
          <w:lang w:val="zh-CN" w:eastAsia="zh-CN"/>
        </w:rPr>
      </w:pPr>
      <w:r>
        <w:rPr>
          <w:rFonts w:ascii="微软雅黑" w:hAnsi="微软雅黑" w:eastAsia="微软雅黑"/>
          <w:color w:val="auto"/>
          <w:lang w:val="zh-CN" w:eastAsia="zh-CN"/>
        </w:rPr>
        <w:br w:type="page"/>
      </w:r>
    </w:p>
    <w:p w14:paraId="78F369D4">
      <w:pPr>
        <w:pStyle w:val="3"/>
        <w:pageBreakBefore w:val="0"/>
        <w:widowControl/>
        <w:kinsoku/>
        <w:wordWrap/>
        <w:overflowPunct/>
        <w:topLinePunct w:val="0"/>
        <w:autoSpaceDE/>
        <w:autoSpaceDN/>
        <w:bidi w:val="0"/>
        <w:adjustRightInd/>
        <w:snapToGrid/>
        <w:jc w:val="both"/>
        <w:rPr>
          <w:rFonts w:ascii="微软雅黑" w:hAnsi="微软雅黑" w:eastAsia="微软雅黑"/>
          <w:color w:val="auto"/>
        </w:rPr>
      </w:pPr>
      <w:bookmarkStart w:id="1" w:name="_Toc27040"/>
      <w:r>
        <w:rPr>
          <w:rFonts w:ascii="微软雅黑" w:hAnsi="微软雅黑" w:eastAsia="微软雅黑"/>
          <w:color w:val="auto"/>
          <w:lang w:val="zh-CN" w:eastAsia="zh-CN"/>
        </w:rPr>
        <w:t>版本修订记录</w:t>
      </w:r>
      <w:bookmarkEnd w:id="1"/>
    </w:p>
    <w:tbl>
      <w:tblPr>
        <w:tblStyle w:val="37"/>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1446"/>
        <w:gridCol w:w="1995"/>
        <w:gridCol w:w="1980"/>
        <w:gridCol w:w="1487"/>
        <w:gridCol w:w="1727"/>
      </w:tblGrid>
      <w:tr w14:paraId="3374D9B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446" w:type="dxa"/>
            <w:shd w:val="clear" w:color="auto" w:fill="1F4E79"/>
            <w:vAlign w:val="center"/>
          </w:tcPr>
          <w:p w14:paraId="2D2FE43A">
            <w:pPr>
              <w:pageBreakBefore w:val="0"/>
              <w:widowControl/>
              <w:kinsoku/>
              <w:wordWrap/>
              <w:overflowPunct/>
              <w:topLinePunct w:val="0"/>
              <w:autoSpaceDE/>
              <w:autoSpaceDN/>
              <w:bidi w:val="0"/>
              <w:adjustRightInd/>
              <w:snapToGrid/>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版本号</w:t>
            </w:r>
          </w:p>
        </w:tc>
        <w:tc>
          <w:tcPr>
            <w:tcW w:w="1995" w:type="dxa"/>
            <w:shd w:val="clear" w:color="auto" w:fill="1F4E79"/>
            <w:vAlign w:val="center"/>
          </w:tcPr>
          <w:p w14:paraId="21534270">
            <w:pPr>
              <w:pageBreakBefore w:val="0"/>
              <w:widowControl/>
              <w:kinsoku/>
              <w:wordWrap/>
              <w:overflowPunct/>
              <w:topLinePunct w:val="0"/>
              <w:autoSpaceDE/>
              <w:autoSpaceDN/>
              <w:bidi w:val="0"/>
              <w:adjustRightInd/>
              <w:snapToGrid/>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修订日期</w:t>
            </w:r>
          </w:p>
        </w:tc>
        <w:tc>
          <w:tcPr>
            <w:tcW w:w="1980" w:type="dxa"/>
            <w:shd w:val="clear" w:color="auto" w:fill="1F4E79"/>
            <w:vAlign w:val="center"/>
          </w:tcPr>
          <w:p w14:paraId="12289377">
            <w:pPr>
              <w:pageBreakBefore w:val="0"/>
              <w:widowControl/>
              <w:kinsoku/>
              <w:wordWrap/>
              <w:overflowPunct/>
              <w:topLinePunct w:val="0"/>
              <w:autoSpaceDE/>
              <w:autoSpaceDN/>
              <w:bidi w:val="0"/>
              <w:adjustRightInd/>
              <w:snapToGrid/>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修订单位</w:t>
            </w:r>
          </w:p>
        </w:tc>
        <w:tc>
          <w:tcPr>
            <w:tcW w:w="1487" w:type="dxa"/>
            <w:shd w:val="clear" w:color="auto" w:fill="1F4E79"/>
            <w:vAlign w:val="center"/>
          </w:tcPr>
          <w:p w14:paraId="39ADE85D">
            <w:pPr>
              <w:pageBreakBefore w:val="0"/>
              <w:widowControl/>
              <w:kinsoku/>
              <w:wordWrap/>
              <w:overflowPunct/>
              <w:topLinePunct w:val="0"/>
              <w:autoSpaceDE/>
              <w:autoSpaceDN/>
              <w:bidi w:val="0"/>
              <w:adjustRightInd/>
              <w:snapToGrid/>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修订章节</w:t>
            </w:r>
          </w:p>
        </w:tc>
        <w:tc>
          <w:tcPr>
            <w:tcW w:w="1727" w:type="dxa"/>
            <w:shd w:val="clear" w:color="auto" w:fill="1F4E79"/>
            <w:vAlign w:val="center"/>
          </w:tcPr>
          <w:p w14:paraId="5FB81119">
            <w:pPr>
              <w:pageBreakBefore w:val="0"/>
              <w:widowControl/>
              <w:kinsoku/>
              <w:wordWrap/>
              <w:overflowPunct/>
              <w:topLinePunct w:val="0"/>
              <w:autoSpaceDE/>
              <w:autoSpaceDN/>
              <w:bidi w:val="0"/>
              <w:adjustRightInd/>
              <w:snapToGrid/>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修订内容摘要</w:t>
            </w:r>
          </w:p>
        </w:tc>
      </w:tr>
      <w:tr w14:paraId="640C451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446" w:type="dxa"/>
            <w:vAlign w:val="center"/>
          </w:tcPr>
          <w:p w14:paraId="24D09E44">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szCs w:val="21"/>
                <w:lang w:val="zh-CN" w:eastAsia="zh-CN"/>
              </w:rPr>
              <w:t>V1.0</w:t>
            </w:r>
          </w:p>
        </w:tc>
        <w:tc>
          <w:tcPr>
            <w:tcW w:w="1995" w:type="dxa"/>
            <w:vAlign w:val="center"/>
          </w:tcPr>
          <w:p w14:paraId="7254624E">
            <w:pPr>
              <w:pageBreakBefore w:val="0"/>
              <w:widowControl/>
              <w:kinsoku/>
              <w:wordWrap/>
              <w:overflowPunct/>
              <w:topLinePunct w:val="0"/>
              <w:autoSpaceDE/>
              <w:autoSpaceDN/>
              <w:bidi w:val="0"/>
              <w:adjustRightInd/>
              <w:snapToGrid/>
              <w:spacing w:before="40" w:after="40" w:line="240" w:lineRule="auto"/>
              <w:jc w:val="both"/>
              <w:rPr>
                <w:rFonts w:hint="default" w:eastAsia="微软雅黑"/>
                <w:szCs w:val="21"/>
                <w:lang w:val="en-US" w:eastAsia="zh-CN"/>
              </w:rPr>
            </w:pPr>
            <w:r>
              <w:rPr>
                <w:rFonts w:hint="eastAsia"/>
                <w:szCs w:val="21"/>
                <w:lang w:val="en-US" w:eastAsia="zh-CN"/>
              </w:rPr>
              <w:t>2026年7月16</w:t>
            </w:r>
            <w:bookmarkStart w:id="55" w:name="_GoBack"/>
            <w:bookmarkEnd w:id="55"/>
            <w:r>
              <w:rPr>
                <w:rFonts w:hint="eastAsia"/>
                <w:szCs w:val="21"/>
                <w:lang w:val="en-US" w:eastAsia="zh-CN"/>
              </w:rPr>
              <w:t>日</w:t>
            </w:r>
          </w:p>
        </w:tc>
        <w:tc>
          <w:tcPr>
            <w:tcW w:w="1980" w:type="dxa"/>
            <w:vAlign w:val="center"/>
          </w:tcPr>
          <w:p w14:paraId="2A4C2EBE">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rFonts w:hint="eastAsia"/>
                <w:szCs w:val="21"/>
                <w:lang w:val="zh-CN" w:eastAsia="zh-CN"/>
              </w:rPr>
              <w:t>中国中轻国际工程有限公司</w:t>
            </w:r>
          </w:p>
        </w:tc>
        <w:tc>
          <w:tcPr>
            <w:tcW w:w="1487" w:type="dxa"/>
            <w:vAlign w:val="center"/>
          </w:tcPr>
          <w:p w14:paraId="47A9F1C9">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szCs w:val="21"/>
                <w:lang w:val="zh-CN" w:eastAsia="zh-CN"/>
              </w:rPr>
              <w:t>全文</w:t>
            </w:r>
          </w:p>
        </w:tc>
        <w:tc>
          <w:tcPr>
            <w:tcW w:w="1727" w:type="dxa"/>
            <w:vAlign w:val="center"/>
          </w:tcPr>
          <w:p w14:paraId="5DAD7FCA">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szCs w:val="21"/>
                <w:lang w:val="zh-CN" w:eastAsia="zh-CN"/>
              </w:rPr>
              <w:t>首次发布</w:t>
            </w:r>
          </w:p>
        </w:tc>
      </w:tr>
      <w:tr w14:paraId="7F8555A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446" w:type="dxa"/>
            <w:vAlign w:val="center"/>
          </w:tcPr>
          <w:p w14:paraId="45C29177">
            <w:pPr>
              <w:pageBreakBefore w:val="0"/>
              <w:widowControl/>
              <w:kinsoku/>
              <w:wordWrap/>
              <w:overflowPunct/>
              <w:topLinePunct w:val="0"/>
              <w:autoSpaceDE/>
              <w:autoSpaceDN/>
              <w:bidi w:val="0"/>
              <w:adjustRightInd/>
              <w:snapToGrid/>
              <w:spacing w:before="40" w:after="40" w:line="240" w:lineRule="auto"/>
              <w:jc w:val="both"/>
              <w:rPr>
                <w:rFonts w:hint="eastAsia"/>
                <w:szCs w:val="21"/>
              </w:rPr>
            </w:pPr>
          </w:p>
        </w:tc>
        <w:tc>
          <w:tcPr>
            <w:tcW w:w="1995" w:type="dxa"/>
            <w:vAlign w:val="center"/>
          </w:tcPr>
          <w:p w14:paraId="54535879">
            <w:pPr>
              <w:pageBreakBefore w:val="0"/>
              <w:widowControl/>
              <w:kinsoku/>
              <w:wordWrap/>
              <w:overflowPunct/>
              <w:topLinePunct w:val="0"/>
              <w:autoSpaceDE/>
              <w:autoSpaceDN/>
              <w:bidi w:val="0"/>
              <w:adjustRightInd/>
              <w:snapToGrid/>
              <w:spacing w:before="40" w:after="40" w:line="240" w:lineRule="auto"/>
              <w:jc w:val="both"/>
              <w:rPr>
                <w:rFonts w:hint="eastAsia"/>
                <w:szCs w:val="21"/>
              </w:rPr>
            </w:pPr>
          </w:p>
        </w:tc>
        <w:tc>
          <w:tcPr>
            <w:tcW w:w="1980" w:type="dxa"/>
            <w:vAlign w:val="center"/>
          </w:tcPr>
          <w:p w14:paraId="1C75F66C">
            <w:pPr>
              <w:pageBreakBefore w:val="0"/>
              <w:widowControl/>
              <w:kinsoku/>
              <w:wordWrap/>
              <w:overflowPunct/>
              <w:topLinePunct w:val="0"/>
              <w:autoSpaceDE/>
              <w:autoSpaceDN/>
              <w:bidi w:val="0"/>
              <w:adjustRightInd/>
              <w:snapToGrid/>
              <w:spacing w:before="40" w:after="40" w:line="240" w:lineRule="auto"/>
              <w:jc w:val="both"/>
              <w:rPr>
                <w:rFonts w:hint="eastAsia"/>
                <w:szCs w:val="21"/>
              </w:rPr>
            </w:pPr>
          </w:p>
        </w:tc>
        <w:tc>
          <w:tcPr>
            <w:tcW w:w="1487" w:type="dxa"/>
            <w:vAlign w:val="center"/>
          </w:tcPr>
          <w:p w14:paraId="747B4640">
            <w:pPr>
              <w:pageBreakBefore w:val="0"/>
              <w:widowControl/>
              <w:kinsoku/>
              <w:wordWrap/>
              <w:overflowPunct/>
              <w:topLinePunct w:val="0"/>
              <w:autoSpaceDE/>
              <w:autoSpaceDN/>
              <w:bidi w:val="0"/>
              <w:adjustRightInd/>
              <w:snapToGrid/>
              <w:spacing w:before="40" w:after="40" w:line="240" w:lineRule="auto"/>
              <w:jc w:val="both"/>
              <w:rPr>
                <w:rFonts w:hint="eastAsia"/>
                <w:szCs w:val="21"/>
              </w:rPr>
            </w:pPr>
          </w:p>
        </w:tc>
        <w:tc>
          <w:tcPr>
            <w:tcW w:w="1727" w:type="dxa"/>
            <w:vAlign w:val="center"/>
          </w:tcPr>
          <w:p w14:paraId="38430E38">
            <w:pPr>
              <w:pageBreakBefore w:val="0"/>
              <w:widowControl/>
              <w:kinsoku/>
              <w:wordWrap/>
              <w:overflowPunct/>
              <w:topLinePunct w:val="0"/>
              <w:autoSpaceDE/>
              <w:autoSpaceDN/>
              <w:bidi w:val="0"/>
              <w:adjustRightInd/>
              <w:snapToGrid/>
              <w:spacing w:before="40" w:after="40" w:line="240" w:lineRule="auto"/>
              <w:jc w:val="both"/>
              <w:rPr>
                <w:rFonts w:hint="eastAsia"/>
                <w:szCs w:val="21"/>
              </w:rPr>
            </w:pPr>
          </w:p>
        </w:tc>
      </w:tr>
      <w:tr w14:paraId="51877B0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446" w:type="dxa"/>
            <w:vAlign w:val="center"/>
          </w:tcPr>
          <w:p w14:paraId="2580C092">
            <w:pPr>
              <w:pageBreakBefore w:val="0"/>
              <w:widowControl/>
              <w:kinsoku/>
              <w:wordWrap/>
              <w:overflowPunct/>
              <w:topLinePunct w:val="0"/>
              <w:autoSpaceDE/>
              <w:autoSpaceDN/>
              <w:bidi w:val="0"/>
              <w:adjustRightInd/>
              <w:snapToGrid/>
              <w:spacing w:before="40" w:after="40" w:line="240" w:lineRule="auto"/>
              <w:jc w:val="both"/>
              <w:rPr>
                <w:rFonts w:hint="eastAsia"/>
                <w:szCs w:val="21"/>
              </w:rPr>
            </w:pPr>
          </w:p>
        </w:tc>
        <w:tc>
          <w:tcPr>
            <w:tcW w:w="1995" w:type="dxa"/>
            <w:vAlign w:val="center"/>
          </w:tcPr>
          <w:p w14:paraId="4A4DA721">
            <w:pPr>
              <w:pageBreakBefore w:val="0"/>
              <w:widowControl/>
              <w:kinsoku/>
              <w:wordWrap/>
              <w:overflowPunct/>
              <w:topLinePunct w:val="0"/>
              <w:autoSpaceDE/>
              <w:autoSpaceDN/>
              <w:bidi w:val="0"/>
              <w:adjustRightInd/>
              <w:snapToGrid/>
              <w:spacing w:before="40" w:after="40" w:line="240" w:lineRule="auto"/>
              <w:jc w:val="both"/>
              <w:rPr>
                <w:rFonts w:hint="eastAsia"/>
                <w:szCs w:val="21"/>
              </w:rPr>
            </w:pPr>
          </w:p>
        </w:tc>
        <w:tc>
          <w:tcPr>
            <w:tcW w:w="1980" w:type="dxa"/>
            <w:vAlign w:val="center"/>
          </w:tcPr>
          <w:p w14:paraId="391BCEEF">
            <w:pPr>
              <w:pageBreakBefore w:val="0"/>
              <w:widowControl/>
              <w:kinsoku/>
              <w:wordWrap/>
              <w:overflowPunct/>
              <w:topLinePunct w:val="0"/>
              <w:autoSpaceDE/>
              <w:autoSpaceDN/>
              <w:bidi w:val="0"/>
              <w:adjustRightInd/>
              <w:snapToGrid/>
              <w:spacing w:before="40" w:after="40" w:line="240" w:lineRule="auto"/>
              <w:jc w:val="both"/>
              <w:rPr>
                <w:rFonts w:hint="eastAsia"/>
                <w:szCs w:val="21"/>
              </w:rPr>
            </w:pPr>
          </w:p>
        </w:tc>
        <w:tc>
          <w:tcPr>
            <w:tcW w:w="1487" w:type="dxa"/>
            <w:vAlign w:val="center"/>
          </w:tcPr>
          <w:p w14:paraId="1CEDB413">
            <w:pPr>
              <w:pageBreakBefore w:val="0"/>
              <w:widowControl/>
              <w:kinsoku/>
              <w:wordWrap/>
              <w:overflowPunct/>
              <w:topLinePunct w:val="0"/>
              <w:autoSpaceDE/>
              <w:autoSpaceDN/>
              <w:bidi w:val="0"/>
              <w:adjustRightInd/>
              <w:snapToGrid/>
              <w:spacing w:before="40" w:after="40" w:line="240" w:lineRule="auto"/>
              <w:jc w:val="both"/>
              <w:rPr>
                <w:rFonts w:hint="eastAsia"/>
                <w:szCs w:val="21"/>
              </w:rPr>
            </w:pPr>
          </w:p>
        </w:tc>
        <w:tc>
          <w:tcPr>
            <w:tcW w:w="1727" w:type="dxa"/>
            <w:vAlign w:val="center"/>
          </w:tcPr>
          <w:p w14:paraId="0064CF85">
            <w:pPr>
              <w:pageBreakBefore w:val="0"/>
              <w:widowControl/>
              <w:kinsoku/>
              <w:wordWrap/>
              <w:overflowPunct/>
              <w:topLinePunct w:val="0"/>
              <w:autoSpaceDE/>
              <w:autoSpaceDN/>
              <w:bidi w:val="0"/>
              <w:adjustRightInd/>
              <w:snapToGrid/>
              <w:spacing w:before="40" w:after="40" w:line="240" w:lineRule="auto"/>
              <w:jc w:val="both"/>
              <w:rPr>
                <w:rFonts w:hint="eastAsia"/>
                <w:szCs w:val="21"/>
              </w:rPr>
            </w:pPr>
          </w:p>
        </w:tc>
      </w:tr>
    </w:tbl>
    <w:p w14:paraId="3934DE29">
      <w:pPr>
        <w:pageBreakBefore w:val="0"/>
        <w:widowControl/>
        <w:kinsoku/>
        <w:wordWrap/>
        <w:overflowPunct/>
        <w:topLinePunct w:val="0"/>
        <w:autoSpaceDE/>
        <w:autoSpaceDN/>
        <w:bidi w:val="0"/>
        <w:adjustRightInd/>
        <w:snapToGrid/>
        <w:jc w:val="both"/>
        <w:rPr>
          <w:rFonts w:hint="eastAsia"/>
        </w:rPr>
      </w:pPr>
      <w:r>
        <w:rPr>
          <w:lang w:val="zh-CN" w:eastAsia="zh-CN"/>
        </w:rPr>
        <w:br w:type="page"/>
      </w:r>
    </w:p>
    <w:p w14:paraId="3C3B9EBD">
      <w:pPr>
        <w:pStyle w:val="3"/>
        <w:pageBreakBefore w:val="0"/>
        <w:widowControl/>
        <w:kinsoku/>
        <w:wordWrap/>
        <w:overflowPunct/>
        <w:topLinePunct w:val="0"/>
        <w:autoSpaceDE/>
        <w:autoSpaceDN/>
        <w:bidi w:val="0"/>
        <w:adjustRightInd/>
        <w:snapToGrid/>
        <w:jc w:val="both"/>
        <w:rPr>
          <w:rFonts w:ascii="微软雅黑" w:hAnsi="微软雅黑" w:eastAsia="微软雅黑"/>
          <w:color w:val="auto"/>
        </w:rPr>
      </w:pPr>
      <w:bookmarkStart w:id="2" w:name="_Toc21143"/>
      <w:r>
        <w:rPr>
          <w:rFonts w:ascii="微软雅黑" w:hAnsi="微软雅黑" w:eastAsia="微软雅黑"/>
          <w:color w:val="auto"/>
          <w:lang w:val="zh-CN" w:eastAsia="zh-CN"/>
        </w:rPr>
        <w:t>第一章  总则</w:t>
      </w:r>
      <w:bookmarkEnd w:id="2"/>
    </w:p>
    <w:p w14:paraId="56459C50">
      <w:pPr>
        <w:pStyle w:val="4"/>
        <w:pageBreakBefore w:val="0"/>
        <w:widowControl/>
        <w:kinsoku/>
        <w:wordWrap/>
        <w:overflowPunct/>
        <w:topLinePunct w:val="0"/>
        <w:autoSpaceDE/>
        <w:autoSpaceDN/>
        <w:bidi w:val="0"/>
        <w:adjustRightInd/>
        <w:snapToGrid/>
        <w:jc w:val="both"/>
        <w:rPr>
          <w:rFonts w:ascii="微软雅黑" w:hAnsi="微软雅黑" w:eastAsia="微软雅黑"/>
          <w:color w:val="auto"/>
        </w:rPr>
      </w:pPr>
      <w:bookmarkStart w:id="3" w:name="_Toc5246"/>
      <w:r>
        <w:rPr>
          <w:rFonts w:ascii="微软雅黑" w:hAnsi="微软雅黑" w:eastAsia="微软雅黑"/>
          <w:color w:val="auto"/>
          <w:lang w:val="zh-CN" w:eastAsia="zh-CN"/>
        </w:rPr>
        <w:t>1.1  编制目的</w:t>
      </w:r>
      <w:bookmarkEnd w:id="3"/>
    </w:p>
    <w:p w14:paraId="478A993B">
      <w:pPr>
        <w:pageBreakBefore w:val="0"/>
        <w:widowControl/>
        <w:kinsoku/>
        <w:wordWrap/>
        <w:overflowPunct/>
        <w:topLinePunct w:val="0"/>
        <w:autoSpaceDE/>
        <w:autoSpaceDN/>
        <w:bidi w:val="0"/>
        <w:adjustRightInd/>
        <w:snapToGrid/>
        <w:spacing w:after="120"/>
        <w:ind w:firstLine="397"/>
        <w:jc w:val="both"/>
        <w:rPr>
          <w:rFonts w:hint="eastAsia"/>
          <w:sz w:val="24"/>
          <w:szCs w:val="24"/>
          <w:lang w:eastAsia="zh-CN"/>
        </w:rPr>
      </w:pPr>
      <w:r>
        <w:rPr>
          <w:sz w:val="24"/>
          <w:szCs w:val="24"/>
          <w:lang w:val="zh-CN" w:eastAsia="zh-CN"/>
        </w:rPr>
        <w:t>为指导中国海诚各</w:t>
      </w:r>
      <w:r>
        <w:rPr>
          <w:rFonts w:hint="eastAsia"/>
          <w:sz w:val="24"/>
          <w:szCs w:val="24"/>
          <w:lang w:val="en-US" w:eastAsia="zh-CN"/>
        </w:rPr>
        <w:t>经营</w:t>
      </w:r>
      <w:r>
        <w:rPr>
          <w:sz w:val="24"/>
          <w:szCs w:val="24"/>
          <w:lang w:val="zh-CN" w:eastAsia="zh-CN"/>
        </w:rPr>
        <w:t>单位在</w:t>
      </w:r>
      <w:r>
        <w:rPr>
          <w:rFonts w:hint="eastAsia"/>
          <w:sz w:val="24"/>
          <w:szCs w:val="24"/>
          <w:lang w:val="zh-CN" w:eastAsia="zh-CN"/>
        </w:rPr>
        <w:t>阿联酋</w:t>
      </w:r>
      <w:r>
        <w:rPr>
          <w:sz w:val="24"/>
          <w:szCs w:val="24"/>
          <w:lang w:val="zh-CN" w:eastAsia="zh-CN"/>
        </w:rPr>
        <w:t>安全、合规、高效地开展工程项目财务管理工作，在遵循</w:t>
      </w:r>
      <w:r>
        <w:rPr>
          <w:rFonts w:hint="eastAsia"/>
          <w:sz w:val="24"/>
          <w:szCs w:val="24"/>
          <w:lang w:val="zh-CN" w:eastAsia="zh-CN"/>
        </w:rPr>
        <w:t>公司（含保利集团、保利中轻、中国海诚，以下统称“公司”）相关</w:t>
      </w:r>
      <w:r>
        <w:rPr>
          <w:sz w:val="24"/>
          <w:szCs w:val="24"/>
          <w:lang w:val="zh-CN" w:eastAsia="zh-CN"/>
        </w:rPr>
        <w:t>制度基础上，结合</w:t>
      </w:r>
      <w:r>
        <w:rPr>
          <w:rFonts w:hint="eastAsia"/>
          <w:sz w:val="24"/>
          <w:szCs w:val="24"/>
          <w:lang w:val="zh-CN" w:eastAsia="zh-CN"/>
        </w:rPr>
        <w:t>阿联酋</w:t>
      </w:r>
      <w:r>
        <w:rPr>
          <w:sz w:val="24"/>
          <w:szCs w:val="24"/>
          <w:lang w:val="zh-CN" w:eastAsia="zh-CN"/>
        </w:rPr>
        <w:t>实际财税环境和已执行项目的实操经验，特制定本指南。</w:t>
      </w:r>
    </w:p>
    <w:p w14:paraId="2B25430D">
      <w:pPr>
        <w:pStyle w:val="4"/>
        <w:pageBreakBefore w:val="0"/>
        <w:widowControl/>
        <w:kinsoku/>
        <w:wordWrap/>
        <w:overflowPunct/>
        <w:topLinePunct w:val="0"/>
        <w:autoSpaceDE/>
        <w:autoSpaceDN/>
        <w:bidi w:val="0"/>
        <w:adjustRightInd/>
        <w:snapToGrid/>
        <w:jc w:val="both"/>
        <w:rPr>
          <w:rFonts w:ascii="微软雅黑" w:hAnsi="微软雅黑" w:eastAsia="微软雅黑"/>
          <w:color w:val="auto"/>
          <w:lang w:eastAsia="zh-CN"/>
        </w:rPr>
      </w:pPr>
      <w:bookmarkStart w:id="4" w:name="_Toc21526"/>
      <w:r>
        <w:rPr>
          <w:rFonts w:ascii="微软雅黑" w:hAnsi="微软雅黑" w:eastAsia="微软雅黑"/>
          <w:color w:val="auto"/>
          <w:lang w:val="zh-CN" w:eastAsia="zh-CN"/>
        </w:rPr>
        <w:t>1.2  适用范围</w:t>
      </w:r>
      <w:bookmarkEnd w:id="4"/>
    </w:p>
    <w:p w14:paraId="4F8A22A9">
      <w:pPr>
        <w:pageBreakBefore w:val="0"/>
        <w:widowControl/>
        <w:kinsoku/>
        <w:wordWrap/>
        <w:overflowPunct/>
        <w:topLinePunct w:val="0"/>
        <w:autoSpaceDE/>
        <w:autoSpaceDN/>
        <w:bidi w:val="0"/>
        <w:adjustRightInd/>
        <w:snapToGrid/>
        <w:spacing w:after="120"/>
        <w:ind w:firstLine="397"/>
        <w:jc w:val="both"/>
        <w:rPr>
          <w:rFonts w:hint="eastAsia"/>
          <w:sz w:val="24"/>
          <w:szCs w:val="24"/>
          <w:lang w:eastAsia="zh-CN"/>
        </w:rPr>
      </w:pPr>
      <w:r>
        <w:rPr>
          <w:sz w:val="24"/>
          <w:szCs w:val="24"/>
          <w:lang w:val="zh-CN" w:eastAsia="zh-CN"/>
        </w:rPr>
        <w:t>适用于中国海诚总部及下属各</w:t>
      </w:r>
      <w:r>
        <w:rPr>
          <w:rFonts w:hint="eastAsia"/>
          <w:sz w:val="24"/>
          <w:szCs w:val="24"/>
          <w:lang w:val="zh-CN" w:eastAsia="zh-CN"/>
        </w:rPr>
        <w:t>经营</w:t>
      </w:r>
      <w:r>
        <w:rPr>
          <w:sz w:val="24"/>
          <w:szCs w:val="24"/>
          <w:lang w:val="zh-CN" w:eastAsia="zh-CN"/>
        </w:rPr>
        <w:t>单位，在</w:t>
      </w:r>
      <w:r>
        <w:rPr>
          <w:rFonts w:hint="eastAsia"/>
          <w:sz w:val="24"/>
          <w:szCs w:val="24"/>
          <w:lang w:val="zh-CN" w:eastAsia="zh-CN"/>
        </w:rPr>
        <w:t>阿联酋</w:t>
      </w:r>
      <w:r>
        <w:rPr>
          <w:sz w:val="24"/>
          <w:szCs w:val="24"/>
          <w:lang w:val="zh-CN" w:eastAsia="zh-CN"/>
        </w:rPr>
        <w:t>境内开展（或拟开展）工程项目时所涉及的财务管理活动。</w:t>
      </w:r>
    </w:p>
    <w:p w14:paraId="01609E8A">
      <w:pPr>
        <w:pStyle w:val="4"/>
        <w:pageBreakBefore w:val="0"/>
        <w:widowControl/>
        <w:kinsoku/>
        <w:wordWrap/>
        <w:overflowPunct/>
        <w:topLinePunct w:val="0"/>
        <w:autoSpaceDE/>
        <w:autoSpaceDN/>
        <w:bidi w:val="0"/>
        <w:adjustRightInd/>
        <w:snapToGrid/>
        <w:jc w:val="both"/>
        <w:rPr>
          <w:rFonts w:ascii="微软雅黑" w:hAnsi="微软雅黑" w:eastAsia="微软雅黑"/>
          <w:color w:val="auto"/>
          <w:lang w:eastAsia="zh-CN"/>
        </w:rPr>
      </w:pPr>
      <w:bookmarkStart w:id="5" w:name="_Toc21076"/>
      <w:r>
        <w:rPr>
          <w:rFonts w:ascii="微软雅黑" w:hAnsi="微软雅黑" w:eastAsia="微软雅黑"/>
          <w:color w:val="auto"/>
          <w:lang w:val="zh-CN" w:eastAsia="zh-CN"/>
        </w:rPr>
        <w:t>1.3  编写原则</w:t>
      </w:r>
      <w:bookmarkEnd w:id="5"/>
    </w:p>
    <w:p w14:paraId="3E71F815">
      <w:pPr>
        <w:pageBreakBefore w:val="0"/>
        <w:widowControl/>
        <w:kinsoku/>
        <w:wordWrap/>
        <w:overflowPunct/>
        <w:topLinePunct w:val="0"/>
        <w:autoSpaceDE/>
        <w:autoSpaceDN/>
        <w:bidi w:val="0"/>
        <w:adjustRightInd/>
        <w:snapToGrid/>
        <w:spacing w:after="120"/>
        <w:ind w:firstLine="397"/>
        <w:jc w:val="both"/>
        <w:rPr>
          <w:sz w:val="24"/>
          <w:szCs w:val="24"/>
          <w:lang w:eastAsia="zh-CN"/>
        </w:rPr>
      </w:pPr>
      <w:r>
        <w:rPr>
          <w:sz w:val="24"/>
          <w:szCs w:val="24"/>
          <w:lang w:val="zh-CN" w:eastAsia="zh-CN"/>
        </w:rPr>
        <w:t>本指南编写遵循以下原则：</w:t>
      </w:r>
    </w:p>
    <w:p w14:paraId="03C70196">
      <w:pPr>
        <w:pageBreakBefore w:val="0"/>
        <w:widowControl/>
        <w:kinsoku/>
        <w:wordWrap/>
        <w:overflowPunct/>
        <w:topLinePunct w:val="0"/>
        <w:autoSpaceDE/>
        <w:autoSpaceDN/>
        <w:bidi w:val="0"/>
        <w:adjustRightInd/>
        <w:snapToGrid/>
        <w:spacing w:after="120"/>
        <w:ind w:firstLine="397"/>
        <w:jc w:val="both"/>
        <w:rPr>
          <w:sz w:val="24"/>
          <w:szCs w:val="24"/>
          <w:lang w:eastAsia="zh-CN"/>
        </w:rPr>
      </w:pPr>
      <w:r>
        <w:rPr>
          <w:rFonts w:hint="eastAsia"/>
          <w:sz w:val="24"/>
          <w:szCs w:val="24"/>
          <w:lang w:val="en-US" w:eastAsia="zh-CN"/>
        </w:rPr>
        <w:t>公司</w:t>
      </w:r>
      <w:r>
        <w:rPr>
          <w:sz w:val="24"/>
          <w:szCs w:val="24"/>
          <w:lang w:val="zh-CN" w:eastAsia="zh-CN"/>
        </w:rPr>
        <w:t>制度已明确的原则性要求</w:t>
      </w:r>
      <w:r>
        <w:rPr>
          <w:rFonts w:hint="eastAsia"/>
          <w:sz w:val="24"/>
          <w:szCs w:val="24"/>
          <w:lang w:val="zh-CN" w:eastAsia="zh-CN"/>
        </w:rPr>
        <w:t>，如</w:t>
      </w:r>
      <w:r>
        <w:rPr>
          <w:sz w:val="24"/>
          <w:szCs w:val="24"/>
          <w:lang w:val="zh-CN" w:eastAsia="zh-CN"/>
        </w:rPr>
        <w:t>资金</w:t>
      </w:r>
      <w:r>
        <w:rPr>
          <w:rFonts w:hint="eastAsia"/>
          <w:sz w:val="24"/>
          <w:szCs w:val="24"/>
          <w:lang w:val="zh-CN" w:eastAsia="zh-CN"/>
        </w:rPr>
        <w:t>收支</w:t>
      </w:r>
      <w:r>
        <w:rPr>
          <w:sz w:val="24"/>
          <w:szCs w:val="24"/>
          <w:lang w:val="zh-CN" w:eastAsia="zh-CN"/>
        </w:rPr>
        <w:t>审批权限、</w:t>
      </w:r>
      <w:r>
        <w:rPr>
          <w:rFonts w:hint="eastAsia"/>
          <w:sz w:val="24"/>
          <w:szCs w:val="24"/>
          <w:lang w:val="zh-CN" w:eastAsia="zh-CN"/>
        </w:rPr>
        <w:t>保函开具格式、</w:t>
      </w:r>
      <w:r>
        <w:rPr>
          <w:sz w:val="24"/>
          <w:szCs w:val="24"/>
          <w:lang w:val="zh-CN" w:eastAsia="zh-CN"/>
        </w:rPr>
        <w:t>会计核算通用原则、档案管理等，本指南不</w:t>
      </w:r>
      <w:r>
        <w:rPr>
          <w:rFonts w:hint="eastAsia"/>
          <w:sz w:val="24"/>
          <w:szCs w:val="24"/>
          <w:lang w:val="zh-CN" w:eastAsia="zh-CN"/>
        </w:rPr>
        <w:t>重复引用</w:t>
      </w:r>
      <w:r>
        <w:rPr>
          <w:sz w:val="24"/>
          <w:szCs w:val="24"/>
          <w:lang w:val="zh-CN" w:eastAsia="zh-CN"/>
        </w:rPr>
        <w:t>。</w:t>
      </w:r>
    </w:p>
    <w:p w14:paraId="4B2C2A86">
      <w:pPr>
        <w:pageBreakBefore w:val="0"/>
        <w:widowControl/>
        <w:kinsoku/>
        <w:wordWrap/>
        <w:overflowPunct/>
        <w:topLinePunct w:val="0"/>
        <w:autoSpaceDE/>
        <w:autoSpaceDN/>
        <w:bidi w:val="0"/>
        <w:adjustRightInd/>
        <w:snapToGrid/>
        <w:spacing w:after="120"/>
        <w:ind w:firstLine="397"/>
        <w:jc w:val="both"/>
        <w:rPr>
          <w:rFonts w:hint="eastAsia"/>
          <w:sz w:val="24"/>
          <w:szCs w:val="24"/>
          <w:lang w:eastAsia="zh-CN"/>
        </w:rPr>
      </w:pPr>
      <w:r>
        <w:rPr>
          <w:rFonts w:hint="eastAsia"/>
          <w:sz w:val="24"/>
          <w:szCs w:val="24"/>
          <w:lang w:eastAsia="zh-CN"/>
        </w:rPr>
        <w:t>指南中</w:t>
      </w:r>
      <w:r>
        <w:rPr>
          <w:sz w:val="24"/>
          <w:szCs w:val="24"/>
          <w:lang w:val="zh-CN" w:eastAsia="zh-CN"/>
        </w:rPr>
        <w:t>内容</w:t>
      </w:r>
      <w:r>
        <w:rPr>
          <w:rFonts w:hint="eastAsia"/>
          <w:sz w:val="24"/>
          <w:szCs w:val="24"/>
          <w:lang w:val="zh-CN" w:eastAsia="zh-CN"/>
        </w:rPr>
        <w:t>均</w:t>
      </w:r>
      <w:r>
        <w:rPr>
          <w:sz w:val="24"/>
          <w:szCs w:val="24"/>
          <w:lang w:val="zh-CN" w:eastAsia="zh-CN"/>
        </w:rPr>
        <w:t>有已执行项目的经验支撑</w:t>
      </w:r>
      <w:r>
        <w:rPr>
          <w:rFonts w:hint="eastAsia"/>
          <w:sz w:val="24"/>
          <w:szCs w:val="24"/>
          <w:lang w:val="zh-CN" w:eastAsia="zh-CN"/>
        </w:rPr>
        <w:t>，后续各经营单位</w:t>
      </w:r>
      <w:r>
        <w:rPr>
          <w:sz w:val="24"/>
          <w:szCs w:val="24"/>
          <w:lang w:val="zh-CN" w:eastAsia="zh-CN"/>
        </w:rPr>
        <w:t>在</w:t>
      </w:r>
      <w:r>
        <w:rPr>
          <w:rFonts w:hint="eastAsia"/>
          <w:sz w:val="24"/>
          <w:szCs w:val="24"/>
          <w:lang w:val="zh-CN" w:eastAsia="zh-CN"/>
        </w:rPr>
        <w:t>阿联酋</w:t>
      </w:r>
      <w:r>
        <w:rPr>
          <w:sz w:val="24"/>
          <w:szCs w:val="24"/>
          <w:lang w:val="zh-CN" w:eastAsia="zh-CN"/>
        </w:rPr>
        <w:t>执行项目后获得新信息、新案例，由</w:t>
      </w:r>
      <w:r>
        <w:rPr>
          <w:rFonts w:hint="eastAsia"/>
          <w:sz w:val="24"/>
          <w:szCs w:val="24"/>
          <w:lang w:val="zh-CN" w:eastAsia="zh-CN"/>
        </w:rPr>
        <w:t>总部财务资金管理中心</w:t>
      </w:r>
      <w:r>
        <w:rPr>
          <w:sz w:val="24"/>
          <w:szCs w:val="24"/>
          <w:lang w:val="zh-CN" w:eastAsia="zh-CN"/>
        </w:rPr>
        <w:t>指定单位</w:t>
      </w:r>
      <w:r>
        <w:rPr>
          <w:rFonts w:hint="eastAsia"/>
          <w:sz w:val="24"/>
          <w:szCs w:val="24"/>
          <w:lang w:val="zh-CN" w:eastAsia="zh-CN"/>
        </w:rPr>
        <w:t>另行</w:t>
      </w:r>
      <w:r>
        <w:rPr>
          <w:sz w:val="24"/>
          <w:szCs w:val="24"/>
          <w:lang w:val="zh-CN" w:eastAsia="zh-CN"/>
        </w:rPr>
        <w:t>更新</w:t>
      </w:r>
      <w:r>
        <w:rPr>
          <w:rFonts w:hint="eastAsia"/>
          <w:sz w:val="24"/>
          <w:szCs w:val="24"/>
          <w:lang w:val="zh-CN" w:eastAsia="zh-CN"/>
        </w:rPr>
        <w:t>，</w:t>
      </w:r>
      <w:r>
        <w:rPr>
          <w:sz w:val="24"/>
          <w:szCs w:val="24"/>
          <w:lang w:val="zh-CN" w:eastAsia="zh-CN"/>
        </w:rPr>
        <w:t>修订单位不限于原编写公司</w:t>
      </w:r>
      <w:r>
        <w:rPr>
          <w:lang w:val="zh-CN" w:eastAsia="zh-CN"/>
        </w:rPr>
        <w:t>。</w:t>
      </w:r>
    </w:p>
    <w:p w14:paraId="7868329D">
      <w:pPr>
        <w:pageBreakBefore w:val="0"/>
        <w:widowControl/>
        <w:kinsoku/>
        <w:wordWrap/>
        <w:overflowPunct/>
        <w:topLinePunct w:val="0"/>
        <w:autoSpaceDE/>
        <w:autoSpaceDN/>
        <w:bidi w:val="0"/>
        <w:adjustRightInd/>
        <w:snapToGrid/>
        <w:jc w:val="both"/>
        <w:rPr>
          <w:rFonts w:hint="eastAsia"/>
          <w:lang w:eastAsia="zh-CN"/>
        </w:rPr>
      </w:pPr>
      <w:r>
        <w:rPr>
          <w:lang w:val="zh-CN" w:eastAsia="zh-CN"/>
        </w:rPr>
        <w:br w:type="page"/>
      </w:r>
    </w:p>
    <w:p w14:paraId="506AAC5E">
      <w:pPr>
        <w:pStyle w:val="3"/>
        <w:pageBreakBefore w:val="0"/>
        <w:widowControl/>
        <w:kinsoku/>
        <w:wordWrap/>
        <w:overflowPunct/>
        <w:topLinePunct w:val="0"/>
        <w:autoSpaceDE/>
        <w:autoSpaceDN/>
        <w:bidi w:val="0"/>
        <w:adjustRightInd/>
        <w:snapToGrid/>
        <w:jc w:val="both"/>
        <w:rPr>
          <w:rFonts w:ascii="微软雅黑" w:hAnsi="微软雅黑" w:eastAsia="微软雅黑"/>
          <w:color w:val="auto"/>
          <w:lang w:eastAsia="zh-CN"/>
        </w:rPr>
      </w:pPr>
      <w:bookmarkStart w:id="6" w:name="_Toc31164"/>
      <w:r>
        <w:rPr>
          <w:rFonts w:ascii="微软雅黑" w:hAnsi="微软雅黑" w:eastAsia="微软雅黑"/>
          <w:color w:val="auto"/>
          <w:lang w:val="zh-CN" w:eastAsia="zh-CN"/>
        </w:rPr>
        <w:t>第二章  国别财税环境速览</w:t>
      </w:r>
      <w:bookmarkEnd w:id="6"/>
    </w:p>
    <w:p w14:paraId="2C1B9B9E">
      <w:pPr>
        <w:pStyle w:val="4"/>
        <w:pageBreakBefore w:val="0"/>
        <w:widowControl/>
        <w:kinsoku/>
        <w:wordWrap/>
        <w:overflowPunct/>
        <w:topLinePunct w:val="0"/>
        <w:autoSpaceDE/>
        <w:autoSpaceDN/>
        <w:bidi w:val="0"/>
        <w:adjustRightInd/>
        <w:snapToGrid/>
        <w:jc w:val="both"/>
        <w:rPr>
          <w:rFonts w:ascii="微软雅黑" w:hAnsi="微软雅黑" w:eastAsia="微软雅黑"/>
          <w:color w:val="auto"/>
        </w:rPr>
      </w:pPr>
      <w:bookmarkStart w:id="7" w:name="_Toc20876"/>
      <w:r>
        <w:rPr>
          <w:rFonts w:ascii="微软雅黑" w:hAnsi="微软雅黑" w:eastAsia="微软雅黑"/>
          <w:color w:val="auto"/>
          <w:lang w:val="zh-CN" w:eastAsia="zh-CN"/>
        </w:rPr>
        <w:t>2.1  国别基础信息</w:t>
      </w:r>
      <w:bookmarkEnd w:id="7"/>
    </w:p>
    <w:tbl>
      <w:tblPr>
        <w:tblStyle w:val="37"/>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3945"/>
        <w:gridCol w:w="4679"/>
      </w:tblGrid>
      <w:tr w14:paraId="4A0B884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945" w:type="dxa"/>
            <w:shd w:val="clear" w:color="auto" w:fill="1F4E79"/>
            <w:vAlign w:val="center"/>
          </w:tcPr>
          <w:p w14:paraId="3A2DD065">
            <w:pPr>
              <w:pageBreakBefore w:val="0"/>
              <w:widowControl/>
              <w:kinsoku/>
              <w:wordWrap/>
              <w:overflowPunct/>
              <w:topLinePunct w:val="0"/>
              <w:autoSpaceDE/>
              <w:autoSpaceDN/>
              <w:bidi w:val="0"/>
              <w:adjustRightInd/>
              <w:snapToGrid/>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项目</w:t>
            </w:r>
          </w:p>
        </w:tc>
        <w:tc>
          <w:tcPr>
            <w:tcW w:w="4679" w:type="dxa"/>
            <w:shd w:val="clear" w:color="auto" w:fill="1F4E79"/>
            <w:vAlign w:val="center"/>
          </w:tcPr>
          <w:p w14:paraId="0AA07DEC">
            <w:pPr>
              <w:pageBreakBefore w:val="0"/>
              <w:widowControl/>
              <w:kinsoku/>
              <w:wordWrap/>
              <w:overflowPunct/>
              <w:topLinePunct w:val="0"/>
              <w:autoSpaceDE/>
              <w:autoSpaceDN/>
              <w:bidi w:val="0"/>
              <w:adjustRightInd/>
              <w:snapToGrid/>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内容</w:t>
            </w:r>
          </w:p>
        </w:tc>
      </w:tr>
      <w:tr w14:paraId="6E6DB4C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945" w:type="dxa"/>
            <w:vAlign w:val="center"/>
          </w:tcPr>
          <w:p w14:paraId="3778A2FA">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szCs w:val="21"/>
                <w:lang w:val="zh-CN" w:eastAsia="zh-CN"/>
              </w:rPr>
              <w:t>官方语言</w:t>
            </w:r>
          </w:p>
        </w:tc>
        <w:tc>
          <w:tcPr>
            <w:tcW w:w="4679" w:type="dxa"/>
            <w:vAlign w:val="center"/>
          </w:tcPr>
          <w:p w14:paraId="2A1122B8">
            <w:pPr>
              <w:pageBreakBefore w:val="0"/>
              <w:widowControl/>
              <w:kinsoku/>
              <w:wordWrap/>
              <w:overflowPunct/>
              <w:topLinePunct w:val="0"/>
              <w:autoSpaceDE/>
              <w:autoSpaceDN/>
              <w:bidi w:val="0"/>
              <w:adjustRightInd/>
              <w:snapToGrid/>
              <w:spacing w:before="40" w:after="40" w:line="240" w:lineRule="auto"/>
              <w:jc w:val="both"/>
              <w:rPr>
                <w:rFonts w:hint="eastAsia" w:eastAsia="微软雅黑"/>
                <w:szCs w:val="21"/>
                <w:lang w:eastAsia="zh-CN"/>
              </w:rPr>
            </w:pPr>
            <w:r>
              <w:rPr>
                <w:rFonts w:hint="eastAsia"/>
                <w:szCs w:val="21"/>
              </w:rPr>
              <w:t>阿拉伯语</w:t>
            </w:r>
            <w:r>
              <w:rPr>
                <w:rFonts w:hint="eastAsia"/>
                <w:szCs w:val="21"/>
                <w:lang w:eastAsia="zh-CN"/>
              </w:rPr>
              <w:t>，通用商务语言</w:t>
            </w:r>
            <w:r>
              <w:rPr>
                <w:rFonts w:hint="eastAsia"/>
                <w:szCs w:val="21"/>
                <w:lang w:val="en-US" w:eastAsia="zh-CN"/>
              </w:rPr>
              <w:t>为</w:t>
            </w:r>
            <w:r>
              <w:rPr>
                <w:rFonts w:hint="eastAsia"/>
                <w:szCs w:val="21"/>
                <w:lang w:eastAsia="zh-CN"/>
              </w:rPr>
              <w:t>英语</w:t>
            </w:r>
          </w:p>
        </w:tc>
      </w:tr>
      <w:tr w14:paraId="238BD46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945" w:type="dxa"/>
            <w:vAlign w:val="center"/>
          </w:tcPr>
          <w:p w14:paraId="01BCF829">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szCs w:val="21"/>
                <w:lang w:val="zh-CN" w:eastAsia="zh-CN"/>
              </w:rPr>
              <w:t>当地货币</w:t>
            </w:r>
          </w:p>
        </w:tc>
        <w:tc>
          <w:tcPr>
            <w:tcW w:w="4679" w:type="dxa"/>
            <w:vAlign w:val="center"/>
          </w:tcPr>
          <w:p w14:paraId="4988E37B">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rFonts w:hint="eastAsia"/>
                <w:szCs w:val="21"/>
              </w:rPr>
              <w:t>阿联酋迪拉姆（AED）</w:t>
            </w:r>
          </w:p>
        </w:tc>
      </w:tr>
      <w:tr w14:paraId="2F970E3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945" w:type="dxa"/>
            <w:vAlign w:val="center"/>
          </w:tcPr>
          <w:p w14:paraId="46615C46">
            <w:pPr>
              <w:pageBreakBefore w:val="0"/>
              <w:widowControl/>
              <w:kinsoku/>
              <w:wordWrap/>
              <w:overflowPunct/>
              <w:topLinePunct w:val="0"/>
              <w:autoSpaceDE/>
              <w:autoSpaceDN/>
              <w:bidi w:val="0"/>
              <w:adjustRightInd/>
              <w:snapToGrid/>
              <w:spacing w:before="40" w:after="40" w:line="240" w:lineRule="auto"/>
              <w:jc w:val="both"/>
              <w:rPr>
                <w:rFonts w:hint="eastAsia"/>
                <w:szCs w:val="21"/>
                <w:lang w:eastAsia="zh-CN"/>
              </w:rPr>
            </w:pPr>
            <w:r>
              <w:rPr>
                <w:szCs w:val="21"/>
                <w:lang w:val="zh-CN" w:eastAsia="zh-CN"/>
              </w:rPr>
              <w:t>参考汇率</w:t>
            </w:r>
          </w:p>
        </w:tc>
        <w:tc>
          <w:tcPr>
            <w:tcW w:w="4679" w:type="dxa"/>
            <w:vAlign w:val="center"/>
          </w:tcPr>
          <w:p w14:paraId="201DBAE1">
            <w:pPr>
              <w:pageBreakBefore w:val="0"/>
              <w:widowControl/>
              <w:kinsoku/>
              <w:wordWrap/>
              <w:overflowPunct/>
              <w:topLinePunct w:val="0"/>
              <w:autoSpaceDE/>
              <w:autoSpaceDN/>
              <w:bidi w:val="0"/>
              <w:adjustRightInd/>
              <w:snapToGrid/>
              <w:spacing w:before="40" w:after="40" w:line="240" w:lineRule="auto"/>
              <w:jc w:val="both"/>
              <w:rPr>
                <w:rFonts w:hint="default"/>
                <w:szCs w:val="21"/>
                <w:lang w:val="en-US" w:eastAsia="zh-CN"/>
              </w:rPr>
            </w:pPr>
            <w:r>
              <w:rPr>
                <w:rFonts w:hint="eastAsia"/>
                <w:szCs w:val="21"/>
                <w:lang w:eastAsia="zh-CN"/>
              </w:rPr>
              <w:t>阿联酋迪拉姆/人民币</w:t>
            </w:r>
            <w:r>
              <w:rPr>
                <w:rFonts w:hint="eastAsia"/>
                <w:szCs w:val="21"/>
                <w:lang w:val="en-US" w:eastAsia="zh-CN"/>
              </w:rPr>
              <w:t>1.8501（2026年6月）</w:t>
            </w:r>
          </w:p>
        </w:tc>
      </w:tr>
      <w:tr w14:paraId="6EF343B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945" w:type="dxa"/>
            <w:vAlign w:val="center"/>
          </w:tcPr>
          <w:p w14:paraId="51097B4B">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szCs w:val="21"/>
                <w:lang w:val="zh-CN" w:eastAsia="zh-CN"/>
              </w:rPr>
              <w:t>时差（对北京时间）</w:t>
            </w:r>
          </w:p>
        </w:tc>
        <w:tc>
          <w:tcPr>
            <w:tcW w:w="4679" w:type="dxa"/>
            <w:vAlign w:val="center"/>
          </w:tcPr>
          <w:p w14:paraId="73CBDD3C">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rFonts w:hint="eastAsia"/>
                <w:szCs w:val="21"/>
                <w:lang w:val="en-US" w:eastAsia="zh-CN"/>
              </w:rPr>
              <w:t>东四区，</w:t>
            </w:r>
            <w:r>
              <w:rPr>
                <w:rFonts w:hint="eastAsia"/>
                <w:szCs w:val="21"/>
              </w:rPr>
              <w:t>比北京时间</w:t>
            </w:r>
            <w:r>
              <w:rPr>
                <w:rFonts w:hint="eastAsia"/>
                <w:szCs w:val="21"/>
                <w:lang w:val="en-US" w:eastAsia="zh-CN"/>
              </w:rPr>
              <w:t>晚</w:t>
            </w:r>
            <w:r>
              <w:rPr>
                <w:rFonts w:hint="eastAsia"/>
                <w:szCs w:val="21"/>
              </w:rPr>
              <w:t>4</w:t>
            </w:r>
            <w:r>
              <w:rPr>
                <w:rFonts w:hint="eastAsia"/>
                <w:szCs w:val="21"/>
                <w:lang w:val="en-US" w:eastAsia="zh-CN"/>
              </w:rPr>
              <w:t>个</w:t>
            </w:r>
            <w:r>
              <w:rPr>
                <w:rFonts w:hint="eastAsia"/>
                <w:szCs w:val="21"/>
              </w:rPr>
              <w:t>小时</w:t>
            </w:r>
          </w:p>
        </w:tc>
      </w:tr>
      <w:tr w14:paraId="35BDEA9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945" w:type="dxa"/>
            <w:vAlign w:val="center"/>
          </w:tcPr>
          <w:p w14:paraId="446FFB8E">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szCs w:val="21"/>
                <w:lang w:val="zh-CN" w:eastAsia="zh-CN"/>
              </w:rPr>
              <w:t>中</w:t>
            </w:r>
            <w:r>
              <w:rPr>
                <w:rFonts w:hint="eastAsia"/>
                <w:szCs w:val="21"/>
                <w:lang w:val="zh-CN" w:eastAsia="zh-CN"/>
              </w:rPr>
              <w:t>阿</w:t>
            </w:r>
            <w:r>
              <w:rPr>
                <w:szCs w:val="21"/>
                <w:lang w:val="zh-CN" w:eastAsia="zh-CN"/>
              </w:rPr>
              <w:t>税收协定</w:t>
            </w:r>
          </w:p>
        </w:tc>
        <w:tc>
          <w:tcPr>
            <w:tcW w:w="4679" w:type="dxa"/>
            <w:vAlign w:val="center"/>
          </w:tcPr>
          <w:p w14:paraId="171257C5">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rFonts w:hint="eastAsia"/>
                <w:szCs w:val="21"/>
              </w:rPr>
              <w:t>签署日期</w:t>
            </w:r>
            <w:r>
              <w:rPr>
                <w:rFonts w:hint="eastAsia"/>
                <w:szCs w:val="21"/>
                <w:lang w:val="en-US" w:eastAsia="zh-CN"/>
              </w:rPr>
              <w:t>1993年7月1日</w:t>
            </w:r>
            <w:r>
              <w:rPr>
                <w:rFonts w:hint="eastAsia"/>
                <w:szCs w:val="21"/>
              </w:rPr>
              <w:t>，</w:t>
            </w:r>
            <w:r>
              <w:rPr>
                <w:rFonts w:hint="eastAsia"/>
                <w:szCs w:val="21"/>
                <w:lang w:val="en-US" w:eastAsia="zh-CN"/>
              </w:rPr>
              <w:t>已</w:t>
            </w:r>
            <w:r>
              <w:rPr>
                <w:rFonts w:hint="eastAsia"/>
                <w:szCs w:val="21"/>
              </w:rPr>
              <w:t>生效</w:t>
            </w:r>
          </w:p>
        </w:tc>
      </w:tr>
    </w:tbl>
    <w:p w14:paraId="51DDB4BD">
      <w:pPr>
        <w:pageBreakBefore w:val="0"/>
        <w:widowControl/>
        <w:kinsoku/>
        <w:wordWrap/>
        <w:overflowPunct/>
        <w:topLinePunct w:val="0"/>
        <w:autoSpaceDE/>
        <w:autoSpaceDN/>
        <w:bidi w:val="0"/>
        <w:adjustRightInd/>
        <w:snapToGrid/>
        <w:jc w:val="both"/>
        <w:rPr>
          <w:rFonts w:hint="eastAsia"/>
        </w:rPr>
      </w:pPr>
    </w:p>
    <w:p w14:paraId="416BA99A">
      <w:pPr>
        <w:pStyle w:val="4"/>
        <w:pageBreakBefore w:val="0"/>
        <w:widowControl/>
        <w:kinsoku/>
        <w:wordWrap/>
        <w:overflowPunct/>
        <w:topLinePunct w:val="0"/>
        <w:autoSpaceDE/>
        <w:autoSpaceDN/>
        <w:bidi w:val="0"/>
        <w:adjustRightInd/>
        <w:snapToGrid/>
        <w:jc w:val="both"/>
        <w:rPr>
          <w:rFonts w:ascii="微软雅黑" w:hAnsi="微软雅黑" w:eastAsia="微软雅黑"/>
          <w:color w:val="auto"/>
        </w:rPr>
      </w:pPr>
      <w:bookmarkStart w:id="8" w:name="_Toc689"/>
      <w:r>
        <w:rPr>
          <w:rFonts w:ascii="微软雅黑" w:hAnsi="微软雅黑" w:eastAsia="微软雅黑"/>
          <w:color w:val="auto"/>
          <w:lang w:val="zh-CN" w:eastAsia="zh-CN"/>
        </w:rPr>
        <w:t>2.2  核心税种速览表</w:t>
      </w:r>
      <w:bookmarkEnd w:id="8"/>
    </w:p>
    <w:tbl>
      <w:tblPr>
        <w:tblStyle w:val="37"/>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920"/>
        <w:gridCol w:w="1726"/>
        <w:gridCol w:w="1915"/>
        <w:gridCol w:w="1800"/>
        <w:gridCol w:w="1331"/>
        <w:gridCol w:w="942"/>
      </w:tblGrid>
      <w:tr w14:paraId="62DDD12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jc w:val="center"/>
        </w:trPr>
        <w:tc>
          <w:tcPr>
            <w:tcW w:w="920" w:type="dxa"/>
            <w:shd w:val="clear" w:color="auto" w:fill="1F4E79"/>
            <w:vAlign w:val="center"/>
          </w:tcPr>
          <w:p w14:paraId="5A5644D9">
            <w:pPr>
              <w:pageBreakBefore w:val="0"/>
              <w:widowControl/>
              <w:kinsoku/>
              <w:wordWrap/>
              <w:overflowPunct/>
              <w:topLinePunct w:val="0"/>
              <w:autoSpaceDE/>
              <w:autoSpaceDN/>
              <w:bidi w:val="0"/>
              <w:adjustRightInd/>
              <w:snapToGrid/>
              <w:spacing w:before="40" w:after="40" w:line="240" w:lineRule="auto"/>
              <w:jc w:val="center"/>
              <w:rPr>
                <w:rFonts w:hint="eastAsia"/>
                <w:color w:val="FFFFFF" w:themeColor="background1"/>
                <w:szCs w:val="28"/>
                <w14:textFill>
                  <w14:solidFill>
                    <w14:schemeClr w14:val="bg1"/>
                  </w14:solidFill>
                </w14:textFill>
              </w:rPr>
            </w:pPr>
            <w:r>
              <w:rPr>
                <w:b/>
                <w:color w:val="FFFFFF" w:themeColor="background1"/>
                <w:szCs w:val="28"/>
                <w:lang w:val="zh-CN" w:eastAsia="zh-CN"/>
                <w14:textFill>
                  <w14:solidFill>
                    <w14:schemeClr w14:val="bg1"/>
                  </w14:solidFill>
                </w14:textFill>
              </w:rPr>
              <w:t>税种</w:t>
            </w:r>
          </w:p>
        </w:tc>
        <w:tc>
          <w:tcPr>
            <w:tcW w:w="1726" w:type="dxa"/>
            <w:shd w:val="clear" w:color="auto" w:fill="1F4E79"/>
            <w:vAlign w:val="center"/>
          </w:tcPr>
          <w:p w14:paraId="3A9C12BF">
            <w:pPr>
              <w:pageBreakBefore w:val="0"/>
              <w:widowControl/>
              <w:kinsoku/>
              <w:wordWrap/>
              <w:overflowPunct/>
              <w:topLinePunct w:val="0"/>
              <w:autoSpaceDE/>
              <w:autoSpaceDN/>
              <w:bidi w:val="0"/>
              <w:adjustRightInd/>
              <w:snapToGrid/>
              <w:spacing w:before="40" w:after="40" w:line="240" w:lineRule="auto"/>
              <w:jc w:val="center"/>
              <w:rPr>
                <w:rFonts w:hint="eastAsia"/>
                <w:color w:val="FFFFFF" w:themeColor="background1"/>
                <w:szCs w:val="28"/>
                <w14:textFill>
                  <w14:solidFill>
                    <w14:schemeClr w14:val="bg1"/>
                  </w14:solidFill>
                </w14:textFill>
              </w:rPr>
            </w:pPr>
            <w:r>
              <w:rPr>
                <w:b/>
                <w:color w:val="FFFFFF" w:themeColor="background1"/>
                <w:szCs w:val="28"/>
                <w:lang w:val="zh-CN" w:eastAsia="zh-CN"/>
                <w14:textFill>
                  <w14:solidFill>
                    <w14:schemeClr w14:val="bg1"/>
                  </w14:solidFill>
                </w14:textFill>
              </w:rPr>
              <w:t>标准税率</w:t>
            </w:r>
          </w:p>
        </w:tc>
        <w:tc>
          <w:tcPr>
            <w:tcW w:w="1915" w:type="dxa"/>
            <w:shd w:val="clear" w:color="auto" w:fill="1F4E79"/>
            <w:vAlign w:val="center"/>
          </w:tcPr>
          <w:p w14:paraId="5B18273A">
            <w:pPr>
              <w:pageBreakBefore w:val="0"/>
              <w:widowControl/>
              <w:kinsoku/>
              <w:wordWrap/>
              <w:overflowPunct/>
              <w:topLinePunct w:val="0"/>
              <w:autoSpaceDE/>
              <w:autoSpaceDN/>
              <w:bidi w:val="0"/>
              <w:adjustRightInd/>
              <w:snapToGrid/>
              <w:spacing w:before="40" w:after="40" w:line="240" w:lineRule="auto"/>
              <w:jc w:val="center"/>
              <w:rPr>
                <w:b/>
                <w:color w:val="FFFFFF" w:themeColor="background1"/>
                <w:szCs w:val="28"/>
                <w:lang w:val="zh-CN" w:eastAsia="zh-CN"/>
                <w14:textFill>
                  <w14:solidFill>
                    <w14:schemeClr w14:val="bg1"/>
                  </w14:solidFill>
                </w14:textFill>
              </w:rPr>
            </w:pPr>
            <w:r>
              <w:rPr>
                <w:b/>
                <w:color w:val="FFFFFF" w:themeColor="background1"/>
                <w:szCs w:val="28"/>
                <w:lang w:val="zh-CN" w:eastAsia="zh-CN"/>
                <w14:textFill>
                  <w14:solidFill>
                    <w14:schemeClr w14:val="bg1"/>
                  </w14:solidFill>
                </w14:textFill>
              </w:rPr>
              <w:t>税收优惠</w:t>
            </w:r>
          </w:p>
          <w:p w14:paraId="10880208">
            <w:pPr>
              <w:pageBreakBefore w:val="0"/>
              <w:widowControl/>
              <w:kinsoku/>
              <w:wordWrap/>
              <w:overflowPunct/>
              <w:topLinePunct w:val="0"/>
              <w:autoSpaceDE/>
              <w:autoSpaceDN/>
              <w:bidi w:val="0"/>
              <w:adjustRightInd/>
              <w:snapToGrid/>
              <w:spacing w:before="40" w:after="40" w:line="240" w:lineRule="auto"/>
              <w:jc w:val="center"/>
              <w:rPr>
                <w:rFonts w:hint="eastAsia"/>
                <w:color w:val="FFFFFF" w:themeColor="background1"/>
                <w:szCs w:val="28"/>
                <w14:textFill>
                  <w14:solidFill>
                    <w14:schemeClr w14:val="bg1"/>
                  </w14:solidFill>
                </w14:textFill>
              </w:rPr>
            </w:pPr>
            <w:r>
              <w:rPr>
                <w:rFonts w:hint="eastAsia"/>
                <w:b/>
                <w:color w:val="FFFFFF" w:themeColor="background1"/>
                <w:szCs w:val="28"/>
                <w:lang w:val="zh-CN" w:eastAsia="zh-CN"/>
                <w14:textFill>
                  <w14:solidFill>
                    <w14:schemeClr w14:val="bg1"/>
                  </w14:solidFill>
                </w14:textFill>
              </w:rPr>
              <w:t>（如有）</w:t>
            </w:r>
          </w:p>
        </w:tc>
        <w:tc>
          <w:tcPr>
            <w:tcW w:w="1800" w:type="dxa"/>
            <w:shd w:val="clear" w:color="auto" w:fill="1F4E79"/>
            <w:vAlign w:val="center"/>
          </w:tcPr>
          <w:p w14:paraId="4CC29BD0">
            <w:pPr>
              <w:pageBreakBefore w:val="0"/>
              <w:widowControl/>
              <w:kinsoku/>
              <w:wordWrap/>
              <w:overflowPunct/>
              <w:topLinePunct w:val="0"/>
              <w:autoSpaceDE/>
              <w:autoSpaceDN/>
              <w:bidi w:val="0"/>
              <w:adjustRightInd/>
              <w:snapToGrid/>
              <w:spacing w:before="40" w:after="40" w:line="240" w:lineRule="auto"/>
              <w:jc w:val="center"/>
              <w:rPr>
                <w:rFonts w:hint="eastAsia"/>
                <w:color w:val="FFFFFF" w:themeColor="background1"/>
                <w:szCs w:val="28"/>
                <w14:textFill>
                  <w14:solidFill>
                    <w14:schemeClr w14:val="bg1"/>
                  </w14:solidFill>
                </w14:textFill>
              </w:rPr>
            </w:pPr>
            <w:r>
              <w:rPr>
                <w:b/>
                <w:color w:val="FFFFFF" w:themeColor="background1"/>
                <w:szCs w:val="28"/>
                <w:lang w:val="zh-CN" w:eastAsia="zh-CN"/>
                <w14:textFill>
                  <w14:solidFill>
                    <w14:schemeClr w14:val="bg1"/>
                  </w14:solidFill>
                </w14:textFill>
              </w:rPr>
              <w:t>申报周期</w:t>
            </w:r>
          </w:p>
        </w:tc>
        <w:tc>
          <w:tcPr>
            <w:tcW w:w="1331" w:type="dxa"/>
            <w:shd w:val="clear" w:color="auto" w:fill="1F4E79"/>
            <w:vAlign w:val="center"/>
          </w:tcPr>
          <w:p w14:paraId="60E04929">
            <w:pPr>
              <w:pageBreakBefore w:val="0"/>
              <w:widowControl/>
              <w:kinsoku/>
              <w:wordWrap/>
              <w:overflowPunct/>
              <w:topLinePunct w:val="0"/>
              <w:autoSpaceDE/>
              <w:autoSpaceDN/>
              <w:bidi w:val="0"/>
              <w:adjustRightInd/>
              <w:snapToGrid/>
              <w:spacing w:before="40" w:after="40" w:line="240" w:lineRule="auto"/>
              <w:jc w:val="center"/>
              <w:rPr>
                <w:rFonts w:hint="eastAsia"/>
                <w:color w:val="FFFFFF" w:themeColor="background1"/>
                <w:szCs w:val="28"/>
                <w14:textFill>
                  <w14:solidFill>
                    <w14:schemeClr w14:val="bg1"/>
                  </w14:solidFill>
                </w14:textFill>
              </w:rPr>
            </w:pPr>
            <w:r>
              <w:rPr>
                <w:b/>
                <w:color w:val="FFFFFF" w:themeColor="background1"/>
                <w:szCs w:val="28"/>
                <w:lang w:val="zh-CN" w:eastAsia="zh-CN"/>
                <w14:textFill>
                  <w14:solidFill>
                    <w14:schemeClr w14:val="bg1"/>
                  </w14:solidFill>
                </w14:textFill>
              </w:rPr>
              <w:t>申报截止日</w:t>
            </w:r>
          </w:p>
        </w:tc>
        <w:tc>
          <w:tcPr>
            <w:tcW w:w="942" w:type="dxa"/>
            <w:shd w:val="clear" w:color="auto" w:fill="1F4E79"/>
            <w:vAlign w:val="center"/>
          </w:tcPr>
          <w:p w14:paraId="1763987E">
            <w:pPr>
              <w:pageBreakBefore w:val="0"/>
              <w:widowControl/>
              <w:kinsoku/>
              <w:wordWrap/>
              <w:overflowPunct/>
              <w:topLinePunct w:val="0"/>
              <w:autoSpaceDE/>
              <w:autoSpaceDN/>
              <w:bidi w:val="0"/>
              <w:adjustRightInd/>
              <w:snapToGrid/>
              <w:spacing w:before="40" w:after="40" w:line="240" w:lineRule="auto"/>
              <w:jc w:val="center"/>
              <w:rPr>
                <w:rFonts w:hint="eastAsia"/>
                <w:color w:val="FFFFFF" w:themeColor="background1"/>
                <w:szCs w:val="28"/>
                <w14:textFill>
                  <w14:solidFill>
                    <w14:schemeClr w14:val="bg1"/>
                  </w14:solidFill>
                </w14:textFill>
              </w:rPr>
            </w:pPr>
            <w:r>
              <w:rPr>
                <w:b/>
                <w:color w:val="FFFFFF" w:themeColor="background1"/>
                <w:szCs w:val="28"/>
                <w:lang w:val="zh-CN" w:eastAsia="zh-CN"/>
                <w14:textFill>
                  <w14:solidFill>
                    <w14:schemeClr w14:val="bg1"/>
                  </w14:solidFill>
                </w14:textFill>
              </w:rPr>
              <w:t>来源</w:t>
            </w:r>
          </w:p>
        </w:tc>
      </w:tr>
      <w:tr w14:paraId="11950B3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1525" w:hRule="atLeast"/>
          <w:jc w:val="center"/>
        </w:trPr>
        <w:tc>
          <w:tcPr>
            <w:tcW w:w="920" w:type="dxa"/>
            <w:vAlign w:val="center"/>
          </w:tcPr>
          <w:p w14:paraId="72AD5B32">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szCs w:val="28"/>
                <w:lang w:val="zh-CN" w:eastAsia="zh-CN"/>
              </w:rPr>
              <w:t>企业所得税</w:t>
            </w:r>
          </w:p>
        </w:tc>
        <w:tc>
          <w:tcPr>
            <w:tcW w:w="1726" w:type="dxa"/>
            <w:vAlign w:val="center"/>
          </w:tcPr>
          <w:p w14:paraId="7F90766F">
            <w:pPr>
              <w:pageBreakBefore w:val="0"/>
              <w:widowControl/>
              <w:kinsoku/>
              <w:wordWrap/>
              <w:overflowPunct/>
              <w:topLinePunct w:val="0"/>
              <w:autoSpaceDE/>
              <w:autoSpaceDN/>
              <w:bidi w:val="0"/>
              <w:adjustRightInd/>
              <w:snapToGrid/>
              <w:spacing w:before="40" w:after="40" w:line="240" w:lineRule="auto"/>
              <w:jc w:val="both"/>
              <w:rPr>
                <w:rFonts w:hint="default" w:eastAsia="微软雅黑"/>
                <w:szCs w:val="28"/>
                <w:lang w:val="en-US" w:eastAsia="zh-CN"/>
              </w:rPr>
            </w:pPr>
            <w:r>
              <w:rPr>
                <w:rFonts w:hint="eastAsia"/>
                <w:szCs w:val="28"/>
                <w:lang w:val="en-US" w:eastAsia="zh-CN"/>
              </w:rPr>
              <w:t>9%</w:t>
            </w:r>
          </w:p>
        </w:tc>
        <w:tc>
          <w:tcPr>
            <w:tcW w:w="1915" w:type="dxa"/>
            <w:vAlign w:val="center"/>
          </w:tcPr>
          <w:p w14:paraId="641C8878">
            <w:pPr>
              <w:pageBreakBefore w:val="0"/>
              <w:widowControl/>
              <w:kinsoku/>
              <w:wordWrap/>
              <w:overflowPunct/>
              <w:topLinePunct w:val="0"/>
              <w:autoSpaceDE/>
              <w:autoSpaceDN/>
              <w:bidi w:val="0"/>
              <w:adjustRightInd/>
              <w:snapToGrid/>
              <w:spacing w:before="40" w:after="40" w:line="240" w:lineRule="auto"/>
              <w:jc w:val="both"/>
              <w:rPr>
                <w:rFonts w:hint="default" w:eastAsia="微软雅黑"/>
                <w:szCs w:val="28"/>
                <w:lang w:val="en-US" w:eastAsia="zh-CN"/>
              </w:rPr>
            </w:pPr>
            <w:r>
              <w:rPr>
                <w:rFonts w:hint="eastAsia"/>
                <w:szCs w:val="28"/>
                <w:lang w:val="en-US" w:eastAsia="zh-CN"/>
              </w:rPr>
              <w:t>自贸区合格收入免税（工程业务不满足条件），子公司小微豁免（利润≤37.5万迪拉姆部分免税）</w:t>
            </w:r>
          </w:p>
        </w:tc>
        <w:tc>
          <w:tcPr>
            <w:tcW w:w="1800" w:type="dxa"/>
            <w:vAlign w:val="center"/>
          </w:tcPr>
          <w:p w14:paraId="35AC3F15">
            <w:pPr>
              <w:pageBreakBefore w:val="0"/>
              <w:widowControl/>
              <w:kinsoku/>
              <w:wordWrap/>
              <w:overflowPunct/>
              <w:topLinePunct w:val="0"/>
              <w:autoSpaceDE/>
              <w:autoSpaceDN/>
              <w:bidi w:val="0"/>
              <w:adjustRightInd/>
              <w:snapToGrid/>
              <w:spacing w:before="40" w:after="40" w:line="240" w:lineRule="auto"/>
              <w:jc w:val="both"/>
              <w:rPr>
                <w:rFonts w:hint="eastAsia" w:eastAsia="微软雅黑"/>
                <w:szCs w:val="28"/>
                <w:lang w:val="en-US" w:eastAsia="zh-CN"/>
              </w:rPr>
            </w:pPr>
            <w:r>
              <w:rPr>
                <w:rFonts w:hint="eastAsia"/>
                <w:szCs w:val="28"/>
                <w:lang w:val="en-US" w:eastAsia="zh-CN"/>
              </w:rPr>
              <w:t>年度</w:t>
            </w:r>
          </w:p>
        </w:tc>
        <w:tc>
          <w:tcPr>
            <w:tcW w:w="1331" w:type="dxa"/>
            <w:vAlign w:val="center"/>
          </w:tcPr>
          <w:p w14:paraId="2BFCDA27">
            <w:pPr>
              <w:pageBreakBefore w:val="0"/>
              <w:widowControl/>
              <w:kinsoku/>
              <w:wordWrap/>
              <w:overflowPunct/>
              <w:topLinePunct w:val="0"/>
              <w:autoSpaceDE/>
              <w:autoSpaceDN/>
              <w:bidi w:val="0"/>
              <w:adjustRightInd/>
              <w:snapToGrid/>
              <w:spacing w:before="40" w:after="40" w:line="240" w:lineRule="auto"/>
              <w:jc w:val="both"/>
              <w:rPr>
                <w:rFonts w:hint="eastAsia"/>
                <w:iCs/>
                <w:szCs w:val="28"/>
              </w:rPr>
            </w:pPr>
            <w:r>
              <w:rPr>
                <w:rFonts w:hint="eastAsia"/>
                <w:iCs/>
                <w:szCs w:val="28"/>
                <w:lang w:val="en-US" w:eastAsia="zh-CN"/>
              </w:rPr>
              <w:t>财年1月1日-12月31日</w:t>
            </w:r>
            <w:r>
              <w:rPr>
                <w:rFonts w:hint="eastAsia"/>
                <w:iCs/>
                <w:szCs w:val="28"/>
              </w:rPr>
              <w:t>，</w:t>
            </w:r>
            <w:r>
              <w:rPr>
                <w:rFonts w:hint="eastAsia"/>
                <w:iCs/>
                <w:szCs w:val="28"/>
                <w:lang w:val="en-US" w:eastAsia="zh-CN"/>
              </w:rPr>
              <w:t>年度申报，无强制预缴，</w:t>
            </w:r>
            <w:r>
              <w:rPr>
                <w:rFonts w:hint="eastAsia"/>
                <w:iCs/>
                <w:szCs w:val="28"/>
              </w:rPr>
              <w:t>次年 9 月 30 日前一次性申报并全额缴税</w:t>
            </w:r>
          </w:p>
        </w:tc>
        <w:tc>
          <w:tcPr>
            <w:tcW w:w="942" w:type="dxa"/>
            <w:vAlign w:val="center"/>
          </w:tcPr>
          <w:p w14:paraId="1E49D5A0">
            <w:pPr>
              <w:pageBreakBefore w:val="0"/>
              <w:widowControl/>
              <w:kinsoku/>
              <w:wordWrap/>
              <w:overflowPunct/>
              <w:topLinePunct w:val="0"/>
              <w:autoSpaceDE/>
              <w:autoSpaceDN/>
              <w:bidi w:val="0"/>
              <w:adjustRightInd/>
              <w:snapToGrid/>
              <w:spacing w:before="40" w:after="40" w:line="240" w:lineRule="auto"/>
              <w:jc w:val="both"/>
              <w:rPr>
                <w:rFonts w:hint="default"/>
                <w:iCs/>
                <w:szCs w:val="28"/>
                <w:lang w:val="en-US" w:eastAsia="zh-CN"/>
              </w:rPr>
            </w:pPr>
            <w:r>
              <w:rPr>
                <w:rFonts w:hint="eastAsia"/>
                <w:iCs/>
                <w:szCs w:val="28"/>
                <w:lang w:eastAsia="zh-CN"/>
              </w:rPr>
              <w:t>官方文件</w:t>
            </w:r>
            <w:r>
              <w:rPr>
                <w:rFonts w:hint="eastAsia"/>
                <w:iCs/>
                <w:szCs w:val="28"/>
                <w:lang w:val="en-US" w:eastAsia="zh-CN"/>
              </w:rPr>
              <w:t>/代理机构意见</w:t>
            </w:r>
          </w:p>
        </w:tc>
      </w:tr>
      <w:tr w14:paraId="0FEA808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920" w:type="dxa"/>
            <w:vAlign w:val="center"/>
          </w:tcPr>
          <w:p w14:paraId="1DDCA170">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szCs w:val="28"/>
                <w:lang w:val="zh-CN" w:eastAsia="zh-CN"/>
              </w:rPr>
              <w:t>增值税</w:t>
            </w:r>
          </w:p>
        </w:tc>
        <w:tc>
          <w:tcPr>
            <w:tcW w:w="1726" w:type="dxa"/>
            <w:vAlign w:val="center"/>
          </w:tcPr>
          <w:p w14:paraId="342A18B6">
            <w:pPr>
              <w:pageBreakBefore w:val="0"/>
              <w:widowControl/>
              <w:kinsoku/>
              <w:wordWrap/>
              <w:overflowPunct/>
              <w:topLinePunct w:val="0"/>
              <w:autoSpaceDE/>
              <w:autoSpaceDN/>
              <w:bidi w:val="0"/>
              <w:adjustRightInd/>
              <w:snapToGrid/>
              <w:spacing w:before="40" w:after="40" w:line="240" w:lineRule="auto"/>
              <w:jc w:val="both"/>
              <w:rPr>
                <w:rFonts w:hint="default" w:eastAsia="微软雅黑"/>
                <w:szCs w:val="28"/>
                <w:lang w:val="en-US" w:eastAsia="zh-CN"/>
              </w:rPr>
            </w:pPr>
            <w:r>
              <w:rPr>
                <w:rFonts w:hint="eastAsia"/>
                <w:szCs w:val="28"/>
                <w:lang w:val="en-US" w:eastAsia="zh-CN"/>
              </w:rPr>
              <w:t>5%</w:t>
            </w:r>
          </w:p>
        </w:tc>
        <w:tc>
          <w:tcPr>
            <w:tcW w:w="1915" w:type="dxa"/>
            <w:vAlign w:val="center"/>
          </w:tcPr>
          <w:p w14:paraId="4E02BB7C">
            <w:pPr>
              <w:pageBreakBefore w:val="0"/>
              <w:widowControl/>
              <w:kinsoku/>
              <w:wordWrap/>
              <w:overflowPunct/>
              <w:topLinePunct w:val="0"/>
              <w:autoSpaceDE/>
              <w:autoSpaceDN/>
              <w:bidi w:val="0"/>
              <w:adjustRightInd/>
              <w:snapToGrid/>
              <w:spacing w:before="40" w:after="40" w:line="240" w:lineRule="auto"/>
              <w:jc w:val="both"/>
              <w:rPr>
                <w:rFonts w:hint="eastAsia" w:eastAsia="微软雅黑"/>
                <w:szCs w:val="28"/>
                <w:lang w:eastAsia="zh-CN"/>
              </w:rPr>
            </w:pPr>
            <w:r>
              <w:rPr>
                <w:rFonts w:hint="eastAsia"/>
                <w:szCs w:val="28"/>
              </w:rPr>
              <w:t>出口/国际服务增值税零税率</w:t>
            </w:r>
          </w:p>
        </w:tc>
        <w:tc>
          <w:tcPr>
            <w:tcW w:w="1800" w:type="dxa"/>
            <w:vAlign w:val="center"/>
          </w:tcPr>
          <w:p w14:paraId="59DF54D1">
            <w:pPr>
              <w:pageBreakBefore w:val="0"/>
              <w:widowControl/>
              <w:kinsoku/>
              <w:wordWrap/>
              <w:overflowPunct/>
              <w:topLinePunct w:val="0"/>
              <w:autoSpaceDE/>
              <w:autoSpaceDN/>
              <w:bidi w:val="0"/>
              <w:adjustRightInd/>
              <w:snapToGrid/>
              <w:spacing w:before="40" w:after="40" w:line="240" w:lineRule="auto"/>
              <w:jc w:val="both"/>
              <w:rPr>
                <w:rFonts w:hint="eastAsia" w:eastAsia="微软雅黑"/>
                <w:szCs w:val="28"/>
                <w:lang w:eastAsia="zh-CN"/>
              </w:rPr>
            </w:pPr>
            <w:r>
              <w:rPr>
                <w:rFonts w:hint="eastAsia"/>
                <w:szCs w:val="28"/>
              </w:rPr>
              <w:t>年应税营业额≥1.5亿迪拉姆，按月申报</w:t>
            </w:r>
            <w:r>
              <w:rPr>
                <w:rFonts w:hint="eastAsia"/>
                <w:szCs w:val="28"/>
                <w:lang w:eastAsia="zh-CN"/>
              </w:rPr>
              <w:t>：</w:t>
            </w:r>
            <w:r>
              <w:rPr>
                <w:rFonts w:hint="eastAsia"/>
                <w:szCs w:val="28"/>
              </w:rPr>
              <w:t>年应税营业额&lt;1.5亿迪拉姆，按季度申报</w:t>
            </w:r>
          </w:p>
        </w:tc>
        <w:tc>
          <w:tcPr>
            <w:tcW w:w="1331" w:type="dxa"/>
            <w:vAlign w:val="center"/>
          </w:tcPr>
          <w:p w14:paraId="67C5CEC8">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月</w:t>
            </w:r>
            <w:r>
              <w:rPr>
                <w:rFonts w:hint="eastAsia"/>
                <w:szCs w:val="28"/>
                <w:lang w:val="en-US" w:eastAsia="zh-CN"/>
              </w:rPr>
              <w:t>/季</w:t>
            </w:r>
            <w:r>
              <w:rPr>
                <w:rFonts w:hint="eastAsia"/>
                <w:szCs w:val="28"/>
              </w:rPr>
              <w:t>度结束后28天内</w:t>
            </w:r>
          </w:p>
        </w:tc>
        <w:tc>
          <w:tcPr>
            <w:tcW w:w="942" w:type="dxa"/>
            <w:vAlign w:val="center"/>
          </w:tcPr>
          <w:p w14:paraId="2A9ACE56">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iCs/>
                <w:szCs w:val="28"/>
                <w:lang w:eastAsia="zh-CN"/>
              </w:rPr>
              <w:t>官方文件</w:t>
            </w:r>
            <w:r>
              <w:rPr>
                <w:rFonts w:hint="eastAsia"/>
                <w:iCs/>
                <w:szCs w:val="28"/>
                <w:lang w:val="en-US" w:eastAsia="zh-CN"/>
              </w:rPr>
              <w:t>/代理机构意见</w:t>
            </w:r>
          </w:p>
        </w:tc>
      </w:tr>
      <w:tr w14:paraId="2A2B7DF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920" w:type="dxa"/>
            <w:vAlign w:val="center"/>
          </w:tcPr>
          <w:p w14:paraId="32507E60">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szCs w:val="28"/>
                <w:lang w:val="zh-CN" w:eastAsia="zh-CN"/>
              </w:rPr>
              <w:t>预提税</w:t>
            </w:r>
          </w:p>
        </w:tc>
        <w:tc>
          <w:tcPr>
            <w:tcW w:w="1726" w:type="dxa"/>
            <w:vAlign w:val="center"/>
          </w:tcPr>
          <w:p w14:paraId="550CF47A">
            <w:pPr>
              <w:pageBreakBefore w:val="0"/>
              <w:widowControl/>
              <w:kinsoku/>
              <w:wordWrap/>
              <w:overflowPunct/>
              <w:topLinePunct w:val="0"/>
              <w:autoSpaceDE/>
              <w:autoSpaceDN/>
              <w:bidi w:val="0"/>
              <w:adjustRightInd/>
              <w:snapToGrid/>
              <w:spacing w:before="40" w:after="40" w:line="240" w:lineRule="auto"/>
              <w:jc w:val="both"/>
              <w:rPr>
                <w:rFonts w:hint="default" w:eastAsia="微软雅黑"/>
                <w:szCs w:val="28"/>
                <w:lang w:val="en-US" w:eastAsia="zh-CN"/>
              </w:rPr>
            </w:pPr>
            <w:r>
              <w:rPr>
                <w:rFonts w:hint="eastAsia"/>
                <w:szCs w:val="28"/>
                <w:lang w:val="en-US" w:eastAsia="zh-CN"/>
              </w:rPr>
              <w:t>工程类相关收入（不构成常设机构）预提税 0%；特许权使用费、利息等非工程类收入需按税法判定预提义务</w:t>
            </w:r>
          </w:p>
        </w:tc>
        <w:tc>
          <w:tcPr>
            <w:tcW w:w="1915" w:type="dxa"/>
            <w:vAlign w:val="center"/>
          </w:tcPr>
          <w:p w14:paraId="6D0BD0B9">
            <w:pPr>
              <w:pageBreakBefore w:val="0"/>
              <w:widowControl/>
              <w:kinsoku/>
              <w:wordWrap/>
              <w:overflowPunct/>
              <w:topLinePunct w:val="0"/>
              <w:autoSpaceDE/>
              <w:autoSpaceDN/>
              <w:bidi w:val="0"/>
              <w:adjustRightInd/>
              <w:snapToGrid/>
              <w:spacing w:before="40" w:after="40" w:line="240" w:lineRule="auto"/>
              <w:jc w:val="both"/>
              <w:rPr>
                <w:rFonts w:hint="eastAsia" w:eastAsia="微软雅黑"/>
                <w:szCs w:val="28"/>
                <w:lang w:val="en-US" w:eastAsia="zh-CN"/>
              </w:rPr>
            </w:pPr>
            <w:r>
              <w:rPr>
                <w:rFonts w:hint="eastAsia"/>
                <w:szCs w:val="28"/>
                <w:lang w:val="en-US" w:eastAsia="zh-CN"/>
              </w:rPr>
              <w:t>不涉及</w:t>
            </w:r>
          </w:p>
        </w:tc>
        <w:tc>
          <w:tcPr>
            <w:tcW w:w="1800" w:type="dxa"/>
            <w:vAlign w:val="center"/>
          </w:tcPr>
          <w:p w14:paraId="79533254">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不涉及</w:t>
            </w:r>
          </w:p>
        </w:tc>
        <w:tc>
          <w:tcPr>
            <w:tcW w:w="1331" w:type="dxa"/>
            <w:vAlign w:val="center"/>
          </w:tcPr>
          <w:p w14:paraId="07BEBABA">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不涉及</w:t>
            </w:r>
          </w:p>
        </w:tc>
        <w:tc>
          <w:tcPr>
            <w:tcW w:w="942" w:type="dxa"/>
            <w:vAlign w:val="center"/>
          </w:tcPr>
          <w:p w14:paraId="3B0E2EF0">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不涉及</w:t>
            </w:r>
          </w:p>
        </w:tc>
      </w:tr>
      <w:tr w14:paraId="09EFCB1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920" w:type="dxa"/>
            <w:vAlign w:val="center"/>
          </w:tcPr>
          <w:p w14:paraId="6977EFCA">
            <w:pPr>
              <w:pageBreakBefore w:val="0"/>
              <w:widowControl/>
              <w:kinsoku/>
              <w:wordWrap/>
              <w:overflowPunct/>
              <w:topLinePunct w:val="0"/>
              <w:autoSpaceDE/>
              <w:autoSpaceDN/>
              <w:bidi w:val="0"/>
              <w:adjustRightInd/>
              <w:snapToGrid/>
              <w:spacing w:before="40" w:after="40" w:line="240" w:lineRule="auto"/>
              <w:jc w:val="both"/>
              <w:rPr>
                <w:rFonts w:hint="default"/>
                <w:szCs w:val="28"/>
                <w:lang w:val="en-US" w:eastAsia="zh-CN"/>
              </w:rPr>
            </w:pPr>
            <w:r>
              <w:rPr>
                <w:rFonts w:hint="eastAsia"/>
                <w:szCs w:val="28"/>
                <w:lang w:val="en-US" w:eastAsia="zh-CN"/>
              </w:rPr>
              <w:t>消费税</w:t>
            </w:r>
          </w:p>
        </w:tc>
        <w:tc>
          <w:tcPr>
            <w:tcW w:w="1726" w:type="dxa"/>
            <w:vAlign w:val="center"/>
          </w:tcPr>
          <w:p w14:paraId="693EF30F">
            <w:pPr>
              <w:pageBreakBefore w:val="0"/>
              <w:widowControl/>
              <w:kinsoku/>
              <w:wordWrap/>
              <w:overflowPunct/>
              <w:topLinePunct w:val="0"/>
              <w:autoSpaceDE/>
              <w:autoSpaceDN/>
              <w:bidi w:val="0"/>
              <w:adjustRightInd/>
              <w:snapToGrid/>
              <w:spacing w:before="40" w:after="40" w:line="240" w:lineRule="auto"/>
              <w:jc w:val="both"/>
              <w:rPr>
                <w:rFonts w:hint="default"/>
                <w:szCs w:val="28"/>
                <w:lang w:val="en-US" w:eastAsia="zh-CN"/>
              </w:rPr>
            </w:pPr>
            <w:r>
              <w:rPr>
                <w:rFonts w:hint="default"/>
                <w:szCs w:val="28"/>
                <w:lang w:val="en-US" w:eastAsia="zh-CN"/>
              </w:rPr>
              <w:t>烟草和烟草制品100%、电子烟装置及其使用的液体100%、能量饮料100%、碳酸饮料50%、含糖饮料50%</w:t>
            </w:r>
          </w:p>
        </w:tc>
        <w:tc>
          <w:tcPr>
            <w:tcW w:w="1915" w:type="dxa"/>
            <w:vAlign w:val="center"/>
          </w:tcPr>
          <w:p w14:paraId="1D2AF894">
            <w:pPr>
              <w:pageBreakBefore w:val="0"/>
              <w:widowControl/>
              <w:kinsoku/>
              <w:wordWrap/>
              <w:overflowPunct/>
              <w:topLinePunct w:val="0"/>
              <w:autoSpaceDE/>
              <w:autoSpaceDN/>
              <w:bidi w:val="0"/>
              <w:adjustRightInd/>
              <w:snapToGrid/>
              <w:spacing w:before="40" w:after="40" w:line="240" w:lineRule="auto"/>
              <w:jc w:val="both"/>
              <w:rPr>
                <w:rFonts w:hint="eastAsia"/>
                <w:szCs w:val="28"/>
                <w:lang w:val="en-US" w:eastAsia="zh-CN"/>
              </w:rPr>
            </w:pPr>
            <w:r>
              <w:rPr>
                <w:rFonts w:hint="eastAsia"/>
                <w:szCs w:val="28"/>
                <w:lang w:val="en-US" w:eastAsia="zh-CN"/>
              </w:rPr>
              <w:t>不涉及</w:t>
            </w:r>
          </w:p>
        </w:tc>
        <w:tc>
          <w:tcPr>
            <w:tcW w:w="1800" w:type="dxa"/>
            <w:vAlign w:val="center"/>
          </w:tcPr>
          <w:p w14:paraId="2AE315CD">
            <w:pPr>
              <w:pageBreakBefore w:val="0"/>
              <w:widowControl/>
              <w:kinsoku/>
              <w:wordWrap/>
              <w:overflowPunct/>
              <w:topLinePunct w:val="0"/>
              <w:autoSpaceDE/>
              <w:autoSpaceDN/>
              <w:bidi w:val="0"/>
              <w:adjustRightInd/>
              <w:snapToGrid/>
              <w:spacing w:before="40" w:after="40" w:line="240" w:lineRule="auto"/>
              <w:jc w:val="both"/>
              <w:rPr>
                <w:rFonts w:hint="eastAsia" w:ascii="微软雅黑" w:hAnsi="微软雅黑" w:eastAsia="微软雅黑" w:cstheme="minorBidi"/>
                <w:sz w:val="21"/>
                <w:szCs w:val="28"/>
                <w:lang w:val="en-US" w:eastAsia="en-US" w:bidi="ar-SA"/>
              </w:rPr>
            </w:pPr>
            <w:r>
              <w:rPr>
                <w:rFonts w:hint="eastAsia" w:ascii="微软雅黑" w:hAnsi="微软雅黑" w:eastAsia="微软雅黑" w:cstheme="minorBidi"/>
                <w:sz w:val="21"/>
                <w:szCs w:val="28"/>
                <w:lang w:val="en-US" w:eastAsia="en-US" w:bidi="ar-SA"/>
              </w:rPr>
              <w:t>不涉及</w:t>
            </w:r>
          </w:p>
        </w:tc>
        <w:tc>
          <w:tcPr>
            <w:tcW w:w="1331" w:type="dxa"/>
            <w:vAlign w:val="center"/>
          </w:tcPr>
          <w:p w14:paraId="45CA629F">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不涉及</w:t>
            </w:r>
          </w:p>
        </w:tc>
        <w:tc>
          <w:tcPr>
            <w:tcW w:w="942" w:type="dxa"/>
            <w:vAlign w:val="center"/>
          </w:tcPr>
          <w:p w14:paraId="51EFDB44">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不涉及</w:t>
            </w:r>
          </w:p>
        </w:tc>
      </w:tr>
      <w:tr w14:paraId="66478E2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920" w:type="dxa"/>
            <w:vAlign w:val="center"/>
          </w:tcPr>
          <w:p w14:paraId="618C18DD">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lang w:val="en-US" w:eastAsia="zh-CN"/>
              </w:rPr>
              <w:t>进口关税</w:t>
            </w:r>
          </w:p>
        </w:tc>
        <w:tc>
          <w:tcPr>
            <w:tcW w:w="1726" w:type="dxa"/>
            <w:vAlign w:val="center"/>
          </w:tcPr>
          <w:p w14:paraId="56A2AF99">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5%</w:t>
            </w:r>
          </w:p>
        </w:tc>
        <w:tc>
          <w:tcPr>
            <w:tcW w:w="1915" w:type="dxa"/>
            <w:vAlign w:val="center"/>
          </w:tcPr>
          <w:p w14:paraId="3A376E34">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自由区与再出口关税豁免</w:t>
            </w:r>
          </w:p>
        </w:tc>
        <w:tc>
          <w:tcPr>
            <w:tcW w:w="1800" w:type="dxa"/>
            <w:vAlign w:val="center"/>
          </w:tcPr>
          <w:p w14:paraId="7B8B90C3">
            <w:pPr>
              <w:pageBreakBefore w:val="0"/>
              <w:widowControl/>
              <w:kinsoku/>
              <w:wordWrap/>
              <w:overflowPunct/>
              <w:topLinePunct w:val="0"/>
              <w:autoSpaceDE/>
              <w:autoSpaceDN/>
              <w:bidi w:val="0"/>
              <w:adjustRightInd/>
              <w:snapToGrid/>
              <w:spacing w:before="40" w:after="40" w:line="240" w:lineRule="auto"/>
              <w:jc w:val="both"/>
              <w:rPr>
                <w:rFonts w:hint="default" w:eastAsia="微软雅黑"/>
                <w:szCs w:val="28"/>
                <w:lang w:val="en-US" w:eastAsia="zh-CN"/>
              </w:rPr>
            </w:pPr>
            <w:r>
              <w:rPr>
                <w:rFonts w:hint="eastAsia"/>
                <w:szCs w:val="28"/>
                <w:lang w:val="en-US" w:eastAsia="zh-CN"/>
              </w:rPr>
              <w:t>按次申报</w:t>
            </w:r>
          </w:p>
        </w:tc>
        <w:tc>
          <w:tcPr>
            <w:tcW w:w="1331" w:type="dxa"/>
            <w:vAlign w:val="center"/>
          </w:tcPr>
          <w:p w14:paraId="343D7ACF">
            <w:pPr>
              <w:pageBreakBefore w:val="0"/>
              <w:widowControl/>
              <w:kinsoku/>
              <w:wordWrap/>
              <w:overflowPunct/>
              <w:topLinePunct w:val="0"/>
              <w:autoSpaceDE/>
              <w:autoSpaceDN/>
              <w:bidi w:val="0"/>
              <w:adjustRightInd/>
              <w:snapToGrid/>
              <w:spacing w:before="40" w:after="40" w:line="240" w:lineRule="auto"/>
              <w:jc w:val="both"/>
              <w:rPr>
                <w:rFonts w:hint="eastAsia" w:eastAsia="微软雅黑"/>
                <w:szCs w:val="28"/>
                <w:lang w:eastAsia="zh-CN"/>
              </w:rPr>
            </w:pPr>
            <w:r>
              <w:rPr>
                <w:rFonts w:hint="eastAsia"/>
                <w:szCs w:val="28"/>
              </w:rPr>
              <w:t xml:space="preserve">海运：货物到港后 5 天内 </w:t>
            </w:r>
            <w:r>
              <w:rPr>
                <w:rFonts w:hint="eastAsia"/>
                <w:szCs w:val="28"/>
                <w:lang w:eastAsia="zh-CN"/>
              </w:rPr>
              <w:t>；空运：到港后 1–3 天内</w:t>
            </w:r>
          </w:p>
        </w:tc>
        <w:tc>
          <w:tcPr>
            <w:tcW w:w="942" w:type="dxa"/>
            <w:vAlign w:val="center"/>
          </w:tcPr>
          <w:p w14:paraId="359D1551">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官方文件</w:t>
            </w:r>
          </w:p>
        </w:tc>
      </w:tr>
    </w:tbl>
    <w:p w14:paraId="6225642E">
      <w:pPr>
        <w:pageBreakBefore w:val="0"/>
        <w:widowControl/>
        <w:kinsoku/>
        <w:wordWrap/>
        <w:overflowPunct/>
        <w:topLinePunct w:val="0"/>
        <w:autoSpaceDE/>
        <w:autoSpaceDN/>
        <w:bidi w:val="0"/>
        <w:adjustRightInd/>
        <w:snapToGrid/>
        <w:jc w:val="both"/>
        <w:rPr>
          <w:rFonts w:hint="eastAsia"/>
        </w:rPr>
      </w:pPr>
    </w:p>
    <w:p w14:paraId="4F8115C5">
      <w:pPr>
        <w:pStyle w:val="4"/>
        <w:pageBreakBefore w:val="0"/>
        <w:widowControl/>
        <w:kinsoku/>
        <w:wordWrap/>
        <w:overflowPunct/>
        <w:topLinePunct w:val="0"/>
        <w:autoSpaceDE/>
        <w:autoSpaceDN/>
        <w:bidi w:val="0"/>
        <w:adjustRightInd/>
        <w:snapToGrid/>
        <w:jc w:val="both"/>
        <w:rPr>
          <w:rFonts w:ascii="微软雅黑" w:hAnsi="微软雅黑" w:eastAsia="微软雅黑"/>
          <w:color w:val="auto"/>
          <w:lang w:eastAsia="zh-CN"/>
        </w:rPr>
      </w:pPr>
      <w:bookmarkStart w:id="9" w:name="_Toc7540"/>
      <w:r>
        <w:rPr>
          <w:rFonts w:ascii="微软雅黑" w:hAnsi="微软雅黑" w:eastAsia="微软雅黑"/>
          <w:color w:val="auto"/>
          <w:lang w:val="zh-CN" w:eastAsia="zh-CN"/>
        </w:rPr>
        <w:t>2.3  常设机构（PE）认定规则</w:t>
      </w:r>
      <w:bookmarkEnd w:id="9"/>
    </w:p>
    <w:tbl>
      <w:tblPr>
        <w:tblStyle w:val="37"/>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158"/>
        <w:gridCol w:w="2158"/>
        <w:gridCol w:w="2158"/>
        <w:gridCol w:w="2158"/>
      </w:tblGrid>
      <w:tr w14:paraId="537CEA8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jc w:val="center"/>
        </w:trPr>
        <w:tc>
          <w:tcPr>
            <w:tcW w:w="2158" w:type="dxa"/>
            <w:shd w:val="clear" w:color="auto" w:fill="1F4E79"/>
            <w:vAlign w:val="center"/>
          </w:tcPr>
          <w:p w14:paraId="262D1756">
            <w:pPr>
              <w:pageBreakBefore w:val="0"/>
              <w:widowControl/>
              <w:kinsoku/>
              <w:wordWrap/>
              <w:overflowPunct/>
              <w:topLinePunct w:val="0"/>
              <w:autoSpaceDE/>
              <w:autoSpaceDN/>
              <w:bidi w:val="0"/>
              <w:adjustRightInd/>
              <w:snapToGrid/>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活动类型</w:t>
            </w:r>
          </w:p>
        </w:tc>
        <w:tc>
          <w:tcPr>
            <w:tcW w:w="2158" w:type="dxa"/>
            <w:shd w:val="clear" w:color="auto" w:fill="1F4E79"/>
            <w:vAlign w:val="center"/>
          </w:tcPr>
          <w:p w14:paraId="2AE4FFE2">
            <w:pPr>
              <w:pageBreakBefore w:val="0"/>
              <w:widowControl/>
              <w:kinsoku/>
              <w:wordWrap/>
              <w:overflowPunct/>
              <w:topLinePunct w:val="0"/>
              <w:autoSpaceDE/>
              <w:autoSpaceDN/>
              <w:bidi w:val="0"/>
              <w:adjustRightInd/>
              <w:snapToGrid/>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PE认定门槛</w:t>
            </w:r>
          </w:p>
        </w:tc>
        <w:tc>
          <w:tcPr>
            <w:tcW w:w="2158" w:type="dxa"/>
            <w:shd w:val="clear" w:color="auto" w:fill="1F4E79"/>
            <w:vAlign w:val="center"/>
          </w:tcPr>
          <w:p w14:paraId="2E393913">
            <w:pPr>
              <w:pageBreakBefore w:val="0"/>
              <w:widowControl/>
              <w:kinsoku/>
              <w:wordWrap/>
              <w:overflowPunct/>
              <w:topLinePunct w:val="0"/>
              <w:autoSpaceDE/>
              <w:autoSpaceDN/>
              <w:bidi w:val="0"/>
              <w:adjustRightInd/>
              <w:snapToGrid/>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认定后果</w:t>
            </w:r>
          </w:p>
        </w:tc>
        <w:tc>
          <w:tcPr>
            <w:tcW w:w="2158" w:type="dxa"/>
            <w:shd w:val="clear" w:color="auto" w:fill="1F4E79"/>
            <w:vAlign w:val="center"/>
          </w:tcPr>
          <w:p w14:paraId="644F5BAD">
            <w:pPr>
              <w:pageBreakBefore w:val="0"/>
              <w:widowControl/>
              <w:kinsoku/>
              <w:wordWrap/>
              <w:overflowPunct/>
              <w:topLinePunct w:val="0"/>
              <w:autoSpaceDE/>
              <w:autoSpaceDN/>
              <w:bidi w:val="0"/>
              <w:adjustRightInd/>
              <w:snapToGrid/>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来源</w:t>
            </w:r>
          </w:p>
        </w:tc>
      </w:tr>
      <w:tr w14:paraId="4FCE1AF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158" w:type="dxa"/>
            <w:vAlign w:val="center"/>
          </w:tcPr>
          <w:p w14:paraId="7A3DAEA7">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szCs w:val="21"/>
                <w:lang w:val="zh-CN" w:eastAsia="zh-CN"/>
              </w:rPr>
              <w:t>工程施工/安装</w:t>
            </w:r>
          </w:p>
        </w:tc>
        <w:tc>
          <w:tcPr>
            <w:tcW w:w="2158" w:type="dxa"/>
            <w:vAlign w:val="center"/>
          </w:tcPr>
          <w:p w14:paraId="2B6241AB">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rFonts w:hint="eastAsia"/>
                <w:szCs w:val="21"/>
              </w:rPr>
              <w:t>工地、工程或活动连续二十四个月以上</w:t>
            </w:r>
          </w:p>
        </w:tc>
        <w:tc>
          <w:tcPr>
            <w:tcW w:w="2158" w:type="dxa"/>
            <w:vAlign w:val="center"/>
          </w:tcPr>
          <w:p w14:paraId="737E007B">
            <w:pPr>
              <w:pageBreakBefore w:val="0"/>
              <w:widowControl/>
              <w:kinsoku/>
              <w:wordWrap/>
              <w:overflowPunct/>
              <w:topLinePunct w:val="0"/>
              <w:autoSpaceDE/>
              <w:autoSpaceDN/>
              <w:bidi w:val="0"/>
              <w:adjustRightInd/>
              <w:snapToGrid/>
              <w:spacing w:before="40" w:after="40" w:line="240" w:lineRule="auto"/>
              <w:jc w:val="both"/>
              <w:rPr>
                <w:rFonts w:hint="eastAsia"/>
                <w:szCs w:val="21"/>
                <w:lang w:eastAsia="zh-CN"/>
              </w:rPr>
            </w:pPr>
            <w:r>
              <w:rPr>
                <w:rFonts w:hint="eastAsia"/>
                <w:szCs w:val="21"/>
                <w:lang w:eastAsia="zh-CN"/>
              </w:rPr>
              <w:t>就归属PE的利润缴纳企业所得税</w:t>
            </w:r>
          </w:p>
        </w:tc>
        <w:tc>
          <w:tcPr>
            <w:tcW w:w="2158" w:type="dxa"/>
            <w:vAlign w:val="center"/>
          </w:tcPr>
          <w:p w14:paraId="43E553D6">
            <w:pPr>
              <w:pageBreakBefore w:val="0"/>
              <w:widowControl/>
              <w:kinsoku/>
              <w:wordWrap/>
              <w:overflowPunct/>
              <w:topLinePunct w:val="0"/>
              <w:autoSpaceDE/>
              <w:autoSpaceDN/>
              <w:bidi w:val="0"/>
              <w:adjustRightInd/>
              <w:snapToGrid/>
              <w:spacing w:before="40" w:after="40" w:line="240" w:lineRule="auto"/>
              <w:jc w:val="both"/>
              <w:rPr>
                <w:rFonts w:hint="default"/>
                <w:szCs w:val="21"/>
                <w:lang w:val="en-US" w:eastAsia="zh-CN"/>
              </w:rPr>
            </w:pPr>
            <w:r>
              <w:rPr>
                <w:rFonts w:hint="eastAsia"/>
                <w:iCs/>
                <w:szCs w:val="21"/>
                <w:lang w:eastAsia="zh-CN"/>
              </w:rPr>
              <w:t>官方文件</w:t>
            </w:r>
            <w:r>
              <w:rPr>
                <w:rFonts w:hint="eastAsia"/>
                <w:iCs/>
                <w:szCs w:val="21"/>
                <w:lang w:val="en-US" w:eastAsia="zh-CN"/>
              </w:rPr>
              <w:t>/</w:t>
            </w:r>
            <w:r>
              <w:rPr>
                <w:rFonts w:hint="eastAsia"/>
                <w:iCs/>
                <w:szCs w:val="28"/>
                <w:lang w:val="en-US" w:eastAsia="zh-CN"/>
              </w:rPr>
              <w:t>代理机构意见</w:t>
            </w:r>
          </w:p>
        </w:tc>
      </w:tr>
      <w:tr w14:paraId="37CBDA7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158" w:type="dxa"/>
            <w:vAlign w:val="center"/>
          </w:tcPr>
          <w:p w14:paraId="30EDA151">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szCs w:val="21"/>
                <w:lang w:val="zh-CN" w:eastAsia="zh-CN"/>
              </w:rPr>
              <w:t>设计/技术服务</w:t>
            </w:r>
          </w:p>
        </w:tc>
        <w:tc>
          <w:tcPr>
            <w:tcW w:w="2158" w:type="dxa"/>
            <w:vAlign w:val="center"/>
          </w:tcPr>
          <w:p w14:paraId="2752789E">
            <w:pPr>
              <w:pageBreakBefore w:val="0"/>
              <w:widowControl/>
              <w:kinsoku/>
              <w:wordWrap/>
              <w:overflowPunct/>
              <w:topLinePunct w:val="0"/>
              <w:autoSpaceDE/>
              <w:autoSpaceDN/>
              <w:bidi w:val="0"/>
              <w:adjustRightInd/>
              <w:snapToGrid/>
              <w:spacing w:before="40" w:after="40" w:line="240" w:lineRule="auto"/>
              <w:jc w:val="both"/>
              <w:rPr>
                <w:rFonts w:hint="eastAsia" w:eastAsia="微软雅黑"/>
                <w:szCs w:val="21"/>
                <w:lang w:eastAsia="zh-CN"/>
              </w:rPr>
            </w:pPr>
            <w:r>
              <w:rPr>
                <w:rFonts w:hint="eastAsia"/>
                <w:szCs w:val="21"/>
              </w:rPr>
              <w:t>连续或累计</w:t>
            </w:r>
            <w:r>
              <w:rPr>
                <w:rFonts w:hint="eastAsia"/>
                <w:szCs w:val="21"/>
                <w:lang w:eastAsia="zh-CN"/>
              </w:rPr>
              <w:t>超过二十四个月</w:t>
            </w:r>
          </w:p>
        </w:tc>
        <w:tc>
          <w:tcPr>
            <w:tcW w:w="2158" w:type="dxa"/>
            <w:vAlign w:val="center"/>
          </w:tcPr>
          <w:p w14:paraId="21EA1739">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rFonts w:hint="eastAsia"/>
                <w:szCs w:val="21"/>
              </w:rPr>
              <w:t>就归属PE的利润缴纳企业所得税</w:t>
            </w:r>
          </w:p>
        </w:tc>
        <w:tc>
          <w:tcPr>
            <w:tcW w:w="2158" w:type="dxa"/>
            <w:vAlign w:val="center"/>
          </w:tcPr>
          <w:p w14:paraId="2C89A6AC">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rFonts w:hint="eastAsia"/>
                <w:iCs/>
                <w:szCs w:val="21"/>
                <w:lang w:eastAsia="zh-CN"/>
              </w:rPr>
              <w:t>官方文件</w:t>
            </w:r>
            <w:r>
              <w:rPr>
                <w:rFonts w:hint="eastAsia"/>
                <w:iCs/>
                <w:szCs w:val="21"/>
                <w:lang w:val="en-US" w:eastAsia="zh-CN"/>
              </w:rPr>
              <w:t>/</w:t>
            </w:r>
            <w:r>
              <w:rPr>
                <w:rFonts w:hint="eastAsia"/>
                <w:iCs/>
                <w:szCs w:val="28"/>
                <w:lang w:val="en-US" w:eastAsia="zh-CN"/>
              </w:rPr>
              <w:t>代理机构意见</w:t>
            </w:r>
          </w:p>
        </w:tc>
      </w:tr>
      <w:tr w14:paraId="65BE298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158" w:type="dxa"/>
            <w:vAlign w:val="center"/>
          </w:tcPr>
          <w:p w14:paraId="2288FA19">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szCs w:val="21"/>
                <w:lang w:val="zh-CN" w:eastAsia="zh-CN"/>
              </w:rPr>
              <w:t>未构成PE时</w:t>
            </w:r>
          </w:p>
        </w:tc>
        <w:tc>
          <w:tcPr>
            <w:tcW w:w="2158" w:type="dxa"/>
            <w:vAlign w:val="center"/>
          </w:tcPr>
          <w:p w14:paraId="7BEF5603">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szCs w:val="21"/>
                <w:lang w:val="zh-CN" w:eastAsia="zh-CN"/>
              </w:rPr>
              <w:t>不缴企业所得税</w:t>
            </w:r>
          </w:p>
        </w:tc>
        <w:tc>
          <w:tcPr>
            <w:tcW w:w="2158" w:type="dxa"/>
            <w:vAlign w:val="center"/>
          </w:tcPr>
          <w:p w14:paraId="27C3B57D">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rFonts w:hint="eastAsia"/>
                <w:szCs w:val="21"/>
                <w:lang w:val="en-US" w:eastAsia="zh-CN"/>
              </w:rPr>
              <w:t>暂无</w:t>
            </w:r>
            <w:r>
              <w:rPr>
                <w:szCs w:val="21"/>
                <w:lang w:val="zh-CN" w:eastAsia="zh-CN"/>
              </w:rPr>
              <w:t>预提税</w:t>
            </w:r>
          </w:p>
        </w:tc>
        <w:tc>
          <w:tcPr>
            <w:tcW w:w="2158" w:type="dxa"/>
            <w:vAlign w:val="center"/>
          </w:tcPr>
          <w:p w14:paraId="1A1654C1">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rFonts w:hint="eastAsia"/>
                <w:iCs/>
                <w:szCs w:val="21"/>
                <w:lang w:eastAsia="zh-CN"/>
              </w:rPr>
              <w:t>官方文件</w:t>
            </w:r>
            <w:r>
              <w:rPr>
                <w:rFonts w:hint="eastAsia"/>
                <w:iCs/>
                <w:szCs w:val="21"/>
                <w:lang w:val="en-US" w:eastAsia="zh-CN"/>
              </w:rPr>
              <w:t>/</w:t>
            </w:r>
            <w:r>
              <w:rPr>
                <w:rFonts w:hint="eastAsia"/>
                <w:iCs/>
                <w:szCs w:val="28"/>
                <w:lang w:val="en-US" w:eastAsia="zh-CN"/>
              </w:rPr>
              <w:t>代理机构意见</w:t>
            </w:r>
          </w:p>
        </w:tc>
      </w:tr>
    </w:tbl>
    <w:p w14:paraId="4B4B3F4F">
      <w:pPr>
        <w:pageBreakBefore w:val="0"/>
        <w:widowControl/>
        <w:kinsoku/>
        <w:wordWrap/>
        <w:overflowPunct/>
        <w:topLinePunct w:val="0"/>
        <w:autoSpaceDE/>
        <w:autoSpaceDN/>
        <w:bidi w:val="0"/>
        <w:adjustRightInd/>
        <w:snapToGrid/>
        <w:jc w:val="both"/>
        <w:rPr>
          <w:rFonts w:hint="eastAsia"/>
        </w:rPr>
      </w:pPr>
    </w:p>
    <w:p w14:paraId="20C8A6CC">
      <w:pPr>
        <w:pStyle w:val="4"/>
        <w:pageBreakBefore w:val="0"/>
        <w:widowControl/>
        <w:kinsoku/>
        <w:wordWrap/>
        <w:overflowPunct/>
        <w:topLinePunct w:val="0"/>
        <w:autoSpaceDE/>
        <w:autoSpaceDN/>
        <w:bidi w:val="0"/>
        <w:adjustRightInd/>
        <w:snapToGrid/>
        <w:jc w:val="both"/>
        <w:rPr>
          <w:rFonts w:ascii="微软雅黑" w:hAnsi="微软雅黑" w:eastAsia="微软雅黑"/>
          <w:color w:val="auto"/>
        </w:rPr>
      </w:pPr>
      <w:bookmarkStart w:id="10" w:name="_Toc31433"/>
      <w:r>
        <w:rPr>
          <w:rFonts w:ascii="微软雅黑" w:hAnsi="微软雅黑" w:eastAsia="微软雅黑"/>
          <w:color w:val="auto"/>
          <w:lang w:val="zh-CN" w:eastAsia="zh-CN"/>
        </w:rPr>
        <w:t>2.4  外汇管理政策速览</w:t>
      </w:r>
      <w:bookmarkEnd w:id="10"/>
    </w:p>
    <w:tbl>
      <w:tblPr>
        <w:tblStyle w:val="37"/>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874"/>
        <w:gridCol w:w="2875"/>
        <w:gridCol w:w="2875"/>
      </w:tblGrid>
      <w:tr w14:paraId="65297E3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jc w:val="center"/>
        </w:trPr>
        <w:tc>
          <w:tcPr>
            <w:tcW w:w="2874" w:type="dxa"/>
            <w:shd w:val="clear" w:color="auto" w:fill="1F4E79"/>
            <w:vAlign w:val="center"/>
          </w:tcPr>
          <w:p w14:paraId="4CB3A591">
            <w:pPr>
              <w:pageBreakBefore w:val="0"/>
              <w:widowControl/>
              <w:kinsoku/>
              <w:wordWrap/>
              <w:overflowPunct/>
              <w:topLinePunct w:val="0"/>
              <w:autoSpaceDE/>
              <w:autoSpaceDN/>
              <w:bidi w:val="0"/>
              <w:adjustRightInd/>
              <w:snapToGrid/>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项目</w:t>
            </w:r>
          </w:p>
        </w:tc>
        <w:tc>
          <w:tcPr>
            <w:tcW w:w="2875" w:type="dxa"/>
            <w:shd w:val="clear" w:color="auto" w:fill="1F4E79"/>
            <w:vAlign w:val="center"/>
          </w:tcPr>
          <w:p w14:paraId="22E39421">
            <w:pPr>
              <w:pageBreakBefore w:val="0"/>
              <w:widowControl/>
              <w:kinsoku/>
              <w:wordWrap/>
              <w:overflowPunct/>
              <w:topLinePunct w:val="0"/>
              <w:autoSpaceDE/>
              <w:autoSpaceDN/>
              <w:bidi w:val="0"/>
              <w:adjustRightInd/>
              <w:snapToGrid/>
              <w:spacing w:before="40" w:after="40" w:line="240" w:lineRule="auto"/>
              <w:jc w:val="center"/>
              <w:rPr>
                <w:rFonts w:hint="eastAsia"/>
                <w:color w:val="FFFFFF" w:themeColor="background1"/>
                <w:szCs w:val="21"/>
                <w14:textFill>
                  <w14:solidFill>
                    <w14:schemeClr w14:val="bg1"/>
                  </w14:solidFill>
                </w14:textFill>
              </w:rPr>
            </w:pPr>
            <w:r>
              <w:rPr>
                <w:rFonts w:hint="eastAsia"/>
                <w:b/>
                <w:color w:val="FFFFFF" w:themeColor="background1"/>
                <w:szCs w:val="21"/>
                <w:lang w:val="zh-CN" w:eastAsia="zh-CN"/>
                <w14:textFill>
                  <w14:solidFill>
                    <w14:schemeClr w14:val="bg1"/>
                  </w14:solidFill>
                </w14:textFill>
              </w:rPr>
              <w:t>简要</w:t>
            </w:r>
            <w:r>
              <w:rPr>
                <w:b/>
                <w:color w:val="FFFFFF" w:themeColor="background1"/>
                <w:szCs w:val="21"/>
                <w:lang w:val="zh-CN" w:eastAsia="zh-CN"/>
                <w14:textFill>
                  <w14:solidFill>
                    <w14:schemeClr w14:val="bg1"/>
                  </w14:solidFill>
                </w14:textFill>
              </w:rPr>
              <w:t>情况</w:t>
            </w:r>
          </w:p>
        </w:tc>
        <w:tc>
          <w:tcPr>
            <w:tcW w:w="2875" w:type="dxa"/>
            <w:shd w:val="clear" w:color="auto" w:fill="1F4E79"/>
            <w:vAlign w:val="center"/>
          </w:tcPr>
          <w:p w14:paraId="0FB67169">
            <w:pPr>
              <w:pageBreakBefore w:val="0"/>
              <w:widowControl/>
              <w:kinsoku/>
              <w:wordWrap/>
              <w:overflowPunct/>
              <w:topLinePunct w:val="0"/>
              <w:autoSpaceDE/>
              <w:autoSpaceDN/>
              <w:bidi w:val="0"/>
              <w:adjustRightInd/>
              <w:snapToGrid/>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来源</w:t>
            </w:r>
          </w:p>
        </w:tc>
      </w:tr>
      <w:tr w14:paraId="3EE8B04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874" w:type="dxa"/>
            <w:vAlign w:val="center"/>
          </w:tcPr>
          <w:p w14:paraId="03DB0EB9">
            <w:pPr>
              <w:pageBreakBefore w:val="0"/>
              <w:widowControl/>
              <w:kinsoku/>
              <w:wordWrap/>
              <w:overflowPunct/>
              <w:topLinePunct w:val="0"/>
              <w:autoSpaceDE/>
              <w:autoSpaceDN/>
              <w:bidi w:val="0"/>
              <w:adjustRightInd/>
              <w:snapToGrid/>
              <w:spacing w:before="40" w:after="40" w:line="240" w:lineRule="auto"/>
              <w:jc w:val="both"/>
              <w:rPr>
                <w:rFonts w:hint="eastAsia"/>
                <w:szCs w:val="21"/>
                <w:highlight w:val="yellow"/>
              </w:rPr>
            </w:pPr>
            <w:r>
              <w:rPr>
                <w:szCs w:val="21"/>
                <w:highlight w:val="none"/>
                <w:lang w:val="zh-CN" w:eastAsia="zh-CN"/>
              </w:rPr>
              <w:t>本币是否自由兑换</w:t>
            </w:r>
          </w:p>
        </w:tc>
        <w:tc>
          <w:tcPr>
            <w:tcW w:w="2875" w:type="dxa"/>
            <w:vAlign w:val="center"/>
          </w:tcPr>
          <w:p w14:paraId="05D0786C">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rFonts w:hint="eastAsia"/>
                <w:szCs w:val="21"/>
              </w:rPr>
              <w:t>可自由兑换，无外汇管制</w:t>
            </w:r>
          </w:p>
        </w:tc>
        <w:tc>
          <w:tcPr>
            <w:tcW w:w="2875" w:type="dxa"/>
            <w:vAlign w:val="center"/>
          </w:tcPr>
          <w:p w14:paraId="29A876F7">
            <w:pPr>
              <w:pageBreakBefore w:val="0"/>
              <w:widowControl/>
              <w:kinsoku/>
              <w:wordWrap/>
              <w:overflowPunct/>
              <w:topLinePunct w:val="0"/>
              <w:autoSpaceDE/>
              <w:autoSpaceDN/>
              <w:bidi w:val="0"/>
              <w:adjustRightInd/>
              <w:snapToGrid/>
              <w:spacing w:before="40" w:after="40" w:line="240" w:lineRule="auto"/>
              <w:jc w:val="both"/>
              <w:rPr>
                <w:rFonts w:hint="eastAsia"/>
                <w:szCs w:val="21"/>
                <w:lang w:eastAsia="zh-CN"/>
              </w:rPr>
            </w:pPr>
            <w:r>
              <w:rPr>
                <w:rFonts w:hint="eastAsia"/>
                <w:iCs/>
                <w:szCs w:val="21"/>
                <w:lang w:val="en-US" w:eastAsia="zh-CN"/>
              </w:rPr>
              <w:t>官方文件/银行意见/</w:t>
            </w:r>
            <w:r>
              <w:rPr>
                <w:rFonts w:hint="eastAsia"/>
                <w:iCs/>
                <w:szCs w:val="21"/>
                <w:lang w:eastAsia="zh-CN"/>
              </w:rPr>
              <w:t>实操经验</w:t>
            </w:r>
          </w:p>
        </w:tc>
      </w:tr>
      <w:tr w14:paraId="3E07F25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874" w:type="dxa"/>
            <w:vAlign w:val="center"/>
          </w:tcPr>
          <w:p w14:paraId="40A24DE5">
            <w:pPr>
              <w:pageBreakBefore w:val="0"/>
              <w:widowControl/>
              <w:kinsoku/>
              <w:wordWrap/>
              <w:overflowPunct/>
              <w:topLinePunct w:val="0"/>
              <w:autoSpaceDE/>
              <w:autoSpaceDN/>
              <w:bidi w:val="0"/>
              <w:adjustRightInd/>
              <w:snapToGrid/>
              <w:spacing w:before="40" w:after="40" w:line="240" w:lineRule="auto"/>
              <w:jc w:val="both"/>
              <w:rPr>
                <w:szCs w:val="21"/>
                <w:highlight w:val="yellow"/>
                <w:lang w:val="zh-CN" w:eastAsia="zh-CN"/>
              </w:rPr>
            </w:pPr>
            <w:r>
              <w:rPr>
                <w:szCs w:val="21"/>
                <w:highlight w:val="none"/>
                <w:lang w:val="zh-CN" w:eastAsia="zh-CN"/>
              </w:rPr>
              <w:t>可开立外币账户</w:t>
            </w:r>
            <w:r>
              <w:rPr>
                <w:rFonts w:hint="eastAsia"/>
                <w:szCs w:val="21"/>
                <w:highlight w:val="none"/>
                <w:lang w:val="zh-CN" w:eastAsia="zh-CN"/>
              </w:rPr>
              <w:t>的种类</w:t>
            </w:r>
          </w:p>
        </w:tc>
        <w:tc>
          <w:tcPr>
            <w:tcW w:w="2875" w:type="dxa"/>
            <w:vAlign w:val="center"/>
          </w:tcPr>
          <w:p w14:paraId="2D932754">
            <w:pPr>
              <w:pageBreakBefore w:val="0"/>
              <w:widowControl/>
              <w:kinsoku/>
              <w:wordWrap/>
              <w:overflowPunct/>
              <w:topLinePunct w:val="0"/>
              <w:autoSpaceDE/>
              <w:autoSpaceDN/>
              <w:bidi w:val="0"/>
              <w:adjustRightInd/>
              <w:snapToGrid/>
              <w:spacing w:before="40" w:after="40" w:line="240" w:lineRule="auto"/>
              <w:jc w:val="both"/>
              <w:rPr>
                <w:rFonts w:hint="eastAsia"/>
                <w:szCs w:val="21"/>
                <w:lang w:eastAsia="zh-CN"/>
              </w:rPr>
            </w:pPr>
            <w:r>
              <w:rPr>
                <w:rFonts w:hint="eastAsia"/>
                <w:szCs w:val="21"/>
                <w:lang w:val="en-US" w:eastAsia="zh-CN"/>
              </w:rPr>
              <w:t>无“基本户 / 一般户”的法定分类，可开立</w:t>
            </w:r>
            <w:r>
              <w:rPr>
                <w:rFonts w:hint="eastAsia"/>
                <w:szCs w:val="21"/>
                <w:lang w:eastAsia="zh-CN"/>
              </w:rPr>
              <w:t>多币种（</w:t>
            </w:r>
            <w:r>
              <w:rPr>
                <w:rFonts w:hint="eastAsia"/>
                <w:szCs w:val="21"/>
                <w:lang w:val="en-US" w:eastAsia="zh-CN"/>
              </w:rPr>
              <w:t>迪拉姆、美元、欧元、人民币等</w:t>
            </w:r>
            <w:r>
              <w:rPr>
                <w:rFonts w:hint="eastAsia"/>
                <w:szCs w:val="21"/>
                <w:lang w:eastAsia="zh-CN"/>
              </w:rPr>
              <w:t>）主账户、单一外币结算账户</w:t>
            </w:r>
          </w:p>
        </w:tc>
        <w:tc>
          <w:tcPr>
            <w:tcW w:w="2875" w:type="dxa"/>
            <w:vAlign w:val="center"/>
          </w:tcPr>
          <w:p w14:paraId="015892E4">
            <w:pPr>
              <w:pageBreakBefore w:val="0"/>
              <w:widowControl/>
              <w:kinsoku/>
              <w:wordWrap/>
              <w:overflowPunct/>
              <w:topLinePunct w:val="0"/>
              <w:autoSpaceDE/>
              <w:autoSpaceDN/>
              <w:bidi w:val="0"/>
              <w:adjustRightInd/>
              <w:snapToGrid/>
              <w:spacing w:before="40" w:after="40" w:line="240" w:lineRule="auto"/>
              <w:jc w:val="both"/>
              <w:rPr>
                <w:rFonts w:hint="eastAsia"/>
                <w:szCs w:val="21"/>
                <w:lang w:eastAsia="zh-CN"/>
              </w:rPr>
            </w:pPr>
            <w:r>
              <w:rPr>
                <w:rFonts w:hint="eastAsia"/>
                <w:iCs/>
                <w:szCs w:val="21"/>
                <w:lang w:val="en-US" w:eastAsia="zh-CN"/>
              </w:rPr>
              <w:t>官方文件/银行意见/</w:t>
            </w:r>
            <w:r>
              <w:rPr>
                <w:rFonts w:hint="eastAsia"/>
                <w:iCs/>
                <w:szCs w:val="21"/>
                <w:lang w:eastAsia="zh-CN"/>
              </w:rPr>
              <w:t>实操经验</w:t>
            </w:r>
          </w:p>
        </w:tc>
      </w:tr>
      <w:tr w14:paraId="2233E5E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874" w:type="dxa"/>
            <w:vAlign w:val="center"/>
          </w:tcPr>
          <w:p w14:paraId="7FBE953C">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szCs w:val="21"/>
                <w:lang w:val="zh-CN" w:eastAsia="zh-CN"/>
              </w:rPr>
              <w:t>利润汇出是否受限</w:t>
            </w:r>
          </w:p>
        </w:tc>
        <w:tc>
          <w:tcPr>
            <w:tcW w:w="2875" w:type="dxa"/>
            <w:vAlign w:val="center"/>
          </w:tcPr>
          <w:p w14:paraId="4D702704">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rFonts w:hint="eastAsia"/>
                <w:szCs w:val="21"/>
              </w:rPr>
              <w:t>利润可自由汇出，无外汇管制限制，无需复杂审批流程</w:t>
            </w:r>
          </w:p>
        </w:tc>
        <w:tc>
          <w:tcPr>
            <w:tcW w:w="2875" w:type="dxa"/>
            <w:vAlign w:val="center"/>
          </w:tcPr>
          <w:p w14:paraId="6295A6FB">
            <w:pPr>
              <w:pageBreakBefore w:val="0"/>
              <w:widowControl/>
              <w:kinsoku/>
              <w:wordWrap/>
              <w:overflowPunct/>
              <w:topLinePunct w:val="0"/>
              <w:autoSpaceDE/>
              <w:autoSpaceDN/>
              <w:bidi w:val="0"/>
              <w:adjustRightInd/>
              <w:snapToGrid/>
              <w:spacing w:before="40" w:after="40" w:line="240" w:lineRule="auto"/>
              <w:jc w:val="both"/>
              <w:rPr>
                <w:rFonts w:hint="default"/>
                <w:szCs w:val="21"/>
                <w:lang w:val="en-US"/>
              </w:rPr>
            </w:pPr>
            <w:r>
              <w:rPr>
                <w:rFonts w:hint="eastAsia"/>
                <w:iCs/>
                <w:szCs w:val="21"/>
                <w:lang w:val="en-US" w:eastAsia="zh-CN"/>
              </w:rPr>
              <w:t>官方文件/银行意见</w:t>
            </w:r>
          </w:p>
        </w:tc>
      </w:tr>
      <w:tr w14:paraId="0D81385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874" w:type="dxa"/>
            <w:vAlign w:val="center"/>
          </w:tcPr>
          <w:p w14:paraId="236A7F7D">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szCs w:val="21"/>
                <w:highlight w:val="none"/>
                <w:lang w:val="zh-CN" w:eastAsia="zh-CN"/>
              </w:rPr>
              <w:t>跨境付款</w:t>
            </w:r>
            <w:r>
              <w:rPr>
                <w:rFonts w:hint="eastAsia"/>
                <w:szCs w:val="21"/>
                <w:highlight w:val="none"/>
                <w:lang w:val="zh-CN" w:eastAsia="zh-CN"/>
              </w:rPr>
              <w:t>是否受限</w:t>
            </w:r>
          </w:p>
        </w:tc>
        <w:tc>
          <w:tcPr>
            <w:tcW w:w="2875" w:type="dxa"/>
            <w:vAlign w:val="center"/>
          </w:tcPr>
          <w:p w14:paraId="47A9A9B7">
            <w:pPr>
              <w:pageBreakBefore w:val="0"/>
              <w:widowControl/>
              <w:kinsoku/>
              <w:wordWrap/>
              <w:overflowPunct/>
              <w:topLinePunct w:val="0"/>
              <w:autoSpaceDE/>
              <w:autoSpaceDN/>
              <w:bidi w:val="0"/>
              <w:adjustRightInd/>
              <w:snapToGrid/>
              <w:spacing w:before="40" w:after="40" w:line="240" w:lineRule="auto"/>
              <w:jc w:val="both"/>
              <w:rPr>
                <w:rFonts w:hint="default" w:eastAsia="微软雅黑"/>
                <w:szCs w:val="21"/>
                <w:lang w:val="en-US" w:eastAsia="zh-CN"/>
              </w:rPr>
            </w:pPr>
            <w:r>
              <w:rPr>
                <w:rFonts w:hint="eastAsia"/>
                <w:szCs w:val="21"/>
                <w:lang w:val="en-US" w:eastAsia="zh-CN"/>
              </w:rPr>
              <w:t>阿联酋当地无限制，资金可自由汇出汇入</w:t>
            </w:r>
          </w:p>
        </w:tc>
        <w:tc>
          <w:tcPr>
            <w:tcW w:w="2875" w:type="dxa"/>
            <w:vAlign w:val="center"/>
          </w:tcPr>
          <w:p w14:paraId="52E09A03">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rFonts w:hint="eastAsia"/>
                <w:iCs/>
                <w:szCs w:val="21"/>
                <w:lang w:val="en-US" w:eastAsia="zh-CN"/>
              </w:rPr>
              <w:t>官方文件/银行意见</w:t>
            </w:r>
          </w:p>
        </w:tc>
      </w:tr>
      <w:tr w14:paraId="04A0688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874" w:type="dxa"/>
            <w:vAlign w:val="center"/>
          </w:tcPr>
          <w:p w14:paraId="315B0D84">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szCs w:val="21"/>
                <w:lang w:val="zh-CN" w:eastAsia="zh-CN"/>
              </w:rPr>
              <w:t>近年汇率走势及波动</w:t>
            </w:r>
          </w:p>
        </w:tc>
        <w:tc>
          <w:tcPr>
            <w:tcW w:w="2875" w:type="dxa"/>
            <w:vAlign w:val="center"/>
          </w:tcPr>
          <w:p w14:paraId="0D22455E">
            <w:pPr>
              <w:pageBreakBefore w:val="0"/>
              <w:widowControl/>
              <w:kinsoku/>
              <w:wordWrap/>
              <w:overflowPunct/>
              <w:topLinePunct w:val="0"/>
              <w:autoSpaceDE/>
              <w:autoSpaceDN/>
              <w:bidi w:val="0"/>
              <w:adjustRightInd/>
              <w:snapToGrid/>
              <w:spacing w:before="40" w:after="40" w:line="240" w:lineRule="auto"/>
              <w:jc w:val="both"/>
              <w:rPr>
                <w:rFonts w:hint="eastAsia"/>
                <w:szCs w:val="21"/>
              </w:rPr>
            </w:pPr>
            <w:r>
              <w:rPr>
                <w:rFonts w:hint="eastAsia"/>
                <w:szCs w:val="21"/>
                <w:lang w:val="en-US" w:eastAsia="zh-CN"/>
              </w:rPr>
              <w:t>自1997年起，阿联酋AED与美元USD强制绑定固定汇率，1USD=3.6725AED，阿联酋AED对人民币CNY的汇率，主要受美元对人民币汇率影响。</w:t>
            </w:r>
            <w:r>
              <w:rPr>
                <w:rFonts w:hint="eastAsia"/>
                <w:szCs w:val="21"/>
              </w:rPr>
              <w:t>近</w:t>
            </w:r>
            <w:r>
              <w:rPr>
                <w:rFonts w:hint="eastAsia"/>
                <w:szCs w:val="21"/>
                <w:lang w:val="en-US" w:eastAsia="zh-CN"/>
              </w:rPr>
              <w:t>几</w:t>
            </w:r>
            <w:r>
              <w:rPr>
                <w:rFonts w:hint="eastAsia"/>
                <w:szCs w:val="21"/>
              </w:rPr>
              <w:t>年</w:t>
            </w:r>
            <w:r>
              <w:rPr>
                <w:rFonts w:hint="eastAsia"/>
                <w:szCs w:val="21"/>
                <w:lang w:val="en-US" w:eastAsia="zh-CN"/>
              </w:rPr>
              <w:t>汇率</w:t>
            </w:r>
            <w:r>
              <w:rPr>
                <w:rFonts w:hint="eastAsia"/>
                <w:szCs w:val="21"/>
              </w:rPr>
              <w:t>整体呈</w:t>
            </w:r>
            <w:r>
              <w:rPr>
                <w:rFonts w:hint="eastAsia"/>
                <w:szCs w:val="21"/>
                <w:lang w:val="en-US" w:eastAsia="zh-CN"/>
              </w:rPr>
              <w:t>波动下降</w:t>
            </w:r>
            <w:r>
              <w:rPr>
                <w:rFonts w:hint="eastAsia"/>
                <w:szCs w:val="21"/>
              </w:rPr>
              <w:t>趋势，</w:t>
            </w:r>
            <w:r>
              <w:rPr>
                <w:rFonts w:hint="eastAsia"/>
                <w:szCs w:val="21"/>
                <w:lang w:val="en-US" w:eastAsia="zh-CN"/>
              </w:rPr>
              <w:t>人民币升值，迪拉姆贬值，</w:t>
            </w:r>
            <w:r>
              <w:rPr>
                <w:rFonts w:hint="eastAsia"/>
                <w:szCs w:val="21"/>
              </w:rPr>
              <w:t>预计短期内</w:t>
            </w:r>
            <w:r>
              <w:rPr>
                <w:rFonts w:hint="eastAsia"/>
                <w:szCs w:val="21"/>
                <w:lang w:val="en-US" w:eastAsia="zh-CN"/>
              </w:rPr>
              <w:t>随着人民币对美元持续升值，人民币对迪拉姆</w:t>
            </w:r>
            <w:r>
              <w:rPr>
                <w:rFonts w:hint="eastAsia"/>
                <w:szCs w:val="21"/>
              </w:rPr>
              <w:t>会继续温和升值</w:t>
            </w:r>
          </w:p>
        </w:tc>
        <w:tc>
          <w:tcPr>
            <w:tcW w:w="2875" w:type="dxa"/>
            <w:vAlign w:val="center"/>
          </w:tcPr>
          <w:p w14:paraId="76CBD467">
            <w:pPr>
              <w:pageBreakBefore w:val="0"/>
              <w:widowControl/>
              <w:kinsoku/>
              <w:wordWrap/>
              <w:overflowPunct/>
              <w:topLinePunct w:val="0"/>
              <w:autoSpaceDE/>
              <w:autoSpaceDN/>
              <w:bidi w:val="0"/>
              <w:adjustRightInd/>
              <w:snapToGrid/>
              <w:spacing w:before="40" w:after="40" w:line="240" w:lineRule="auto"/>
              <w:jc w:val="both"/>
              <w:rPr>
                <w:rFonts w:hint="eastAsia"/>
                <w:szCs w:val="21"/>
              </w:rPr>
            </w:pPr>
          </w:p>
        </w:tc>
      </w:tr>
    </w:tbl>
    <w:p w14:paraId="18D6FFA7">
      <w:pPr>
        <w:rPr>
          <w:rFonts w:hint="eastAsia"/>
        </w:rPr>
      </w:pPr>
      <w:r>
        <w:rPr>
          <w:rFonts w:hint="eastAsia"/>
        </w:rPr>
        <w:br w:type="page"/>
      </w:r>
    </w:p>
    <w:p w14:paraId="1CCE3E27">
      <w:pPr>
        <w:pStyle w:val="4"/>
        <w:pageBreakBefore w:val="0"/>
        <w:widowControl/>
        <w:kinsoku/>
        <w:wordWrap/>
        <w:overflowPunct/>
        <w:topLinePunct w:val="0"/>
        <w:autoSpaceDE/>
        <w:autoSpaceDN/>
        <w:bidi w:val="0"/>
        <w:adjustRightInd/>
        <w:snapToGrid/>
        <w:jc w:val="both"/>
        <w:rPr>
          <w:lang w:val="zh-CN" w:eastAsia="zh-CN"/>
        </w:rPr>
      </w:pPr>
      <w:bookmarkStart w:id="11" w:name="_Toc29020"/>
      <w:r>
        <w:rPr>
          <w:rFonts w:ascii="微软雅黑" w:hAnsi="微软雅黑" w:eastAsia="微软雅黑"/>
          <w:color w:val="auto"/>
          <w:lang w:val="zh-CN" w:eastAsia="zh-CN"/>
        </w:rPr>
        <w:t>2.5  公司已落地项目概览</w:t>
      </w:r>
      <w:bookmarkEnd w:id="11"/>
    </w:p>
    <w:tbl>
      <w:tblPr>
        <w:tblStyle w:val="37"/>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445"/>
        <w:gridCol w:w="1770"/>
        <w:gridCol w:w="1125"/>
        <w:gridCol w:w="1470"/>
        <w:gridCol w:w="1814"/>
      </w:tblGrid>
      <w:tr w14:paraId="68030D9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jc w:val="center"/>
        </w:trPr>
        <w:tc>
          <w:tcPr>
            <w:tcW w:w="2445" w:type="dxa"/>
            <w:shd w:val="clear" w:color="auto" w:fill="1F4E79"/>
            <w:vAlign w:val="center"/>
          </w:tcPr>
          <w:p w14:paraId="59448DEF">
            <w:pPr>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项目名称</w:t>
            </w:r>
          </w:p>
        </w:tc>
        <w:tc>
          <w:tcPr>
            <w:tcW w:w="1770" w:type="dxa"/>
            <w:shd w:val="clear" w:color="auto" w:fill="1F4E79"/>
            <w:vAlign w:val="center"/>
          </w:tcPr>
          <w:p w14:paraId="3605FB0B">
            <w:pPr>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承接单位</w:t>
            </w:r>
          </w:p>
        </w:tc>
        <w:tc>
          <w:tcPr>
            <w:tcW w:w="1125" w:type="dxa"/>
            <w:shd w:val="clear" w:color="auto" w:fill="1F4E79"/>
            <w:vAlign w:val="center"/>
          </w:tcPr>
          <w:p w14:paraId="1E7C9A15">
            <w:pPr>
              <w:spacing w:before="40" w:after="40" w:line="240" w:lineRule="auto"/>
              <w:jc w:val="center"/>
              <w:rPr>
                <w:rFonts w:hint="eastAsia"/>
                <w:color w:val="FFFFFF" w:themeColor="background1"/>
                <w:szCs w:val="21"/>
                <w14:textFill>
                  <w14:solidFill>
                    <w14:schemeClr w14:val="bg1"/>
                  </w14:solidFill>
                </w14:textFill>
              </w:rPr>
            </w:pPr>
            <w:r>
              <w:rPr>
                <w:rFonts w:hint="eastAsia" w:ascii="微软雅黑" w:eastAsia="微软雅黑"/>
                <w:b/>
                <w:color w:val="FFFFFF" w:themeColor="background1"/>
                <w:szCs w:val="21"/>
                <w:lang w:val="zh-CN" w:eastAsia="zh-CN"/>
                <w14:textFill>
                  <w14:solidFill>
                    <w14:schemeClr w14:val="bg1"/>
                  </w14:solidFill>
                </w14:textFill>
              </w:rPr>
              <w:t>当地设立</w:t>
            </w:r>
            <w:r>
              <w:rPr>
                <w:b/>
                <w:color w:val="FFFFFF" w:themeColor="background1"/>
                <w:szCs w:val="21"/>
                <w:lang w:val="zh-CN" w:eastAsia="zh-CN"/>
                <w14:textFill>
                  <w14:solidFill>
                    <w14:schemeClr w14:val="bg1"/>
                  </w14:solidFill>
                </w14:textFill>
              </w:rPr>
              <w:t>主体形式</w:t>
            </w:r>
          </w:p>
        </w:tc>
        <w:tc>
          <w:tcPr>
            <w:tcW w:w="1470" w:type="dxa"/>
            <w:shd w:val="clear" w:color="auto" w:fill="1F4E79"/>
            <w:vAlign w:val="center"/>
          </w:tcPr>
          <w:p w14:paraId="2D2FDD3D">
            <w:pPr>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工期</w:t>
            </w:r>
          </w:p>
        </w:tc>
        <w:tc>
          <w:tcPr>
            <w:tcW w:w="1814" w:type="dxa"/>
            <w:shd w:val="clear" w:color="auto" w:fill="1F4E79"/>
            <w:vAlign w:val="center"/>
          </w:tcPr>
          <w:p w14:paraId="20473D30">
            <w:pPr>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合同额</w:t>
            </w:r>
          </w:p>
        </w:tc>
      </w:tr>
      <w:tr w14:paraId="15AC837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445" w:type="dxa"/>
            <w:vAlign w:val="center"/>
          </w:tcPr>
          <w:p w14:paraId="582E1C32">
            <w:pPr>
              <w:spacing w:before="40" w:after="40"/>
              <w:rPr>
                <w:rFonts w:hint="eastAsia"/>
                <w:b w:val="0"/>
                <w:bCs w:val="0"/>
                <w:color w:val="auto"/>
                <w:sz w:val="18"/>
                <w:szCs w:val="18"/>
                <w:lang w:eastAsia="zh-CN"/>
              </w:rPr>
            </w:pPr>
            <w:r>
              <w:rPr>
                <w:rFonts w:hint="eastAsia" w:eastAsia="微软雅黑"/>
                <w:b w:val="0"/>
                <w:bCs w:val="0"/>
                <w:color w:val="auto"/>
                <w:sz w:val="18"/>
                <w:szCs w:val="18"/>
                <w:lang w:eastAsia="zh-CN"/>
              </w:rPr>
              <w:t>阿联酋IPM项目</w:t>
            </w:r>
          </w:p>
        </w:tc>
        <w:tc>
          <w:tcPr>
            <w:tcW w:w="1770" w:type="dxa"/>
            <w:vAlign w:val="center"/>
          </w:tcPr>
          <w:p w14:paraId="7BFC9409">
            <w:pPr>
              <w:spacing w:before="40" w:after="40" w:line="240" w:lineRule="auto"/>
              <w:rPr>
                <w:rFonts w:hint="eastAsia"/>
                <w:color w:val="auto"/>
                <w:sz w:val="18"/>
                <w:szCs w:val="18"/>
                <w:lang w:eastAsia="zh-CN"/>
              </w:rPr>
            </w:pPr>
            <w:r>
              <w:rPr>
                <w:rFonts w:hint="eastAsia" w:eastAsia="微软雅黑"/>
                <w:color w:val="auto"/>
                <w:sz w:val="18"/>
                <w:szCs w:val="18"/>
                <w:lang w:eastAsia="zh-CN"/>
              </w:rPr>
              <w:t>中国中轻国际工程有限公司</w:t>
            </w:r>
          </w:p>
        </w:tc>
        <w:tc>
          <w:tcPr>
            <w:tcW w:w="1125" w:type="dxa"/>
            <w:vAlign w:val="center"/>
          </w:tcPr>
          <w:p w14:paraId="23C8105D">
            <w:pPr>
              <w:spacing w:before="40" w:after="40" w:line="240" w:lineRule="auto"/>
              <w:rPr>
                <w:rFonts w:hint="eastAsia"/>
                <w:color w:val="auto"/>
                <w:sz w:val="18"/>
                <w:szCs w:val="18"/>
                <w:lang w:eastAsia="zh-CN"/>
              </w:rPr>
            </w:pPr>
            <w:r>
              <w:rPr>
                <w:rFonts w:hint="eastAsia" w:eastAsia="微软雅黑"/>
                <w:color w:val="auto"/>
                <w:sz w:val="18"/>
                <w:szCs w:val="18"/>
                <w:lang w:eastAsia="zh-CN"/>
              </w:rPr>
              <w:t>分公司</w:t>
            </w:r>
          </w:p>
        </w:tc>
        <w:tc>
          <w:tcPr>
            <w:tcW w:w="1470" w:type="dxa"/>
            <w:vAlign w:val="center"/>
          </w:tcPr>
          <w:p w14:paraId="4D287343">
            <w:pPr>
              <w:spacing w:before="40" w:after="40" w:line="240" w:lineRule="auto"/>
              <w:rPr>
                <w:rFonts w:hint="eastAsia"/>
                <w:color w:val="auto"/>
                <w:sz w:val="18"/>
                <w:szCs w:val="18"/>
                <w:lang w:eastAsia="zh-CN"/>
              </w:rPr>
            </w:pPr>
            <w:r>
              <w:rPr>
                <w:rFonts w:hint="eastAsia"/>
                <w:sz w:val="18"/>
                <w:szCs w:val="18"/>
                <w:lang w:eastAsia="zh-CN"/>
              </w:rPr>
              <w:t>2015年3月</w:t>
            </w:r>
            <w:r>
              <w:rPr>
                <w:rFonts w:hint="eastAsia"/>
                <w:sz w:val="18"/>
                <w:szCs w:val="18"/>
                <w:lang w:val="en-US" w:eastAsia="zh-CN"/>
              </w:rPr>
              <w:t>-</w:t>
            </w:r>
            <w:r>
              <w:rPr>
                <w:rFonts w:hint="eastAsia"/>
                <w:sz w:val="18"/>
                <w:szCs w:val="18"/>
                <w:lang w:eastAsia="zh-CN"/>
              </w:rPr>
              <w:t>2019年12月</w:t>
            </w:r>
          </w:p>
        </w:tc>
        <w:tc>
          <w:tcPr>
            <w:tcW w:w="1814" w:type="dxa"/>
            <w:vAlign w:val="center"/>
          </w:tcPr>
          <w:p w14:paraId="23DAA304">
            <w:pPr>
              <w:spacing w:before="40" w:after="40" w:line="240" w:lineRule="auto"/>
              <w:rPr>
                <w:rFonts w:hint="default"/>
                <w:color w:val="auto"/>
                <w:sz w:val="18"/>
                <w:szCs w:val="18"/>
                <w:lang w:val="en-US" w:eastAsia="zh-CN"/>
              </w:rPr>
            </w:pPr>
            <w:r>
              <w:rPr>
                <w:rFonts w:hint="eastAsia"/>
                <w:color w:val="auto"/>
                <w:sz w:val="18"/>
                <w:szCs w:val="18"/>
                <w:lang w:val="en-US" w:eastAsia="zh-CN"/>
              </w:rPr>
              <w:t>23,350万USD</w:t>
            </w:r>
          </w:p>
        </w:tc>
      </w:tr>
      <w:tr w14:paraId="61849E2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445" w:type="dxa"/>
            <w:vAlign w:val="center"/>
          </w:tcPr>
          <w:p w14:paraId="0D3430E2">
            <w:pPr>
              <w:spacing w:before="40" w:after="40"/>
              <w:rPr>
                <w:rFonts w:hint="eastAsia"/>
                <w:b w:val="0"/>
                <w:bCs w:val="0"/>
                <w:color w:val="auto"/>
                <w:sz w:val="18"/>
                <w:szCs w:val="18"/>
                <w:lang w:eastAsia="zh-CN"/>
              </w:rPr>
            </w:pPr>
            <w:r>
              <w:rPr>
                <w:rFonts w:hint="eastAsia"/>
                <w:b w:val="0"/>
                <w:bCs w:val="0"/>
                <w:color w:val="auto"/>
                <w:sz w:val="18"/>
                <w:szCs w:val="18"/>
                <w:lang w:val="en-US" w:eastAsia="zh-CN"/>
              </w:rPr>
              <w:t>迪拜中国馆钢结构项目</w:t>
            </w:r>
          </w:p>
        </w:tc>
        <w:tc>
          <w:tcPr>
            <w:tcW w:w="1770" w:type="dxa"/>
            <w:vAlign w:val="center"/>
          </w:tcPr>
          <w:p w14:paraId="2643FCA2">
            <w:pPr>
              <w:spacing w:before="40" w:after="40" w:line="240" w:lineRule="auto"/>
              <w:rPr>
                <w:rFonts w:hint="eastAsia"/>
                <w:color w:val="auto"/>
                <w:sz w:val="18"/>
                <w:szCs w:val="18"/>
                <w:lang w:eastAsia="zh-CN"/>
              </w:rPr>
            </w:pPr>
            <w:r>
              <w:rPr>
                <w:rFonts w:hint="eastAsia" w:eastAsia="微软雅黑"/>
                <w:color w:val="auto"/>
                <w:sz w:val="18"/>
                <w:szCs w:val="18"/>
                <w:lang w:eastAsia="zh-CN"/>
              </w:rPr>
              <w:t>中国中轻国际工程有限公司</w:t>
            </w:r>
          </w:p>
        </w:tc>
        <w:tc>
          <w:tcPr>
            <w:tcW w:w="1125" w:type="dxa"/>
            <w:vAlign w:val="center"/>
          </w:tcPr>
          <w:p w14:paraId="193FA4FA">
            <w:pPr>
              <w:spacing w:before="40" w:after="40" w:line="240" w:lineRule="auto"/>
              <w:rPr>
                <w:rFonts w:hint="eastAsia"/>
                <w:color w:val="auto"/>
                <w:sz w:val="18"/>
                <w:szCs w:val="18"/>
                <w:lang w:eastAsia="zh-CN"/>
              </w:rPr>
            </w:pPr>
            <w:r>
              <w:rPr>
                <w:rFonts w:hint="eastAsia"/>
                <w:color w:val="auto"/>
                <w:sz w:val="18"/>
                <w:szCs w:val="18"/>
              </w:rPr>
              <w:t>分公司</w:t>
            </w:r>
          </w:p>
        </w:tc>
        <w:tc>
          <w:tcPr>
            <w:tcW w:w="1470" w:type="dxa"/>
            <w:vAlign w:val="center"/>
          </w:tcPr>
          <w:p w14:paraId="39A8C14B">
            <w:pPr>
              <w:spacing w:before="40" w:after="40" w:line="240" w:lineRule="auto"/>
              <w:rPr>
                <w:rFonts w:hint="eastAsia"/>
                <w:color w:val="auto"/>
                <w:sz w:val="18"/>
                <w:szCs w:val="18"/>
                <w:lang w:eastAsia="zh-CN"/>
              </w:rPr>
            </w:pPr>
            <w:r>
              <w:rPr>
                <w:rFonts w:hint="eastAsia"/>
                <w:sz w:val="18"/>
                <w:szCs w:val="18"/>
                <w:lang w:eastAsia="zh-CN"/>
              </w:rPr>
              <w:t>2020年1月</w:t>
            </w:r>
            <w:r>
              <w:rPr>
                <w:rFonts w:hint="eastAsia"/>
                <w:sz w:val="18"/>
                <w:szCs w:val="18"/>
                <w:lang w:val="en-US" w:eastAsia="zh-CN"/>
              </w:rPr>
              <w:t>-</w:t>
            </w:r>
            <w:r>
              <w:rPr>
                <w:rFonts w:hint="eastAsia"/>
                <w:sz w:val="18"/>
                <w:szCs w:val="18"/>
                <w:lang w:eastAsia="zh-CN"/>
              </w:rPr>
              <w:t>2020年4月</w:t>
            </w:r>
          </w:p>
        </w:tc>
        <w:tc>
          <w:tcPr>
            <w:tcW w:w="1814" w:type="dxa"/>
            <w:vAlign w:val="center"/>
          </w:tcPr>
          <w:p w14:paraId="1A0C361C">
            <w:pPr>
              <w:spacing w:before="40" w:after="40" w:line="240" w:lineRule="auto"/>
              <w:rPr>
                <w:rFonts w:hint="default"/>
                <w:color w:val="auto"/>
                <w:sz w:val="18"/>
                <w:szCs w:val="18"/>
                <w:lang w:val="en-US" w:eastAsia="zh-CN"/>
              </w:rPr>
            </w:pPr>
            <w:r>
              <w:rPr>
                <w:rFonts w:hint="eastAsia"/>
                <w:color w:val="auto"/>
                <w:sz w:val="18"/>
                <w:szCs w:val="18"/>
                <w:lang w:val="en-US" w:eastAsia="zh-CN"/>
              </w:rPr>
              <w:t>591万AED</w:t>
            </w:r>
          </w:p>
        </w:tc>
      </w:tr>
      <w:tr w14:paraId="4506C99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445" w:type="dxa"/>
            <w:vAlign w:val="center"/>
          </w:tcPr>
          <w:p w14:paraId="163CD3E9">
            <w:pPr>
              <w:spacing w:before="40" w:after="40"/>
              <w:rPr>
                <w:rFonts w:hint="eastAsia"/>
                <w:b w:val="0"/>
                <w:bCs w:val="0"/>
                <w:color w:val="auto"/>
                <w:sz w:val="18"/>
                <w:szCs w:val="18"/>
                <w:lang w:eastAsia="zh-CN"/>
              </w:rPr>
            </w:pPr>
            <w:r>
              <w:rPr>
                <w:rFonts w:hint="eastAsia" w:eastAsia="微软雅黑"/>
                <w:b w:val="0"/>
                <w:bCs w:val="0"/>
                <w:color w:val="auto"/>
                <w:sz w:val="18"/>
                <w:szCs w:val="18"/>
                <w:lang w:eastAsia="zh-CN"/>
              </w:rPr>
              <w:t>迪拜</w:t>
            </w:r>
            <w:r>
              <w:rPr>
                <w:rFonts w:hint="eastAsia"/>
                <w:b w:val="0"/>
                <w:bCs w:val="0"/>
                <w:color w:val="auto"/>
                <w:sz w:val="18"/>
                <w:szCs w:val="18"/>
                <w:lang w:val="en-US" w:eastAsia="zh-CN"/>
              </w:rPr>
              <w:t>中国馆MEP项目</w:t>
            </w:r>
          </w:p>
        </w:tc>
        <w:tc>
          <w:tcPr>
            <w:tcW w:w="1770" w:type="dxa"/>
            <w:vAlign w:val="center"/>
          </w:tcPr>
          <w:p w14:paraId="369A5D66">
            <w:pPr>
              <w:spacing w:before="40" w:after="40" w:line="240" w:lineRule="auto"/>
              <w:rPr>
                <w:rFonts w:hint="eastAsia"/>
                <w:color w:val="auto"/>
                <w:sz w:val="18"/>
                <w:szCs w:val="18"/>
                <w:lang w:eastAsia="zh-CN"/>
              </w:rPr>
            </w:pPr>
            <w:r>
              <w:rPr>
                <w:rFonts w:hint="eastAsia" w:eastAsia="微软雅黑"/>
                <w:color w:val="auto"/>
                <w:sz w:val="18"/>
                <w:szCs w:val="18"/>
                <w:lang w:eastAsia="zh-CN"/>
              </w:rPr>
              <w:t>中国中轻国际工程有限公司</w:t>
            </w:r>
          </w:p>
        </w:tc>
        <w:tc>
          <w:tcPr>
            <w:tcW w:w="1125" w:type="dxa"/>
            <w:vAlign w:val="center"/>
          </w:tcPr>
          <w:p w14:paraId="5AFDDE08">
            <w:pPr>
              <w:spacing w:before="40" w:after="40" w:line="240" w:lineRule="auto"/>
              <w:rPr>
                <w:rFonts w:hint="eastAsia"/>
                <w:color w:val="auto"/>
                <w:sz w:val="18"/>
                <w:szCs w:val="18"/>
              </w:rPr>
            </w:pPr>
            <w:r>
              <w:rPr>
                <w:rFonts w:hint="eastAsia"/>
                <w:color w:val="auto"/>
                <w:sz w:val="18"/>
                <w:szCs w:val="18"/>
              </w:rPr>
              <w:t>分公司</w:t>
            </w:r>
          </w:p>
        </w:tc>
        <w:tc>
          <w:tcPr>
            <w:tcW w:w="1470" w:type="dxa"/>
            <w:vAlign w:val="center"/>
          </w:tcPr>
          <w:p w14:paraId="583BB9CA">
            <w:pPr>
              <w:spacing w:before="40" w:after="40" w:line="240" w:lineRule="auto"/>
              <w:rPr>
                <w:rFonts w:hint="eastAsia"/>
                <w:color w:val="auto"/>
                <w:sz w:val="18"/>
                <w:szCs w:val="18"/>
                <w:lang w:eastAsia="zh-CN"/>
              </w:rPr>
            </w:pPr>
            <w:r>
              <w:rPr>
                <w:rFonts w:hint="eastAsia"/>
                <w:sz w:val="18"/>
                <w:szCs w:val="18"/>
                <w:lang w:eastAsia="zh-CN"/>
              </w:rPr>
              <w:t>2020年2月</w:t>
            </w:r>
            <w:r>
              <w:rPr>
                <w:rFonts w:hint="eastAsia"/>
                <w:sz w:val="18"/>
                <w:szCs w:val="18"/>
                <w:lang w:val="en-US" w:eastAsia="zh-CN"/>
              </w:rPr>
              <w:t>-</w:t>
            </w:r>
            <w:r>
              <w:rPr>
                <w:rFonts w:hint="eastAsia"/>
                <w:sz w:val="18"/>
                <w:szCs w:val="18"/>
                <w:lang w:eastAsia="zh-CN"/>
              </w:rPr>
              <w:t>2020年7月</w:t>
            </w:r>
          </w:p>
        </w:tc>
        <w:tc>
          <w:tcPr>
            <w:tcW w:w="1814" w:type="dxa"/>
            <w:vAlign w:val="center"/>
          </w:tcPr>
          <w:p w14:paraId="06534EE8">
            <w:pPr>
              <w:spacing w:before="40" w:after="40" w:line="240" w:lineRule="auto"/>
              <w:rPr>
                <w:rFonts w:hint="default"/>
                <w:color w:val="auto"/>
                <w:sz w:val="18"/>
                <w:szCs w:val="18"/>
                <w:lang w:val="en-US" w:eastAsia="zh-CN"/>
              </w:rPr>
            </w:pPr>
            <w:r>
              <w:rPr>
                <w:rFonts w:hint="eastAsia"/>
                <w:b w:val="0"/>
                <w:bCs w:val="0"/>
                <w:color w:val="auto"/>
                <w:sz w:val="18"/>
                <w:szCs w:val="18"/>
                <w:lang w:val="en-US" w:eastAsia="zh-CN"/>
              </w:rPr>
              <w:t>823万AED</w:t>
            </w:r>
          </w:p>
        </w:tc>
      </w:tr>
      <w:tr w14:paraId="01ED976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445" w:type="dxa"/>
            <w:vAlign w:val="center"/>
          </w:tcPr>
          <w:p w14:paraId="306F6464">
            <w:pPr>
              <w:spacing w:before="40" w:after="40"/>
              <w:rPr>
                <w:rFonts w:hint="eastAsia"/>
                <w:b w:val="0"/>
                <w:bCs w:val="0"/>
                <w:color w:val="auto"/>
                <w:sz w:val="18"/>
                <w:szCs w:val="18"/>
                <w:lang w:eastAsia="zh-CN"/>
              </w:rPr>
            </w:pPr>
            <w:r>
              <w:rPr>
                <w:rFonts w:hint="eastAsia"/>
                <w:b w:val="0"/>
                <w:bCs w:val="0"/>
                <w:color w:val="auto"/>
                <w:sz w:val="18"/>
                <w:szCs w:val="18"/>
                <w:lang w:val="en-US" w:eastAsia="zh-CN"/>
              </w:rPr>
              <w:t>全球氟化工项目</w:t>
            </w:r>
          </w:p>
        </w:tc>
        <w:tc>
          <w:tcPr>
            <w:tcW w:w="1770" w:type="dxa"/>
            <w:vAlign w:val="center"/>
          </w:tcPr>
          <w:p w14:paraId="3C6B2A51">
            <w:pPr>
              <w:spacing w:before="40" w:after="40" w:line="240" w:lineRule="auto"/>
              <w:rPr>
                <w:rFonts w:hint="eastAsia"/>
                <w:color w:val="auto"/>
                <w:sz w:val="18"/>
                <w:szCs w:val="18"/>
                <w:lang w:eastAsia="zh-CN"/>
              </w:rPr>
            </w:pPr>
            <w:r>
              <w:rPr>
                <w:rFonts w:hint="eastAsia" w:eastAsia="微软雅黑"/>
                <w:color w:val="auto"/>
                <w:sz w:val="18"/>
                <w:szCs w:val="18"/>
                <w:lang w:eastAsia="zh-CN"/>
              </w:rPr>
              <w:t>中国中轻国际工程有限公司（阿布扎比）</w:t>
            </w:r>
          </w:p>
        </w:tc>
        <w:tc>
          <w:tcPr>
            <w:tcW w:w="1125" w:type="dxa"/>
            <w:vAlign w:val="center"/>
          </w:tcPr>
          <w:p w14:paraId="76434508">
            <w:pPr>
              <w:spacing w:before="40" w:after="40" w:line="240" w:lineRule="auto"/>
              <w:rPr>
                <w:rFonts w:hint="eastAsia"/>
                <w:color w:val="auto"/>
                <w:sz w:val="18"/>
                <w:szCs w:val="18"/>
                <w:lang w:eastAsia="zh-CN"/>
              </w:rPr>
            </w:pPr>
            <w:r>
              <w:rPr>
                <w:rFonts w:hint="eastAsia" w:eastAsia="微软雅黑"/>
                <w:color w:val="auto"/>
                <w:sz w:val="18"/>
                <w:szCs w:val="18"/>
                <w:lang w:eastAsia="zh-CN"/>
              </w:rPr>
              <w:t>先分公司后转为子公司</w:t>
            </w:r>
          </w:p>
        </w:tc>
        <w:tc>
          <w:tcPr>
            <w:tcW w:w="1470" w:type="dxa"/>
            <w:vAlign w:val="center"/>
          </w:tcPr>
          <w:p w14:paraId="0DBC3B6C">
            <w:pPr>
              <w:spacing w:before="40" w:after="40" w:line="240" w:lineRule="auto"/>
              <w:rPr>
                <w:rFonts w:hint="eastAsia"/>
                <w:color w:val="auto"/>
                <w:sz w:val="18"/>
                <w:szCs w:val="18"/>
                <w:lang w:eastAsia="zh-CN"/>
              </w:rPr>
            </w:pPr>
            <w:r>
              <w:rPr>
                <w:rFonts w:hint="eastAsia"/>
                <w:sz w:val="18"/>
                <w:szCs w:val="18"/>
                <w:lang w:eastAsia="zh-CN"/>
              </w:rPr>
              <w:t>2021年1月</w:t>
            </w:r>
            <w:r>
              <w:rPr>
                <w:rFonts w:hint="eastAsia"/>
                <w:sz w:val="18"/>
                <w:szCs w:val="18"/>
                <w:lang w:val="en-US" w:eastAsia="zh-CN"/>
              </w:rPr>
              <w:t>-</w:t>
            </w:r>
            <w:r>
              <w:rPr>
                <w:rFonts w:hint="eastAsia"/>
                <w:sz w:val="18"/>
                <w:szCs w:val="18"/>
                <w:lang w:eastAsia="zh-CN"/>
              </w:rPr>
              <w:t>2022年12月</w:t>
            </w:r>
          </w:p>
        </w:tc>
        <w:tc>
          <w:tcPr>
            <w:tcW w:w="1814" w:type="dxa"/>
            <w:vAlign w:val="center"/>
          </w:tcPr>
          <w:p w14:paraId="094046ED">
            <w:pPr>
              <w:spacing w:before="40" w:after="40" w:line="240" w:lineRule="auto"/>
              <w:rPr>
                <w:rFonts w:hint="default"/>
                <w:color w:val="auto"/>
                <w:sz w:val="18"/>
                <w:szCs w:val="18"/>
                <w:lang w:val="en-US" w:eastAsia="zh-CN"/>
              </w:rPr>
            </w:pPr>
            <w:r>
              <w:rPr>
                <w:rFonts w:hint="eastAsia" w:eastAsia="微软雅黑"/>
                <w:b w:val="0"/>
                <w:bCs w:val="0"/>
                <w:color w:val="auto"/>
                <w:sz w:val="18"/>
                <w:szCs w:val="18"/>
                <w:lang w:eastAsia="zh-CN"/>
              </w:rPr>
              <w:t>11,765万</w:t>
            </w:r>
            <w:r>
              <w:rPr>
                <w:rFonts w:hint="eastAsia"/>
                <w:b w:val="0"/>
                <w:bCs w:val="0"/>
                <w:color w:val="auto"/>
                <w:sz w:val="18"/>
                <w:szCs w:val="18"/>
                <w:lang w:val="en-US" w:eastAsia="zh-CN"/>
              </w:rPr>
              <w:t>AED</w:t>
            </w:r>
          </w:p>
        </w:tc>
      </w:tr>
      <w:tr w14:paraId="3223D48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445" w:type="dxa"/>
            <w:vAlign w:val="center"/>
          </w:tcPr>
          <w:p w14:paraId="12D68285">
            <w:pPr>
              <w:spacing w:before="40" w:after="40"/>
              <w:rPr>
                <w:rFonts w:hint="eastAsia"/>
                <w:b w:val="0"/>
                <w:bCs w:val="0"/>
                <w:color w:val="auto"/>
                <w:sz w:val="18"/>
                <w:szCs w:val="18"/>
                <w:lang w:eastAsia="zh-CN"/>
              </w:rPr>
            </w:pPr>
            <w:r>
              <w:rPr>
                <w:b w:val="0"/>
                <w:bCs w:val="0"/>
                <w:color w:val="auto"/>
              </w:rPr>
              <w:fldChar w:fldCharType="begin"/>
            </w:r>
            <w:r>
              <w:rPr>
                <w:b w:val="0"/>
                <w:bCs w:val="0"/>
                <w:color w:val="auto"/>
              </w:rPr>
              <w:instrText xml:space="preserve"> HYPERLINK "javascript:void(0)" \o "Munger Oil Services Maintenance Workshop Project-商机" </w:instrText>
            </w:r>
            <w:r>
              <w:rPr>
                <w:b w:val="0"/>
                <w:bCs w:val="0"/>
                <w:color w:val="auto"/>
              </w:rPr>
              <w:fldChar w:fldCharType="separate"/>
            </w:r>
            <w:r>
              <w:rPr>
                <w:rStyle w:val="139"/>
                <w:b w:val="0"/>
                <w:bCs w:val="0"/>
                <w:color w:val="auto"/>
                <w:sz w:val="18"/>
                <w:szCs w:val="18"/>
                <w:u w:val="none"/>
                <w:lang w:eastAsia="zh-CN"/>
              </w:rPr>
              <w:t>Munger</w:t>
            </w:r>
            <w:r>
              <w:rPr>
                <w:rStyle w:val="139"/>
                <w:b w:val="0"/>
                <w:bCs w:val="0"/>
                <w:color w:val="auto"/>
                <w:sz w:val="18"/>
                <w:szCs w:val="18"/>
                <w:u w:val="none"/>
                <w:lang w:eastAsia="zh-CN"/>
              </w:rPr>
              <w:fldChar w:fldCharType="end"/>
            </w:r>
            <w:r>
              <w:rPr>
                <w:rFonts w:hint="eastAsia" w:eastAsia="微软雅黑"/>
                <w:b w:val="0"/>
                <w:bCs w:val="0"/>
                <w:color w:val="auto"/>
                <w:sz w:val="18"/>
                <w:szCs w:val="18"/>
                <w:lang w:eastAsia="zh-CN"/>
              </w:rPr>
              <w:t>咨询项目</w:t>
            </w:r>
          </w:p>
        </w:tc>
        <w:tc>
          <w:tcPr>
            <w:tcW w:w="1770" w:type="dxa"/>
            <w:vAlign w:val="center"/>
          </w:tcPr>
          <w:p w14:paraId="4A59E6F5">
            <w:pPr>
              <w:spacing w:before="40" w:after="40" w:line="240" w:lineRule="auto"/>
              <w:rPr>
                <w:rFonts w:hint="eastAsia"/>
                <w:color w:val="auto"/>
                <w:sz w:val="18"/>
                <w:szCs w:val="18"/>
                <w:lang w:eastAsia="zh-CN"/>
              </w:rPr>
            </w:pPr>
            <w:r>
              <w:rPr>
                <w:rFonts w:hint="eastAsia" w:eastAsia="微软雅黑"/>
                <w:color w:val="auto"/>
                <w:sz w:val="18"/>
                <w:szCs w:val="18"/>
                <w:lang w:eastAsia="zh-CN"/>
              </w:rPr>
              <w:t>中国中轻国际工程有限公司（阿布扎比）</w:t>
            </w:r>
          </w:p>
        </w:tc>
        <w:tc>
          <w:tcPr>
            <w:tcW w:w="1125" w:type="dxa"/>
            <w:vAlign w:val="center"/>
          </w:tcPr>
          <w:p w14:paraId="75FE3026">
            <w:pPr>
              <w:spacing w:before="40" w:after="40" w:line="240" w:lineRule="auto"/>
              <w:rPr>
                <w:rFonts w:hint="eastAsia"/>
                <w:color w:val="auto"/>
                <w:sz w:val="18"/>
                <w:szCs w:val="18"/>
                <w:lang w:eastAsia="zh-CN"/>
              </w:rPr>
            </w:pPr>
            <w:r>
              <w:rPr>
                <w:rFonts w:hint="eastAsia" w:eastAsia="微软雅黑"/>
                <w:color w:val="auto"/>
                <w:sz w:val="18"/>
                <w:szCs w:val="18"/>
                <w:lang w:eastAsia="zh-CN"/>
              </w:rPr>
              <w:t>子公司</w:t>
            </w:r>
          </w:p>
        </w:tc>
        <w:tc>
          <w:tcPr>
            <w:tcW w:w="1470" w:type="dxa"/>
            <w:vAlign w:val="center"/>
          </w:tcPr>
          <w:p w14:paraId="338A1844">
            <w:pPr>
              <w:spacing w:before="40" w:after="40" w:line="240" w:lineRule="auto"/>
              <w:rPr>
                <w:rFonts w:hint="eastAsia"/>
                <w:color w:val="auto"/>
                <w:sz w:val="18"/>
                <w:szCs w:val="18"/>
                <w:lang w:eastAsia="zh-CN"/>
              </w:rPr>
            </w:pPr>
            <w:r>
              <w:rPr>
                <w:rFonts w:hint="eastAsia"/>
                <w:sz w:val="18"/>
                <w:szCs w:val="18"/>
                <w:lang w:eastAsia="zh-CN"/>
              </w:rPr>
              <w:t>2024年9月</w:t>
            </w:r>
            <w:r>
              <w:rPr>
                <w:rFonts w:hint="eastAsia"/>
                <w:sz w:val="18"/>
                <w:szCs w:val="18"/>
                <w:lang w:val="en-US" w:eastAsia="zh-CN"/>
              </w:rPr>
              <w:t>-</w:t>
            </w:r>
            <w:r>
              <w:rPr>
                <w:rFonts w:hint="eastAsia"/>
                <w:sz w:val="18"/>
                <w:szCs w:val="18"/>
                <w:lang w:eastAsia="zh-CN"/>
              </w:rPr>
              <w:t>2025年6月</w:t>
            </w:r>
          </w:p>
        </w:tc>
        <w:tc>
          <w:tcPr>
            <w:tcW w:w="1814" w:type="dxa"/>
            <w:vAlign w:val="center"/>
          </w:tcPr>
          <w:p w14:paraId="53D1C949">
            <w:pPr>
              <w:spacing w:before="40" w:after="40" w:line="240" w:lineRule="auto"/>
              <w:rPr>
                <w:rFonts w:hint="default"/>
                <w:color w:val="auto"/>
                <w:sz w:val="18"/>
                <w:szCs w:val="18"/>
                <w:lang w:val="en-US" w:eastAsia="zh-CN"/>
              </w:rPr>
            </w:pPr>
            <w:r>
              <w:rPr>
                <w:rFonts w:hint="eastAsia"/>
                <w:color w:val="auto"/>
                <w:sz w:val="18"/>
                <w:szCs w:val="18"/>
                <w:lang w:val="en-US" w:eastAsia="zh-CN"/>
              </w:rPr>
              <w:t>65万AED</w:t>
            </w:r>
          </w:p>
        </w:tc>
      </w:tr>
      <w:tr w14:paraId="6130D2F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445" w:type="dxa"/>
            <w:vAlign w:val="center"/>
          </w:tcPr>
          <w:p w14:paraId="239D252C">
            <w:pPr>
              <w:spacing w:before="40" w:after="40"/>
              <w:rPr>
                <w:rFonts w:hint="eastAsia"/>
                <w:b w:val="0"/>
                <w:bCs w:val="0"/>
                <w:color w:val="auto"/>
                <w:sz w:val="18"/>
                <w:szCs w:val="18"/>
                <w:lang w:eastAsia="zh-CN"/>
              </w:rPr>
            </w:pPr>
            <w:r>
              <w:rPr>
                <w:rFonts w:hint="eastAsia"/>
                <w:b w:val="0"/>
                <w:bCs w:val="0"/>
                <w:color w:val="auto"/>
                <w:sz w:val="18"/>
                <w:szCs w:val="18"/>
                <w:lang w:val="en-US" w:eastAsia="zh-CN"/>
              </w:rPr>
              <w:t>机修车间项目</w:t>
            </w:r>
          </w:p>
        </w:tc>
        <w:tc>
          <w:tcPr>
            <w:tcW w:w="1770" w:type="dxa"/>
            <w:vAlign w:val="center"/>
          </w:tcPr>
          <w:p w14:paraId="5EA7D290">
            <w:pPr>
              <w:spacing w:before="40" w:after="40" w:line="240" w:lineRule="auto"/>
              <w:rPr>
                <w:rFonts w:hint="eastAsia"/>
                <w:color w:val="auto"/>
                <w:sz w:val="18"/>
                <w:szCs w:val="18"/>
                <w:lang w:eastAsia="zh-CN"/>
              </w:rPr>
            </w:pPr>
            <w:r>
              <w:rPr>
                <w:rFonts w:hint="eastAsia" w:eastAsia="微软雅黑"/>
                <w:color w:val="auto"/>
                <w:sz w:val="18"/>
                <w:szCs w:val="18"/>
                <w:lang w:eastAsia="zh-CN"/>
              </w:rPr>
              <w:t>中国中轻国际工程有限公司（阿布扎比）</w:t>
            </w:r>
          </w:p>
        </w:tc>
        <w:tc>
          <w:tcPr>
            <w:tcW w:w="1125" w:type="dxa"/>
            <w:vAlign w:val="center"/>
          </w:tcPr>
          <w:p w14:paraId="6745C663">
            <w:pPr>
              <w:spacing w:before="40" w:after="40" w:line="240" w:lineRule="auto"/>
              <w:rPr>
                <w:rFonts w:hint="eastAsia"/>
                <w:color w:val="auto"/>
                <w:sz w:val="18"/>
                <w:szCs w:val="18"/>
                <w:lang w:eastAsia="zh-CN"/>
              </w:rPr>
            </w:pPr>
            <w:r>
              <w:rPr>
                <w:rFonts w:hint="eastAsia" w:eastAsia="微软雅黑"/>
                <w:color w:val="auto"/>
                <w:sz w:val="18"/>
                <w:szCs w:val="18"/>
                <w:lang w:eastAsia="zh-CN"/>
              </w:rPr>
              <w:t>子公司</w:t>
            </w:r>
          </w:p>
        </w:tc>
        <w:tc>
          <w:tcPr>
            <w:tcW w:w="1470" w:type="dxa"/>
            <w:vAlign w:val="center"/>
          </w:tcPr>
          <w:p w14:paraId="7AD8A944">
            <w:pPr>
              <w:spacing w:before="40" w:after="40" w:line="240" w:lineRule="auto"/>
              <w:rPr>
                <w:rFonts w:hint="default"/>
                <w:color w:val="auto"/>
                <w:sz w:val="18"/>
                <w:szCs w:val="18"/>
                <w:lang w:val="en-US" w:eastAsia="zh-CN"/>
              </w:rPr>
            </w:pPr>
            <w:r>
              <w:rPr>
                <w:rFonts w:hint="eastAsia"/>
                <w:color w:val="auto"/>
                <w:sz w:val="18"/>
                <w:szCs w:val="18"/>
                <w:lang w:val="en-US" w:eastAsia="zh-CN"/>
              </w:rPr>
              <w:t>2026年2月-2027年2月</w:t>
            </w:r>
          </w:p>
        </w:tc>
        <w:tc>
          <w:tcPr>
            <w:tcW w:w="1814" w:type="dxa"/>
            <w:vAlign w:val="center"/>
          </w:tcPr>
          <w:p w14:paraId="64E285B8">
            <w:pPr>
              <w:spacing w:before="40" w:after="40" w:line="240" w:lineRule="auto"/>
              <w:rPr>
                <w:rFonts w:hint="default"/>
                <w:color w:val="auto"/>
                <w:sz w:val="18"/>
                <w:szCs w:val="18"/>
                <w:lang w:val="en-US" w:eastAsia="zh-CN"/>
              </w:rPr>
            </w:pPr>
            <w:r>
              <w:rPr>
                <w:rFonts w:hint="eastAsia"/>
                <w:color w:val="auto"/>
                <w:sz w:val="18"/>
                <w:szCs w:val="18"/>
                <w:lang w:val="en-US" w:eastAsia="zh-CN"/>
              </w:rPr>
              <w:t>3,450万AED</w:t>
            </w:r>
          </w:p>
        </w:tc>
      </w:tr>
      <w:tr w14:paraId="4EA3EA3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445" w:type="dxa"/>
            <w:vAlign w:val="center"/>
          </w:tcPr>
          <w:p w14:paraId="291A0F85">
            <w:pPr>
              <w:spacing w:before="40" w:after="40"/>
              <w:rPr>
                <w:rFonts w:hint="eastAsia"/>
                <w:b w:val="0"/>
                <w:bCs w:val="0"/>
                <w:color w:val="auto"/>
                <w:sz w:val="18"/>
                <w:szCs w:val="18"/>
                <w:lang w:eastAsia="zh-CN"/>
              </w:rPr>
            </w:pPr>
            <w:r>
              <w:rPr>
                <w:rFonts w:hint="eastAsia"/>
                <w:b w:val="0"/>
                <w:bCs w:val="0"/>
                <w:color w:val="auto"/>
                <w:sz w:val="18"/>
                <w:szCs w:val="18"/>
                <w:lang w:val="en-US" w:eastAsia="zh-CN"/>
              </w:rPr>
              <w:t>CCCI全过程咨询项目</w:t>
            </w:r>
          </w:p>
        </w:tc>
        <w:tc>
          <w:tcPr>
            <w:tcW w:w="1770" w:type="dxa"/>
            <w:vAlign w:val="center"/>
          </w:tcPr>
          <w:p w14:paraId="67D22739">
            <w:pPr>
              <w:spacing w:before="40" w:after="40" w:line="240" w:lineRule="auto"/>
              <w:rPr>
                <w:rFonts w:hint="eastAsia"/>
                <w:color w:val="auto"/>
                <w:sz w:val="18"/>
                <w:szCs w:val="18"/>
                <w:lang w:eastAsia="zh-CN"/>
              </w:rPr>
            </w:pPr>
            <w:r>
              <w:rPr>
                <w:rFonts w:hint="eastAsia" w:eastAsia="微软雅黑"/>
                <w:color w:val="auto"/>
                <w:sz w:val="18"/>
                <w:szCs w:val="18"/>
                <w:lang w:eastAsia="zh-CN"/>
              </w:rPr>
              <w:t>中国中轻国际工程有限公司（阿布扎比）、中国中轻国际工程有限公司</w:t>
            </w:r>
          </w:p>
        </w:tc>
        <w:tc>
          <w:tcPr>
            <w:tcW w:w="1125" w:type="dxa"/>
            <w:vAlign w:val="center"/>
          </w:tcPr>
          <w:p w14:paraId="0437A19C">
            <w:pPr>
              <w:spacing w:before="40" w:after="40" w:line="240" w:lineRule="auto"/>
              <w:rPr>
                <w:rFonts w:hint="eastAsia"/>
                <w:color w:val="auto"/>
                <w:sz w:val="18"/>
                <w:szCs w:val="18"/>
                <w:lang w:eastAsia="zh-CN"/>
              </w:rPr>
            </w:pPr>
            <w:r>
              <w:rPr>
                <w:rFonts w:hint="eastAsia" w:eastAsia="微软雅黑"/>
                <w:color w:val="auto"/>
                <w:sz w:val="18"/>
                <w:szCs w:val="18"/>
                <w:lang w:eastAsia="zh-CN"/>
              </w:rPr>
              <w:t>子公司、母公司</w:t>
            </w:r>
          </w:p>
        </w:tc>
        <w:tc>
          <w:tcPr>
            <w:tcW w:w="1470" w:type="dxa"/>
            <w:vAlign w:val="center"/>
          </w:tcPr>
          <w:p w14:paraId="653F805D">
            <w:pPr>
              <w:spacing w:before="40" w:after="40" w:line="240" w:lineRule="auto"/>
              <w:rPr>
                <w:rFonts w:hint="default"/>
                <w:color w:val="auto"/>
                <w:sz w:val="18"/>
                <w:szCs w:val="18"/>
                <w:lang w:val="en-US" w:eastAsia="zh-CN"/>
              </w:rPr>
            </w:pPr>
            <w:r>
              <w:rPr>
                <w:rFonts w:hint="eastAsia"/>
                <w:color w:val="auto"/>
                <w:sz w:val="18"/>
                <w:szCs w:val="18"/>
                <w:lang w:val="en-US" w:eastAsia="zh-CN"/>
              </w:rPr>
              <w:t>2026年6月-2027年8月</w:t>
            </w:r>
          </w:p>
        </w:tc>
        <w:tc>
          <w:tcPr>
            <w:tcW w:w="1814" w:type="dxa"/>
            <w:vAlign w:val="center"/>
          </w:tcPr>
          <w:p w14:paraId="48E15C13">
            <w:pPr>
              <w:spacing w:before="40" w:after="40" w:line="240" w:lineRule="auto"/>
              <w:rPr>
                <w:color w:val="auto"/>
                <w:sz w:val="18"/>
                <w:szCs w:val="18"/>
                <w:lang w:eastAsia="zh-CN"/>
              </w:rPr>
            </w:pPr>
            <w:r>
              <w:rPr>
                <w:rFonts w:hint="eastAsia" w:eastAsia="微软雅黑"/>
                <w:color w:val="auto"/>
                <w:sz w:val="18"/>
                <w:szCs w:val="18"/>
                <w:lang w:eastAsia="zh-CN"/>
              </w:rPr>
              <w:t>合同拆分签约</w:t>
            </w:r>
            <w:r>
              <w:rPr>
                <w:rFonts w:hint="eastAsia"/>
                <w:color w:val="auto"/>
                <w:sz w:val="18"/>
                <w:szCs w:val="18"/>
                <w:lang w:eastAsia="zh-CN"/>
              </w:rPr>
              <w:t>，</w:t>
            </w:r>
          </w:p>
          <w:p w14:paraId="502C4D72">
            <w:pPr>
              <w:spacing w:before="40" w:after="40" w:line="240" w:lineRule="auto"/>
              <w:rPr>
                <w:rFonts w:hint="default"/>
                <w:color w:val="auto"/>
                <w:sz w:val="18"/>
                <w:szCs w:val="18"/>
                <w:lang w:val="en-US" w:eastAsia="zh-CN"/>
              </w:rPr>
            </w:pPr>
            <w:r>
              <w:rPr>
                <w:rFonts w:hint="eastAsia" w:eastAsia="微软雅黑"/>
                <w:color w:val="auto"/>
                <w:sz w:val="18"/>
                <w:szCs w:val="18"/>
                <w:lang w:eastAsia="zh-CN"/>
              </w:rPr>
              <w:t>子公司</w:t>
            </w:r>
            <w:r>
              <w:rPr>
                <w:rFonts w:hint="eastAsia"/>
                <w:color w:val="auto"/>
                <w:sz w:val="18"/>
                <w:szCs w:val="18"/>
                <w:lang w:val="en-US" w:eastAsia="zh-CN"/>
              </w:rPr>
              <w:t>36万AED</w:t>
            </w:r>
            <w:r>
              <w:rPr>
                <w:rFonts w:hint="eastAsia" w:eastAsia="微软雅黑"/>
                <w:color w:val="auto"/>
                <w:sz w:val="18"/>
                <w:szCs w:val="18"/>
                <w:lang w:eastAsia="zh-CN"/>
              </w:rPr>
              <w:t>，母公司</w:t>
            </w:r>
            <w:r>
              <w:rPr>
                <w:rFonts w:hint="eastAsia"/>
                <w:color w:val="auto"/>
                <w:sz w:val="18"/>
                <w:szCs w:val="18"/>
                <w:lang w:val="en-US" w:eastAsia="zh-CN"/>
              </w:rPr>
              <w:t>648万CNY</w:t>
            </w:r>
          </w:p>
        </w:tc>
      </w:tr>
    </w:tbl>
    <w:p w14:paraId="50656D2F">
      <w:pPr>
        <w:pageBreakBefore w:val="0"/>
        <w:widowControl/>
        <w:kinsoku/>
        <w:wordWrap/>
        <w:overflowPunct/>
        <w:topLinePunct w:val="0"/>
        <w:autoSpaceDE/>
        <w:autoSpaceDN/>
        <w:bidi w:val="0"/>
        <w:adjustRightInd/>
        <w:snapToGrid/>
        <w:jc w:val="both"/>
        <w:rPr>
          <w:rFonts w:hint="eastAsia"/>
        </w:rPr>
      </w:pPr>
      <w:r>
        <w:rPr>
          <w:lang w:val="zh-CN" w:eastAsia="zh-CN"/>
        </w:rPr>
        <w:br w:type="page"/>
      </w:r>
    </w:p>
    <w:p w14:paraId="5E1A791E">
      <w:pPr>
        <w:pStyle w:val="3"/>
        <w:pageBreakBefore w:val="0"/>
        <w:widowControl/>
        <w:kinsoku/>
        <w:wordWrap/>
        <w:overflowPunct/>
        <w:topLinePunct w:val="0"/>
        <w:autoSpaceDE/>
        <w:autoSpaceDN/>
        <w:bidi w:val="0"/>
        <w:adjustRightInd/>
        <w:snapToGrid/>
        <w:jc w:val="both"/>
        <w:rPr>
          <w:rFonts w:ascii="微软雅黑" w:hAnsi="微软雅黑" w:eastAsia="微软雅黑"/>
          <w:color w:val="auto"/>
        </w:rPr>
      </w:pPr>
      <w:bookmarkStart w:id="12" w:name="_Toc23452"/>
      <w:r>
        <w:rPr>
          <w:rFonts w:ascii="微软雅黑" w:hAnsi="微软雅黑" w:eastAsia="微软雅黑"/>
          <w:color w:val="auto"/>
          <w:lang w:val="zh-CN" w:eastAsia="zh-CN"/>
        </w:rPr>
        <w:t>第三章  国别基础概况</w:t>
      </w:r>
      <w:bookmarkEnd w:id="12"/>
    </w:p>
    <w:p w14:paraId="3992B299">
      <w:pPr>
        <w:pStyle w:val="4"/>
        <w:pageBreakBefore w:val="0"/>
        <w:widowControl/>
        <w:kinsoku/>
        <w:wordWrap/>
        <w:overflowPunct/>
        <w:topLinePunct w:val="0"/>
        <w:autoSpaceDE/>
        <w:autoSpaceDN/>
        <w:bidi w:val="0"/>
        <w:adjustRightInd/>
        <w:snapToGrid/>
        <w:jc w:val="both"/>
        <w:rPr>
          <w:rFonts w:ascii="微软雅黑" w:hAnsi="微软雅黑" w:eastAsia="微软雅黑"/>
          <w:color w:val="auto"/>
          <w:lang w:eastAsia="zh-CN"/>
        </w:rPr>
      </w:pPr>
      <w:bookmarkStart w:id="13" w:name="_Toc1509"/>
      <w:r>
        <w:rPr>
          <w:rFonts w:ascii="微软雅黑" w:hAnsi="微软雅黑" w:eastAsia="微软雅黑"/>
          <w:color w:val="auto"/>
          <w:lang w:val="zh-CN" w:eastAsia="zh-CN"/>
        </w:rPr>
        <w:t>3.1  地缘、人文、法律与营商环境</w:t>
      </w:r>
      <w:bookmarkEnd w:id="13"/>
    </w:p>
    <w:p w14:paraId="26261022">
      <w:pPr>
        <w:pStyle w:val="5"/>
        <w:pageBreakBefore w:val="0"/>
        <w:widowControl/>
        <w:kinsoku/>
        <w:wordWrap/>
        <w:overflowPunct/>
        <w:topLinePunct w:val="0"/>
        <w:autoSpaceDE/>
        <w:autoSpaceDN/>
        <w:bidi w:val="0"/>
        <w:adjustRightInd/>
        <w:snapToGrid/>
        <w:jc w:val="both"/>
        <w:rPr>
          <w:rFonts w:hint="eastAsia"/>
          <w:sz w:val="24"/>
          <w:szCs w:val="24"/>
          <w:lang w:val="zh-CN" w:eastAsia="zh-CN"/>
        </w:rPr>
      </w:pPr>
      <w:bookmarkStart w:id="14" w:name="_Toc4897"/>
      <w:r>
        <w:rPr>
          <w:rFonts w:hint="eastAsia" w:ascii="微软雅黑" w:hAnsi="微软雅黑" w:eastAsia="微软雅黑"/>
          <w:color w:val="auto"/>
          <w:lang w:val="en-US" w:eastAsia="zh-CN"/>
        </w:rPr>
        <w:t>3</w:t>
      </w:r>
      <w:r>
        <w:rPr>
          <w:rFonts w:ascii="微软雅黑" w:hAnsi="微软雅黑" w:eastAsia="微软雅黑"/>
          <w:color w:val="auto"/>
          <w:lang w:val="zh-CN" w:eastAsia="zh-CN"/>
        </w:rPr>
        <w:t xml:space="preserve">.1.1  </w:t>
      </w:r>
      <w:r>
        <w:rPr>
          <w:rFonts w:hint="eastAsia" w:ascii="微软雅黑" w:hAnsi="微软雅黑" w:eastAsia="微软雅黑"/>
          <w:color w:val="auto"/>
          <w:lang w:val="zh-CN" w:eastAsia="zh-CN"/>
        </w:rPr>
        <w:t>地理与政治环境</w:t>
      </w:r>
      <w:bookmarkEnd w:id="14"/>
    </w:p>
    <w:p w14:paraId="2A15A82B">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en-US" w:eastAsia="zh-CN"/>
        </w:rPr>
      </w:pPr>
      <w:r>
        <w:rPr>
          <w:rFonts w:hint="eastAsia"/>
          <w:sz w:val="24"/>
          <w:szCs w:val="24"/>
          <w:lang w:val="en-US" w:eastAsia="zh-CN"/>
        </w:rPr>
        <w:t>1、地理环境</w:t>
      </w:r>
    </w:p>
    <w:p w14:paraId="0C674A0E">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zh-CN" w:eastAsia="zh-CN"/>
        </w:rPr>
      </w:pPr>
      <w:r>
        <w:rPr>
          <w:rFonts w:hint="eastAsia"/>
          <w:sz w:val="24"/>
          <w:szCs w:val="24"/>
          <w:lang w:val="zh-CN" w:eastAsia="zh-CN"/>
        </w:rPr>
        <w:t>阿拉伯联合酋长国是由阿布扎比、迪拜、沙迦、阿治曼、乌姆盖万、哈伊马角和富查伊拉7个酋长国组成的联邦国家，首都为阿布扎比。阿联酋位于阿拉伯半岛东南端，东邻阿曼，西北接壤卡塔尔，南部和西南与沙特阿拉伯交界，北隔波斯湾（阿拉伯湾）与伊朗相望，扼守波斯湾进入印度洋的海上交通要冲。阿联酋国土面积约为8.36万平方公里（包括沿海岛屿，其中，阿布扎比酋长国面积占阿联酋总面积的87%），海岸线长约1</w:t>
      </w:r>
      <w:r>
        <w:rPr>
          <w:rFonts w:hint="eastAsia"/>
          <w:sz w:val="24"/>
          <w:szCs w:val="24"/>
          <w:lang w:val="en-US" w:eastAsia="zh-CN"/>
        </w:rPr>
        <w:t>,</w:t>
      </w:r>
      <w:r>
        <w:rPr>
          <w:rFonts w:hint="eastAsia"/>
          <w:sz w:val="24"/>
          <w:szCs w:val="24"/>
          <w:lang w:val="zh-CN" w:eastAsia="zh-CN"/>
        </w:rPr>
        <w:t>318公里。</w:t>
      </w:r>
    </w:p>
    <w:p w14:paraId="305F4EC9">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en-US" w:eastAsia="zh-CN"/>
        </w:rPr>
      </w:pPr>
      <w:r>
        <w:rPr>
          <w:rFonts w:hint="eastAsia"/>
          <w:sz w:val="24"/>
          <w:szCs w:val="24"/>
          <w:lang w:val="en-US" w:eastAsia="zh-CN"/>
        </w:rPr>
        <w:t>2、政治环境</w:t>
      </w:r>
    </w:p>
    <w:p w14:paraId="7A066F08">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zh-CN" w:eastAsia="zh-CN"/>
        </w:rPr>
      </w:pPr>
      <w:r>
        <w:rPr>
          <w:rFonts w:hint="eastAsia"/>
          <w:sz w:val="24"/>
          <w:szCs w:val="24"/>
          <w:lang w:val="zh-CN" w:eastAsia="zh-CN"/>
        </w:rPr>
        <w:t>联邦最高委员会是最高权力机构，由7个酋长国的酋长组成。该委员会负责制订国家政策，审核联邦预算，批准法律与条约等。除外交和国防相对统一外，各酋长国拥有相当的独立性和自主权。联邦国民议会成立于1972年2月13日，系联邦的咨询机构。议会职权是审议联邦政府提出的法律、法规草案，并有权提出修改意见或予以否决，如年度预算、内外方针政策、经济发展规划等；有权对联邦政府缔结的条约和协议提出质询。联邦内阁是国家的行政机关，由总理、副总理、各部部长及部分国务部长组成，负责起草法律草案。阿联酋联邦政府是联邦最高委员会的执行机构，在联邦最高委员会的监督下，具体实施宪法和法律规定的权限范围内的内外大政方针。</w:t>
      </w:r>
    </w:p>
    <w:p w14:paraId="0378D817">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zh-CN" w:eastAsia="zh-CN"/>
        </w:rPr>
      </w:pPr>
      <w:r>
        <w:rPr>
          <w:rFonts w:hint="eastAsia"/>
          <w:sz w:val="24"/>
          <w:szCs w:val="24"/>
          <w:lang w:val="zh-CN" w:eastAsia="zh-CN"/>
        </w:rPr>
        <w:t>阿联酋政局稳定，对内积极推动经济发展和国家现代化建设；对外交往活跃，注重加强与海湾地区国家及大国关系，在地区和国际事务中发挥独特作用。</w:t>
      </w:r>
    </w:p>
    <w:p w14:paraId="59AB6185">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default"/>
          <w:sz w:val="24"/>
          <w:szCs w:val="24"/>
          <w:lang w:val="en-US" w:eastAsia="zh-CN"/>
        </w:rPr>
      </w:pPr>
      <w:r>
        <w:rPr>
          <w:rFonts w:hint="eastAsia"/>
          <w:sz w:val="24"/>
          <w:szCs w:val="24"/>
          <w:lang w:val="en-US" w:eastAsia="zh-CN"/>
        </w:rPr>
        <w:t>3、中阿合作</w:t>
      </w:r>
    </w:p>
    <w:p w14:paraId="18434DAF">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zh-CN" w:eastAsia="zh-CN"/>
        </w:rPr>
      </w:pPr>
      <w:r>
        <w:rPr>
          <w:rFonts w:hint="eastAsia"/>
          <w:sz w:val="24"/>
          <w:szCs w:val="24"/>
          <w:lang w:val="zh-CN" w:eastAsia="zh-CN"/>
        </w:rPr>
        <w:t>2012年，中阿两国建立战略伙伴关系，各领域友好合作迈上新台阶。阿联酋积极响应中国“一带一路”倡议，并于2015年3月正式申请成为亚洲基础设施投资银行的创始成员国。中阿两国经济充分互补、利益高度契合、合作前景十分广阔。据中方统计，</w:t>
      </w:r>
      <w:r>
        <w:rPr>
          <w:rFonts w:hint="eastAsia"/>
          <w:sz w:val="24"/>
          <w:szCs w:val="24"/>
          <w:highlight w:val="none"/>
          <w:lang w:val="zh-CN" w:eastAsia="zh-CN"/>
        </w:rPr>
        <w:t>2025年，中国与阿联酋贸易进出口总额为1</w:t>
      </w:r>
      <w:r>
        <w:rPr>
          <w:rFonts w:hint="eastAsia"/>
          <w:sz w:val="24"/>
          <w:szCs w:val="24"/>
          <w:highlight w:val="none"/>
          <w:lang w:val="en-US" w:eastAsia="zh-CN"/>
        </w:rPr>
        <w:t>,</w:t>
      </w:r>
      <w:r>
        <w:rPr>
          <w:rFonts w:hint="eastAsia"/>
          <w:sz w:val="24"/>
          <w:szCs w:val="24"/>
          <w:highlight w:val="none"/>
          <w:lang w:val="zh-CN" w:eastAsia="zh-CN"/>
        </w:rPr>
        <w:t>080 亿美元，同比增长 6%。其中，中国自阿联酋进口351.2 亿美元，同比下降 3.2%；向阿联酋出口728.8 亿美元，同比增长 11.1%。同年，中国对阿联酋全行业直接投资12.8 亿美元，较 2024 年 7.7 亿美元同比增长 18.3%。</w:t>
      </w:r>
      <w:r>
        <w:rPr>
          <w:rFonts w:hint="eastAsia"/>
          <w:sz w:val="24"/>
          <w:szCs w:val="24"/>
          <w:lang w:val="zh-CN" w:eastAsia="zh-CN"/>
        </w:rPr>
        <w:t>阿联酋已连续多年成为中国在阿拉伯地区第一大出口</w:t>
      </w:r>
      <w:r>
        <w:rPr>
          <w:rFonts w:hint="eastAsia"/>
          <w:sz w:val="24"/>
          <w:szCs w:val="24"/>
          <w:lang w:val="en-US" w:eastAsia="zh-CN"/>
        </w:rPr>
        <w:t>国</w:t>
      </w:r>
      <w:r>
        <w:rPr>
          <w:rFonts w:hint="eastAsia"/>
          <w:sz w:val="24"/>
          <w:szCs w:val="24"/>
          <w:lang w:val="zh-CN" w:eastAsia="zh-CN"/>
        </w:rPr>
        <w:t>和第二大贸易伙伴，双边重大经贸合作项目扎实推进。</w:t>
      </w:r>
    </w:p>
    <w:p w14:paraId="5324F61D">
      <w:pPr>
        <w:pStyle w:val="5"/>
        <w:pageBreakBefore w:val="0"/>
        <w:widowControl/>
        <w:kinsoku/>
        <w:wordWrap/>
        <w:overflowPunct/>
        <w:topLinePunct w:val="0"/>
        <w:autoSpaceDE/>
        <w:autoSpaceDN/>
        <w:bidi w:val="0"/>
        <w:adjustRightInd/>
        <w:snapToGrid/>
        <w:jc w:val="both"/>
        <w:rPr>
          <w:rFonts w:hint="eastAsia"/>
          <w:sz w:val="24"/>
          <w:szCs w:val="24"/>
          <w:lang w:val="zh-CN" w:eastAsia="zh-CN"/>
        </w:rPr>
      </w:pPr>
      <w:bookmarkStart w:id="15" w:name="_Toc12692"/>
      <w:r>
        <w:rPr>
          <w:rFonts w:hint="eastAsia" w:ascii="微软雅黑" w:hAnsi="微软雅黑" w:eastAsia="微软雅黑"/>
          <w:color w:val="auto"/>
          <w:lang w:val="en-US" w:eastAsia="zh-CN"/>
        </w:rPr>
        <w:t>3</w:t>
      </w:r>
      <w:r>
        <w:rPr>
          <w:rFonts w:ascii="微软雅黑" w:hAnsi="微软雅黑" w:eastAsia="微软雅黑"/>
          <w:color w:val="auto"/>
          <w:lang w:val="zh-CN" w:eastAsia="zh-CN"/>
        </w:rPr>
        <w:t>.1.</w:t>
      </w:r>
      <w:r>
        <w:rPr>
          <w:rFonts w:hint="eastAsia" w:ascii="微软雅黑" w:hAnsi="微软雅黑" w:eastAsia="微软雅黑"/>
          <w:color w:val="auto"/>
          <w:lang w:val="en-US" w:eastAsia="zh-CN"/>
        </w:rPr>
        <w:t>2</w:t>
      </w:r>
      <w:r>
        <w:rPr>
          <w:rFonts w:ascii="微软雅黑" w:hAnsi="微软雅黑" w:eastAsia="微软雅黑"/>
          <w:color w:val="auto"/>
          <w:lang w:val="zh-CN" w:eastAsia="zh-CN"/>
        </w:rPr>
        <w:t xml:space="preserve">  </w:t>
      </w:r>
      <w:r>
        <w:rPr>
          <w:rFonts w:hint="eastAsia" w:ascii="微软雅黑" w:hAnsi="微软雅黑" w:eastAsia="微软雅黑"/>
          <w:color w:val="auto"/>
          <w:lang w:val="zh-CN" w:eastAsia="zh-CN"/>
        </w:rPr>
        <w:t>经济概况</w:t>
      </w:r>
      <w:bookmarkEnd w:id="15"/>
    </w:p>
    <w:p w14:paraId="33091241">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default"/>
          <w:sz w:val="24"/>
          <w:szCs w:val="24"/>
          <w:lang w:val="en-US" w:eastAsia="zh-CN"/>
        </w:rPr>
      </w:pPr>
      <w:r>
        <w:rPr>
          <w:rFonts w:hint="eastAsia"/>
          <w:sz w:val="24"/>
          <w:szCs w:val="24"/>
          <w:lang w:val="en-US" w:eastAsia="zh-CN"/>
        </w:rPr>
        <w:t>1、整体经济概况</w:t>
      </w:r>
    </w:p>
    <w:p w14:paraId="60DAF663">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zh-CN" w:eastAsia="zh-CN"/>
        </w:rPr>
      </w:pPr>
      <w:r>
        <w:rPr>
          <w:rFonts w:hint="eastAsia"/>
          <w:sz w:val="24"/>
          <w:szCs w:val="24"/>
          <w:lang w:val="zh-CN" w:eastAsia="zh-CN"/>
        </w:rPr>
        <w:t>石油化工产业是阿联酋支柱产业，巨额稳定的石油收入是阿联酋财政收入的主要来源，使其成为海湾地区第二大经济体和世界上最富裕的国家之一。与此同时，为减少对石化产业的依赖，降低全球原油市场价格波动对经济增长的影响，实现可持续发展，阿联酋致力于推行经济多元化政策，鼓励创新发展，已逐步发展成为中东地区的金融、商贸、物流、会展、旅游中心和商品集散地。</w:t>
      </w:r>
    </w:p>
    <w:p w14:paraId="6CBCE082">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zh-CN" w:eastAsia="zh-CN"/>
        </w:rPr>
      </w:pPr>
      <w:r>
        <w:rPr>
          <w:rFonts w:hint="eastAsia"/>
          <w:sz w:val="24"/>
          <w:szCs w:val="24"/>
          <w:lang w:val="zh-CN" w:eastAsia="zh-CN"/>
        </w:rPr>
        <w:t>在国际市场油价保持高位，经济发展持续恢复背景下，阿联酋宏观经济增长强劲。阿联酋竞争力和统计中心数据显示，</w:t>
      </w:r>
      <w:r>
        <w:rPr>
          <w:rFonts w:hint="eastAsia"/>
          <w:sz w:val="24"/>
          <w:szCs w:val="24"/>
          <w:highlight w:val="none"/>
          <w:lang w:val="zh-CN" w:eastAsia="zh-CN"/>
        </w:rPr>
        <w:t>2025 年，阿联酋</w:t>
      </w:r>
      <w:r>
        <w:rPr>
          <w:rFonts w:hint="eastAsia"/>
          <w:sz w:val="24"/>
          <w:szCs w:val="24"/>
          <w:highlight w:val="none"/>
          <w:lang w:val="en-US" w:eastAsia="zh-CN"/>
        </w:rPr>
        <w:t>实际</w:t>
      </w:r>
      <w:r>
        <w:rPr>
          <w:rFonts w:hint="eastAsia"/>
          <w:sz w:val="24"/>
          <w:szCs w:val="24"/>
          <w:highlight w:val="none"/>
          <w:lang w:val="zh-CN" w:eastAsia="zh-CN"/>
        </w:rPr>
        <w:t>GDP 约为5,</w:t>
      </w:r>
      <w:r>
        <w:rPr>
          <w:rFonts w:hint="eastAsia"/>
          <w:sz w:val="24"/>
          <w:szCs w:val="24"/>
          <w:highlight w:val="none"/>
          <w:lang w:val="en-US" w:eastAsia="zh-CN"/>
        </w:rPr>
        <w:t>173</w:t>
      </w:r>
      <w:r>
        <w:rPr>
          <w:rFonts w:hint="eastAsia"/>
          <w:sz w:val="24"/>
          <w:szCs w:val="24"/>
          <w:highlight w:val="none"/>
          <w:lang w:val="zh-CN" w:eastAsia="zh-CN"/>
        </w:rPr>
        <w:t xml:space="preserve"> 亿美元，实际 GDP 同比增长</w:t>
      </w:r>
      <w:r>
        <w:rPr>
          <w:rFonts w:hint="eastAsia"/>
          <w:sz w:val="24"/>
          <w:szCs w:val="24"/>
          <w:highlight w:val="none"/>
          <w:lang w:val="en-US" w:eastAsia="zh-CN"/>
        </w:rPr>
        <w:t>6.2</w:t>
      </w:r>
      <w:r>
        <w:rPr>
          <w:rFonts w:hint="eastAsia"/>
          <w:sz w:val="24"/>
          <w:szCs w:val="24"/>
          <w:highlight w:val="none"/>
          <w:lang w:val="zh-CN" w:eastAsia="zh-CN"/>
        </w:rPr>
        <w:t>%，全球经济体排名第 29 位，在阿拉伯国家中稳居第 2 位（仅次于沙特阿拉伯）。</w:t>
      </w:r>
      <w:r>
        <w:rPr>
          <w:rFonts w:hint="eastAsia"/>
          <w:sz w:val="24"/>
          <w:szCs w:val="24"/>
          <w:lang w:val="zh-CN" w:eastAsia="zh-CN"/>
        </w:rPr>
        <w:t>阿联酋致力于推动创新开放发展，2022年4月推出《数字经济战略》、2022年12月颁布《公司所得税法》；2023年3月推出《数字迪拉姆战略》。为加快铺设全球自由贸易网络，阿联酋分别与印度、印度尼西亚、以色列等20多个国家签署全面经济伙伴关系协定（CEPA）。</w:t>
      </w:r>
    </w:p>
    <w:p w14:paraId="7FB52043">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default"/>
          <w:sz w:val="24"/>
          <w:szCs w:val="24"/>
          <w:lang w:val="en-US" w:eastAsia="zh-CN"/>
        </w:rPr>
      </w:pPr>
      <w:r>
        <w:rPr>
          <w:rFonts w:hint="eastAsia"/>
          <w:sz w:val="24"/>
          <w:szCs w:val="24"/>
          <w:lang w:val="en-US" w:eastAsia="zh-CN"/>
        </w:rPr>
        <w:t>2、当地中企概况</w:t>
      </w:r>
    </w:p>
    <w:p w14:paraId="0DA47E8F">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default"/>
          <w:sz w:val="24"/>
          <w:szCs w:val="24"/>
          <w:lang w:val="en-US" w:eastAsia="zh-CN"/>
        </w:rPr>
      </w:pPr>
      <w:r>
        <w:rPr>
          <w:rFonts w:hint="eastAsia"/>
          <w:sz w:val="24"/>
          <w:szCs w:val="24"/>
          <w:lang w:val="zh-CN" w:eastAsia="zh-CN"/>
        </w:rPr>
        <w:t>截至</w:t>
      </w:r>
      <w:r>
        <w:rPr>
          <w:rFonts w:hint="eastAsia"/>
          <w:sz w:val="24"/>
          <w:szCs w:val="24"/>
          <w:highlight w:val="none"/>
          <w:lang w:val="zh-CN" w:eastAsia="zh-CN"/>
        </w:rPr>
        <w:t>2026年6月</w:t>
      </w:r>
      <w:r>
        <w:rPr>
          <w:rFonts w:hint="eastAsia"/>
          <w:sz w:val="24"/>
          <w:szCs w:val="24"/>
          <w:lang w:val="zh-CN" w:eastAsia="zh-CN"/>
        </w:rPr>
        <w:t>，全阿联酋注册经营的中国企业超 15</w:t>
      </w:r>
      <w:r>
        <w:rPr>
          <w:rFonts w:hint="eastAsia"/>
          <w:sz w:val="24"/>
          <w:szCs w:val="24"/>
          <w:lang w:val="en-US" w:eastAsia="zh-CN"/>
        </w:rPr>
        <w:t>,</w:t>
      </w:r>
      <w:r>
        <w:rPr>
          <w:rFonts w:hint="eastAsia"/>
          <w:sz w:val="24"/>
          <w:szCs w:val="24"/>
          <w:lang w:val="zh-CN" w:eastAsia="zh-CN"/>
        </w:rPr>
        <w:t>500 家（含贸易、工程、制造、科技、金融、办事处、自贸区执照），含独立公司、分公司、代表处，覆盖迪拜、阿布扎比、哈伊马角等全部酋长国。在阿常住华人约 40 万人，中小贸易商户、跨境电商、服务业主体构成 1.5 万企业总量的基础；央企、上市工程 / 能源巨头属于少数头部，但项目体量、投资规模占比极高。</w:t>
      </w:r>
      <w:r>
        <w:rPr>
          <w:rFonts w:hint="eastAsia"/>
          <w:sz w:val="24"/>
          <w:szCs w:val="24"/>
          <w:lang w:val="en-US" w:eastAsia="zh-CN"/>
        </w:rPr>
        <w:t>目前中资企业在阿业务主要聚集在六大核心领域：1、国际贸易、跨境电商，数量最多，占中企 60% 以上；2、基建、工程总承包 EPCC，投资体量最大，央企核心赛道；3、能源产业，包含传统油气 与新能源双主线，是中企阿联酋战略合作赛道；4、先进制造、产能投资，中阿产能合作示范园核心产业；5、数字科技、通信、互联网，自贸区总部集中，包括华为、中兴、字节跳动、阿里等；6、金融、配套服务业，支撑全部中企产业链，中农工建交在迪拜均设有分行，以及其他金融保险企业；</w:t>
      </w:r>
    </w:p>
    <w:p w14:paraId="0D327999">
      <w:pPr>
        <w:pStyle w:val="5"/>
        <w:pageBreakBefore w:val="0"/>
        <w:widowControl/>
        <w:kinsoku/>
        <w:wordWrap/>
        <w:overflowPunct/>
        <w:topLinePunct w:val="0"/>
        <w:autoSpaceDE/>
        <w:autoSpaceDN/>
        <w:bidi w:val="0"/>
        <w:adjustRightInd/>
        <w:snapToGrid/>
        <w:jc w:val="both"/>
        <w:rPr>
          <w:rFonts w:hint="eastAsia"/>
          <w:sz w:val="24"/>
          <w:szCs w:val="24"/>
          <w:lang w:val="zh-CN" w:eastAsia="zh-CN"/>
        </w:rPr>
      </w:pPr>
      <w:bookmarkStart w:id="16" w:name="_Toc1140"/>
      <w:r>
        <w:rPr>
          <w:rFonts w:hint="eastAsia" w:ascii="微软雅黑" w:hAnsi="微软雅黑" w:eastAsia="微软雅黑"/>
          <w:color w:val="auto"/>
          <w:lang w:val="en-US" w:eastAsia="zh-CN"/>
        </w:rPr>
        <w:t>3</w:t>
      </w:r>
      <w:r>
        <w:rPr>
          <w:rFonts w:ascii="微软雅黑" w:hAnsi="微软雅黑" w:eastAsia="微软雅黑"/>
          <w:color w:val="auto"/>
          <w:lang w:val="zh-CN" w:eastAsia="zh-CN"/>
        </w:rPr>
        <w:t>.1.</w:t>
      </w:r>
      <w:r>
        <w:rPr>
          <w:rFonts w:hint="eastAsia" w:ascii="微软雅黑" w:hAnsi="微软雅黑" w:eastAsia="微软雅黑"/>
          <w:color w:val="auto"/>
          <w:lang w:val="en-US" w:eastAsia="zh-CN"/>
        </w:rPr>
        <w:t>3</w:t>
      </w:r>
      <w:r>
        <w:rPr>
          <w:rFonts w:ascii="微软雅黑" w:hAnsi="微软雅黑" w:eastAsia="微软雅黑"/>
          <w:color w:val="auto"/>
          <w:lang w:val="zh-CN" w:eastAsia="zh-CN"/>
        </w:rPr>
        <w:t xml:space="preserve">  </w:t>
      </w:r>
      <w:r>
        <w:rPr>
          <w:rFonts w:hint="eastAsia" w:ascii="微软雅黑" w:hAnsi="微软雅黑" w:eastAsia="微软雅黑"/>
          <w:color w:val="auto"/>
          <w:lang w:val="zh-CN" w:eastAsia="zh-CN"/>
        </w:rPr>
        <w:t>法律与营商环境</w:t>
      </w:r>
      <w:bookmarkEnd w:id="16"/>
    </w:p>
    <w:p w14:paraId="41D35A4A">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default"/>
          <w:sz w:val="24"/>
          <w:szCs w:val="24"/>
          <w:lang w:val="en-US" w:eastAsia="zh-CN"/>
        </w:rPr>
      </w:pPr>
      <w:r>
        <w:rPr>
          <w:rFonts w:hint="eastAsia"/>
          <w:sz w:val="24"/>
          <w:szCs w:val="24"/>
          <w:lang w:val="en-US" w:eastAsia="zh-CN"/>
        </w:rPr>
        <w:t>1、法律概况</w:t>
      </w:r>
    </w:p>
    <w:p w14:paraId="1C97254C">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zh-CN" w:eastAsia="zh-CN"/>
        </w:rPr>
      </w:pPr>
      <w:r>
        <w:rPr>
          <w:rFonts w:hint="eastAsia"/>
          <w:sz w:val="24"/>
          <w:szCs w:val="24"/>
          <w:lang w:val="zh-CN" w:eastAsia="zh-CN"/>
        </w:rPr>
        <w:t>阿联酋联邦政府负责对外贸易管理的部门主要是经济部。经济部的主要职能包括：制定经济贸易政策；制定规范经济贸易活动的法律法规；检测经济运行情况，保护消费者权益等。</w:t>
      </w:r>
    </w:p>
    <w:p w14:paraId="79E18271">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zh-CN" w:eastAsia="zh-CN"/>
        </w:rPr>
      </w:pPr>
      <w:r>
        <w:rPr>
          <w:rFonts w:hint="eastAsia"/>
          <w:sz w:val="24"/>
          <w:szCs w:val="24"/>
          <w:lang w:val="zh-CN" w:eastAsia="zh-CN"/>
        </w:rPr>
        <w:t>阿联酋现行有关贸易的法律主要有《中小企业法》《商业交易法》《商业代理法》《消费者保护法》《审计法》《反洗钱法》《知识产权法》《公司法》《竞争和反倾销法》等法律框架。公司法框架下包括《商业公司法》（2021年联邦第32号法令）、《商业登记法》（2021年联邦第37号法令）、《仲裁法》（2018年联邦第6号法令）、《破产法》（2016年联邦第9号法令）等多项法律。近几年来，为适应新的经济形势需要，阿经济部牵头修订包括《商业公司法》《商业登记法》《商标法》等在内的40部法律。《商业公司法》详情可查询：</w:t>
      </w:r>
      <w:r>
        <w:rPr>
          <w:rFonts w:hint="eastAsia"/>
          <w:color w:val="auto"/>
          <w:sz w:val="24"/>
          <w:szCs w:val="24"/>
          <w:u w:val="none"/>
          <w:lang w:val="zh-CN" w:eastAsia="zh-CN"/>
        </w:rPr>
        <w:fldChar w:fldCharType="begin"/>
      </w:r>
      <w:r>
        <w:rPr>
          <w:rFonts w:hint="eastAsia"/>
          <w:color w:val="auto"/>
          <w:sz w:val="24"/>
          <w:szCs w:val="24"/>
          <w:u w:val="none"/>
          <w:lang w:val="zh-CN" w:eastAsia="zh-CN"/>
        </w:rPr>
        <w:instrText xml:space="preserve"> HYPERLINK "http://www.moec.gov.ae/en/laws。" </w:instrText>
      </w:r>
      <w:r>
        <w:rPr>
          <w:rFonts w:hint="eastAsia"/>
          <w:color w:val="auto"/>
          <w:sz w:val="24"/>
          <w:szCs w:val="24"/>
          <w:u w:val="none"/>
          <w:lang w:val="zh-CN" w:eastAsia="zh-CN"/>
        </w:rPr>
        <w:fldChar w:fldCharType="separate"/>
      </w:r>
      <w:r>
        <w:rPr>
          <w:rStyle w:val="139"/>
          <w:rFonts w:hint="eastAsia"/>
          <w:color w:val="auto"/>
          <w:sz w:val="24"/>
          <w:szCs w:val="24"/>
          <w:u w:val="none"/>
          <w:lang w:val="zh-CN" w:eastAsia="zh-CN"/>
        </w:rPr>
        <w:t>www.moec.gov.ae/en/laws。</w:t>
      </w:r>
      <w:r>
        <w:rPr>
          <w:rFonts w:hint="eastAsia"/>
          <w:color w:val="auto"/>
          <w:sz w:val="24"/>
          <w:szCs w:val="24"/>
          <w:u w:val="none"/>
          <w:lang w:val="zh-CN" w:eastAsia="zh-CN"/>
        </w:rPr>
        <w:fldChar w:fldCharType="end"/>
      </w:r>
    </w:p>
    <w:p w14:paraId="2C84428B">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zh-CN" w:eastAsia="zh-CN"/>
        </w:rPr>
      </w:pPr>
      <w:r>
        <w:rPr>
          <w:rFonts w:hint="eastAsia"/>
          <w:sz w:val="24"/>
          <w:szCs w:val="24"/>
          <w:lang w:val="zh-CN" w:eastAsia="zh-CN"/>
        </w:rPr>
        <w:t>阿联酋主要外资法规政策包括《商业公司法》（Federal Decree-Law no. (32) of 2021）和2021年5月30日阿联酋内阁决议（Cabinet Resolution No. 55 of 2021），均可在https://www.moec.gov.ae/en/companies-legislations查阅。</w:t>
      </w:r>
    </w:p>
    <w:p w14:paraId="5C8D68BE">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color w:val="auto"/>
          <w:sz w:val="24"/>
          <w:szCs w:val="24"/>
          <w:lang w:val="zh-CN" w:eastAsia="zh-CN"/>
        </w:rPr>
      </w:pPr>
      <w:r>
        <w:rPr>
          <w:rFonts w:hint="eastAsia"/>
          <w:color w:val="auto"/>
          <w:sz w:val="24"/>
          <w:szCs w:val="24"/>
          <w:lang w:val="zh-CN" w:eastAsia="zh-CN"/>
        </w:rPr>
        <w:t>2021年阿联酋颁布新《商业公司法》（2021年联邦第32号法令），2022年起全面落地外资100% 所有权政策。</w:t>
      </w:r>
    </w:p>
    <w:p w14:paraId="49C098CE">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default"/>
          <w:color w:val="auto"/>
          <w:sz w:val="24"/>
          <w:szCs w:val="24"/>
          <w:lang w:val="en-US" w:eastAsia="zh-CN"/>
        </w:rPr>
      </w:pPr>
      <w:r>
        <w:rPr>
          <w:rFonts w:hint="eastAsia"/>
          <w:color w:val="auto"/>
          <w:sz w:val="24"/>
          <w:szCs w:val="24"/>
          <w:lang w:val="en-US" w:eastAsia="zh-CN"/>
        </w:rPr>
        <w:t>2、营商环境</w:t>
      </w:r>
    </w:p>
    <w:p w14:paraId="280E87FB">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color w:val="auto"/>
          <w:sz w:val="24"/>
          <w:szCs w:val="24"/>
          <w:lang w:val="zh-CN" w:eastAsia="zh-CN"/>
        </w:rPr>
      </w:pPr>
      <w:r>
        <w:rPr>
          <w:rFonts w:hint="eastAsia"/>
          <w:color w:val="auto"/>
          <w:sz w:val="24"/>
          <w:szCs w:val="24"/>
          <w:lang w:val="zh-CN" w:eastAsia="zh-CN"/>
        </w:rPr>
        <w:t>外资优惠政策：外国合资、独资企业在税收、土地等方面与当地企业享受平等待遇。在自由区注册的企业可享受免征企业所得税、个人所得税、公司税及进出口关税等优惠。</w:t>
      </w:r>
    </w:p>
    <w:p w14:paraId="5F25F87D">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color w:val="auto"/>
          <w:sz w:val="24"/>
          <w:szCs w:val="24"/>
          <w:lang w:val="zh-CN" w:eastAsia="zh-CN"/>
        </w:rPr>
      </w:pPr>
      <w:r>
        <w:rPr>
          <w:rFonts w:hint="eastAsia"/>
          <w:color w:val="auto"/>
          <w:sz w:val="24"/>
          <w:szCs w:val="24"/>
          <w:lang w:val="zh-CN" w:eastAsia="zh-CN"/>
        </w:rPr>
        <w:t>中资企业在阿联酋开展投资合作应注意的其他问题：</w:t>
      </w:r>
    </w:p>
    <w:p w14:paraId="30D020EC">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color w:val="auto"/>
          <w:sz w:val="24"/>
          <w:szCs w:val="24"/>
          <w:lang w:val="zh-CN" w:eastAsia="zh-CN"/>
        </w:rPr>
      </w:pPr>
      <w:r>
        <w:rPr>
          <w:rFonts w:hint="eastAsia"/>
          <w:color w:val="auto"/>
          <w:sz w:val="24"/>
          <w:szCs w:val="24"/>
          <w:lang w:val="zh-CN" w:eastAsia="zh-CN"/>
        </w:rPr>
        <w:t>（</w:t>
      </w:r>
      <w:r>
        <w:rPr>
          <w:rFonts w:hint="eastAsia"/>
          <w:color w:val="auto"/>
          <w:sz w:val="24"/>
          <w:szCs w:val="24"/>
          <w:lang w:val="en-US" w:eastAsia="zh-CN"/>
        </w:rPr>
        <w:t>1</w:t>
      </w:r>
      <w:r>
        <w:rPr>
          <w:rFonts w:hint="eastAsia"/>
          <w:color w:val="auto"/>
          <w:sz w:val="24"/>
          <w:szCs w:val="24"/>
          <w:lang w:val="zh-CN" w:eastAsia="zh-CN"/>
        </w:rPr>
        <w:t>）公司分级时，当地公司在同级条件下可以提高一级。</w:t>
      </w:r>
    </w:p>
    <w:p w14:paraId="14898006">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color w:val="auto"/>
          <w:sz w:val="24"/>
          <w:szCs w:val="24"/>
          <w:lang w:val="zh-CN" w:eastAsia="zh-CN"/>
        </w:rPr>
      </w:pPr>
      <w:r>
        <w:rPr>
          <w:rFonts w:hint="eastAsia"/>
          <w:color w:val="auto"/>
          <w:sz w:val="24"/>
          <w:szCs w:val="24"/>
          <w:lang w:val="zh-CN" w:eastAsia="zh-CN"/>
        </w:rPr>
        <w:t>（</w:t>
      </w:r>
      <w:r>
        <w:rPr>
          <w:rFonts w:hint="eastAsia"/>
          <w:color w:val="auto"/>
          <w:sz w:val="24"/>
          <w:szCs w:val="24"/>
          <w:lang w:val="en-US" w:eastAsia="zh-CN"/>
        </w:rPr>
        <w:t>2</w:t>
      </w:r>
      <w:r>
        <w:rPr>
          <w:rFonts w:hint="eastAsia"/>
          <w:color w:val="auto"/>
          <w:sz w:val="24"/>
          <w:szCs w:val="24"/>
          <w:lang w:val="zh-CN" w:eastAsia="zh-CN"/>
        </w:rPr>
        <w:t>）投标时，当地公司在授标时的标价可以享受优惠（中小企业10%倾斜）。</w:t>
      </w:r>
    </w:p>
    <w:p w14:paraId="5E495828">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color w:val="auto"/>
          <w:sz w:val="24"/>
          <w:szCs w:val="24"/>
          <w:lang w:val="zh-CN" w:eastAsia="zh-CN"/>
        </w:rPr>
      </w:pPr>
      <w:r>
        <w:rPr>
          <w:rFonts w:hint="eastAsia"/>
          <w:color w:val="auto"/>
          <w:sz w:val="24"/>
          <w:szCs w:val="24"/>
          <w:lang w:val="zh-CN" w:eastAsia="zh-CN"/>
        </w:rPr>
        <w:t>（</w:t>
      </w:r>
      <w:r>
        <w:rPr>
          <w:rFonts w:hint="eastAsia"/>
          <w:color w:val="auto"/>
          <w:sz w:val="24"/>
          <w:szCs w:val="24"/>
          <w:lang w:val="en-US" w:eastAsia="zh-CN"/>
        </w:rPr>
        <w:t>3</w:t>
      </w:r>
      <w:r>
        <w:rPr>
          <w:rFonts w:hint="eastAsia"/>
          <w:color w:val="auto"/>
          <w:sz w:val="24"/>
          <w:szCs w:val="24"/>
          <w:lang w:val="zh-CN" w:eastAsia="zh-CN"/>
        </w:rPr>
        <w:t>）当地公司可享有预付款，一般为合同额的25%，外国公司一般都是与业主协商，预付款大多在10%-15%之间。</w:t>
      </w:r>
    </w:p>
    <w:p w14:paraId="4DE05216">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color w:val="auto"/>
          <w:sz w:val="24"/>
          <w:szCs w:val="24"/>
          <w:lang w:val="zh-CN" w:eastAsia="zh-CN"/>
        </w:rPr>
      </w:pPr>
      <w:r>
        <w:rPr>
          <w:rFonts w:hint="eastAsia"/>
          <w:color w:val="auto"/>
          <w:sz w:val="24"/>
          <w:szCs w:val="24"/>
          <w:lang w:val="zh-CN" w:eastAsia="zh-CN"/>
        </w:rPr>
        <w:t>（</w:t>
      </w:r>
      <w:r>
        <w:rPr>
          <w:rFonts w:hint="eastAsia"/>
          <w:color w:val="auto"/>
          <w:sz w:val="24"/>
          <w:szCs w:val="24"/>
          <w:lang w:val="en-US" w:eastAsia="zh-CN"/>
        </w:rPr>
        <w:t>4</w:t>
      </w:r>
      <w:r>
        <w:rPr>
          <w:rFonts w:hint="eastAsia"/>
          <w:color w:val="auto"/>
          <w:sz w:val="24"/>
          <w:szCs w:val="24"/>
          <w:lang w:val="zh-CN" w:eastAsia="zh-CN"/>
        </w:rPr>
        <w:t>）履约项目合同时，外国公司须交不少于合同总额10%的履约保函，当地公司的履约保函在5%左右。</w:t>
      </w:r>
    </w:p>
    <w:p w14:paraId="1BC22B62">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color w:val="auto"/>
          <w:sz w:val="24"/>
          <w:szCs w:val="24"/>
          <w:lang w:val="zh-CN" w:eastAsia="zh-CN"/>
        </w:rPr>
      </w:pPr>
      <w:r>
        <w:rPr>
          <w:rFonts w:hint="eastAsia"/>
          <w:color w:val="auto"/>
          <w:sz w:val="24"/>
          <w:szCs w:val="24"/>
          <w:lang w:val="zh-CN" w:eastAsia="zh-CN"/>
        </w:rPr>
        <w:t>（</w:t>
      </w:r>
      <w:r>
        <w:rPr>
          <w:rFonts w:hint="eastAsia"/>
          <w:color w:val="auto"/>
          <w:sz w:val="24"/>
          <w:szCs w:val="24"/>
          <w:lang w:val="en-US" w:eastAsia="zh-CN"/>
        </w:rPr>
        <w:t>5</w:t>
      </w:r>
      <w:r>
        <w:rPr>
          <w:rFonts w:hint="eastAsia"/>
          <w:color w:val="auto"/>
          <w:sz w:val="24"/>
          <w:szCs w:val="24"/>
          <w:lang w:val="zh-CN" w:eastAsia="zh-CN"/>
        </w:rPr>
        <w:t>）阿联酋政府为维护本国的利益和扶持当地的承包商，采取的一些政策，大大地增加了外国公司在当地经营的难度和风险。</w:t>
      </w:r>
    </w:p>
    <w:p w14:paraId="6108DBCB">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color w:val="auto"/>
          <w:sz w:val="24"/>
          <w:szCs w:val="24"/>
          <w:lang w:val="zh-CN" w:eastAsia="zh-CN"/>
        </w:rPr>
      </w:pPr>
      <w:r>
        <w:rPr>
          <w:rFonts w:hint="eastAsia"/>
          <w:color w:val="auto"/>
          <w:sz w:val="24"/>
          <w:szCs w:val="24"/>
          <w:lang w:val="zh-CN" w:eastAsia="zh-CN"/>
        </w:rPr>
        <w:t>（</w:t>
      </w:r>
      <w:r>
        <w:rPr>
          <w:rFonts w:hint="eastAsia"/>
          <w:color w:val="auto"/>
          <w:sz w:val="24"/>
          <w:szCs w:val="24"/>
          <w:lang w:val="en-US" w:eastAsia="zh-CN"/>
        </w:rPr>
        <w:t>6</w:t>
      </w:r>
      <w:r>
        <w:rPr>
          <w:rFonts w:hint="eastAsia"/>
          <w:color w:val="auto"/>
          <w:sz w:val="24"/>
          <w:szCs w:val="24"/>
          <w:lang w:val="zh-CN" w:eastAsia="zh-CN"/>
        </w:rPr>
        <w:t>）阿联酋本地政府项目惯例上对外国公司预付款比例较低（通常10%-15%），低于本地企业25%的常规比例，需在合同谈判阶段争取，无法律强制禁止预付款。</w:t>
      </w:r>
    </w:p>
    <w:p w14:paraId="7B5A3C51">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color w:val="auto"/>
          <w:sz w:val="24"/>
          <w:szCs w:val="24"/>
          <w:lang w:val="zh-CN" w:eastAsia="zh-CN"/>
        </w:rPr>
      </w:pPr>
      <w:r>
        <w:rPr>
          <w:rFonts w:hint="eastAsia"/>
          <w:color w:val="auto"/>
          <w:sz w:val="24"/>
          <w:szCs w:val="24"/>
          <w:lang w:val="zh-CN" w:eastAsia="zh-CN"/>
        </w:rPr>
        <w:t>（</w:t>
      </w:r>
      <w:r>
        <w:rPr>
          <w:rFonts w:hint="eastAsia"/>
          <w:color w:val="auto"/>
          <w:sz w:val="24"/>
          <w:szCs w:val="24"/>
          <w:lang w:val="en-US" w:eastAsia="zh-CN"/>
        </w:rPr>
        <w:t>7</w:t>
      </w:r>
      <w:r>
        <w:rPr>
          <w:rFonts w:hint="eastAsia"/>
          <w:color w:val="auto"/>
          <w:sz w:val="24"/>
          <w:szCs w:val="24"/>
          <w:lang w:val="zh-CN" w:eastAsia="zh-CN"/>
        </w:rPr>
        <w:t>）如果外国公司（没有在当地注册公司）分包人购买设备，则需通过总承包商为分包商担保购买，名义上产权属总承包商，实际是分包商出资。但常常在专案结束后，发生产权争议，其结果或是被总承包商全部侵吞，或被迫折价转让给总承包商，使分包商蒙受损失。</w:t>
      </w:r>
    </w:p>
    <w:p w14:paraId="39D966B7">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color w:val="auto"/>
          <w:sz w:val="24"/>
          <w:szCs w:val="24"/>
          <w:lang w:val="zh-CN" w:eastAsia="zh-CN"/>
        </w:rPr>
      </w:pPr>
      <w:r>
        <w:rPr>
          <w:rFonts w:hint="eastAsia"/>
          <w:color w:val="auto"/>
          <w:sz w:val="24"/>
          <w:szCs w:val="24"/>
          <w:lang w:val="zh-CN" w:eastAsia="zh-CN"/>
        </w:rPr>
        <w:t>（</w:t>
      </w:r>
      <w:r>
        <w:rPr>
          <w:rFonts w:hint="eastAsia"/>
          <w:color w:val="auto"/>
          <w:sz w:val="24"/>
          <w:szCs w:val="24"/>
          <w:lang w:val="en-US" w:eastAsia="zh-CN"/>
        </w:rPr>
        <w:t>8</w:t>
      </w:r>
      <w:r>
        <w:rPr>
          <w:rFonts w:hint="eastAsia"/>
          <w:color w:val="auto"/>
          <w:sz w:val="24"/>
          <w:szCs w:val="24"/>
          <w:lang w:val="zh-CN" w:eastAsia="zh-CN"/>
        </w:rPr>
        <w:t>）项目招标时业主一般都会同时提供一份原材料供货商名录，中标的项目承包企业在进行原材料采购时，只能从供货商名录中选择所需采购的原材料。</w:t>
      </w:r>
    </w:p>
    <w:p w14:paraId="111B4905">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color w:val="auto"/>
          <w:sz w:val="24"/>
          <w:szCs w:val="24"/>
          <w:lang w:val="zh-CN" w:eastAsia="zh-CN"/>
        </w:rPr>
      </w:pPr>
      <w:r>
        <w:rPr>
          <w:rFonts w:hint="eastAsia"/>
          <w:color w:val="auto"/>
          <w:sz w:val="24"/>
          <w:szCs w:val="24"/>
          <w:lang w:val="zh-CN" w:eastAsia="zh-CN"/>
        </w:rPr>
        <w:t>中国公司应该根据对阿联酋当地法律、法规、索赔、采购、市场经销等情况和各分包商的技术能力、资信情况的了解，结合自身（资金、人才、专业）特长，制定在阿联酋市场的经营方针和具体策略。</w:t>
      </w:r>
    </w:p>
    <w:p w14:paraId="75A51F07">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color w:val="auto"/>
          <w:sz w:val="24"/>
          <w:szCs w:val="24"/>
          <w:lang w:val="zh-CN" w:eastAsia="zh-CN"/>
        </w:rPr>
      </w:pPr>
      <w:r>
        <w:rPr>
          <w:rFonts w:hint="eastAsia"/>
          <w:color w:val="auto"/>
          <w:sz w:val="24"/>
          <w:szCs w:val="24"/>
          <w:lang w:val="zh-CN" w:eastAsia="zh-CN"/>
        </w:rPr>
        <w:t>2008年金融危机和迪拜债务危机以后，特别是2014年中期以来油价骤降，对于市场的担忧一直未平息，项目业主在支付项目款时十分谨慎，拖延拖欠项目工程款的事件时有发生。2020年以来，受新冠疫情影响，阿联酋等国家工程市场授标额显著降低，目前已逐步恢复到疫情前水平。中国公司在阿联酋开展项目承包时，要充分评估项目业主资金实力和付款信誉，并在项目合同中详细规定项目款结算的方式和时间节点，最大限度规避回款风险。</w:t>
      </w:r>
    </w:p>
    <w:p w14:paraId="5B9725CE">
      <w:pPr>
        <w:pStyle w:val="5"/>
        <w:pageBreakBefore w:val="0"/>
        <w:widowControl/>
        <w:kinsoku/>
        <w:wordWrap/>
        <w:overflowPunct/>
        <w:topLinePunct w:val="0"/>
        <w:autoSpaceDE/>
        <w:autoSpaceDN/>
        <w:bidi w:val="0"/>
        <w:adjustRightInd/>
        <w:snapToGrid/>
        <w:jc w:val="both"/>
        <w:rPr>
          <w:rFonts w:hint="eastAsia"/>
          <w:sz w:val="24"/>
          <w:szCs w:val="24"/>
          <w:lang w:val="zh-CN" w:eastAsia="zh-CN"/>
        </w:rPr>
      </w:pPr>
      <w:bookmarkStart w:id="17" w:name="_Toc16160"/>
      <w:r>
        <w:rPr>
          <w:rFonts w:hint="eastAsia" w:ascii="微软雅黑" w:hAnsi="微软雅黑" w:eastAsia="微软雅黑"/>
          <w:color w:val="auto"/>
          <w:lang w:val="en-US" w:eastAsia="zh-CN"/>
        </w:rPr>
        <w:t>3</w:t>
      </w:r>
      <w:r>
        <w:rPr>
          <w:rFonts w:ascii="微软雅黑" w:hAnsi="微软雅黑" w:eastAsia="微软雅黑"/>
          <w:color w:val="auto"/>
          <w:lang w:val="zh-CN" w:eastAsia="zh-CN"/>
        </w:rPr>
        <w:t>.1.</w:t>
      </w:r>
      <w:r>
        <w:rPr>
          <w:rFonts w:hint="eastAsia" w:ascii="微软雅黑" w:hAnsi="微软雅黑" w:eastAsia="微软雅黑"/>
          <w:color w:val="auto"/>
          <w:lang w:val="en-US" w:eastAsia="zh-CN"/>
        </w:rPr>
        <w:t>4</w:t>
      </w:r>
      <w:r>
        <w:rPr>
          <w:rFonts w:ascii="微软雅黑" w:hAnsi="微软雅黑" w:eastAsia="微软雅黑"/>
          <w:color w:val="auto"/>
          <w:lang w:val="zh-CN" w:eastAsia="zh-CN"/>
        </w:rPr>
        <w:t xml:space="preserve">  </w:t>
      </w:r>
      <w:r>
        <w:rPr>
          <w:rFonts w:hint="eastAsia" w:ascii="微软雅黑" w:hAnsi="微软雅黑" w:eastAsia="微软雅黑"/>
          <w:color w:val="auto"/>
          <w:lang w:val="zh-CN" w:eastAsia="zh-CN"/>
        </w:rPr>
        <w:t>文化习俗影响</w:t>
      </w:r>
      <w:bookmarkEnd w:id="17"/>
    </w:p>
    <w:p w14:paraId="50948AF6">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zh-CN" w:eastAsia="zh-CN"/>
        </w:rPr>
      </w:pPr>
      <w:r>
        <w:rPr>
          <w:rFonts w:hint="eastAsia"/>
          <w:sz w:val="24"/>
          <w:szCs w:val="24"/>
          <w:lang w:val="zh-CN" w:eastAsia="zh-CN"/>
        </w:rPr>
        <w:t>阿联酋居民主要信仰伊斯兰教，诸多宗教事务和习惯可能不利于日常经营工作，影响工时和工作节奏，与当地人的沟通和交流上也会存在一定的障碍，要尊重当地宗教信仰，尽量不与外籍员工讨论宗教话题，避免争论，同时要注意提高与当地人的融合度，避免其给经营管理上带来不利的影响。</w:t>
      </w:r>
    </w:p>
    <w:p w14:paraId="3FBB6D8B">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zh-CN" w:eastAsia="zh-CN"/>
        </w:rPr>
      </w:pPr>
      <w:r>
        <w:rPr>
          <w:rFonts w:hint="eastAsia"/>
          <w:sz w:val="24"/>
          <w:szCs w:val="24"/>
          <w:lang w:val="zh-CN" w:eastAsia="zh-CN"/>
        </w:rPr>
        <w:t>阿联酋国内节假日较多，还有长达1个月的斋月，虽然斋月期间上午半天工作，但实际上办不了事。因此，国内到阿联酋访问或实地调研要注意避开当地的节假日以及斋月，同时注意当地的节假日以及斋月可能对项目工期造成的影响。阿联酋每年七、八月份最热，有时高达50℃，特别是八月份，本地政府部门、企业的负责人大多出国休假，所以在此期间不宜安排拜访。</w:t>
      </w:r>
    </w:p>
    <w:p w14:paraId="054A1548">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zh-CN" w:eastAsia="zh-CN"/>
        </w:rPr>
      </w:pPr>
      <w:r>
        <w:rPr>
          <w:rFonts w:hint="eastAsia"/>
          <w:sz w:val="24"/>
          <w:szCs w:val="24"/>
          <w:lang w:val="zh-CN" w:eastAsia="zh-CN"/>
        </w:rPr>
        <w:t>阿联酋将阿拉伯语作为官方语言，同时通用英语，在阿联酋开展经营活动，建议掌握基本的阿拉伯语或英语，以便与执法人员开展交流，避免误解。当地工作节奏平缓，办事效率偏低，商务沟通注重流程规范，财务单据、往来文件需严格规范归档，适配当地合规要求。</w:t>
      </w:r>
    </w:p>
    <w:p w14:paraId="6A0C7C85">
      <w:pPr>
        <w:pStyle w:val="4"/>
        <w:pageBreakBefore w:val="0"/>
        <w:widowControl/>
        <w:kinsoku/>
        <w:wordWrap/>
        <w:overflowPunct/>
        <w:topLinePunct w:val="0"/>
        <w:autoSpaceDE/>
        <w:autoSpaceDN/>
        <w:bidi w:val="0"/>
        <w:adjustRightInd/>
        <w:snapToGrid/>
        <w:jc w:val="both"/>
        <w:rPr>
          <w:rFonts w:ascii="微软雅黑" w:hAnsi="微软雅黑" w:eastAsia="微软雅黑"/>
          <w:color w:val="auto"/>
          <w:lang w:eastAsia="zh-CN"/>
        </w:rPr>
      </w:pPr>
      <w:bookmarkStart w:id="18" w:name="_Toc31592"/>
      <w:r>
        <w:rPr>
          <w:rFonts w:ascii="微软雅黑" w:hAnsi="微软雅黑" w:eastAsia="微软雅黑"/>
          <w:color w:val="auto"/>
          <w:lang w:val="zh-CN" w:eastAsia="zh-CN"/>
        </w:rPr>
        <w:t>3.2  中资企业落地现状</w:t>
      </w:r>
      <w:bookmarkEnd w:id="18"/>
    </w:p>
    <w:p w14:paraId="4DB48569">
      <w:pPr>
        <w:pStyle w:val="5"/>
        <w:pageBreakBefore w:val="0"/>
        <w:widowControl/>
        <w:kinsoku/>
        <w:wordWrap/>
        <w:overflowPunct/>
        <w:topLinePunct w:val="0"/>
        <w:autoSpaceDE/>
        <w:autoSpaceDN/>
        <w:bidi w:val="0"/>
        <w:adjustRightInd/>
        <w:snapToGrid/>
        <w:jc w:val="both"/>
        <w:rPr>
          <w:rFonts w:hint="eastAsia"/>
          <w:sz w:val="24"/>
          <w:szCs w:val="24"/>
          <w:lang w:val="zh-CN" w:eastAsia="zh-CN"/>
        </w:rPr>
      </w:pPr>
      <w:bookmarkStart w:id="19" w:name="_Toc12057"/>
      <w:r>
        <w:rPr>
          <w:rFonts w:hint="eastAsia" w:ascii="微软雅黑" w:hAnsi="微软雅黑" w:eastAsia="微软雅黑"/>
          <w:color w:val="auto"/>
          <w:lang w:val="en-US" w:eastAsia="zh-CN"/>
        </w:rPr>
        <w:t>3</w:t>
      </w:r>
      <w:r>
        <w:rPr>
          <w:rFonts w:ascii="微软雅黑" w:hAnsi="微软雅黑" w:eastAsia="微软雅黑"/>
          <w:color w:val="auto"/>
          <w:lang w:val="zh-CN" w:eastAsia="zh-CN"/>
        </w:rPr>
        <w:t>.</w:t>
      </w:r>
      <w:r>
        <w:rPr>
          <w:rFonts w:hint="eastAsia" w:ascii="微软雅黑" w:hAnsi="微软雅黑" w:eastAsia="微软雅黑"/>
          <w:color w:val="auto"/>
          <w:lang w:val="en-US" w:eastAsia="zh-CN"/>
        </w:rPr>
        <w:t>2</w:t>
      </w:r>
      <w:r>
        <w:rPr>
          <w:rFonts w:ascii="微软雅黑" w:hAnsi="微软雅黑" w:eastAsia="微软雅黑"/>
          <w:color w:val="auto"/>
          <w:lang w:val="zh-CN" w:eastAsia="zh-CN"/>
        </w:rPr>
        <w:t>.</w:t>
      </w:r>
      <w:r>
        <w:rPr>
          <w:rFonts w:hint="eastAsia" w:ascii="微软雅黑" w:hAnsi="微软雅黑" w:eastAsia="微软雅黑"/>
          <w:color w:val="auto"/>
          <w:lang w:val="en-US" w:eastAsia="zh-CN"/>
        </w:rPr>
        <w:t>1</w:t>
      </w:r>
      <w:r>
        <w:rPr>
          <w:rFonts w:ascii="微软雅黑" w:hAnsi="微软雅黑" w:eastAsia="微软雅黑"/>
          <w:color w:val="auto"/>
          <w:lang w:val="zh-CN" w:eastAsia="zh-CN"/>
        </w:rPr>
        <w:t xml:space="preserve">  </w:t>
      </w:r>
      <w:r>
        <w:rPr>
          <w:rFonts w:hint="eastAsia" w:ascii="微软雅黑" w:hAnsi="微软雅黑" w:eastAsia="微软雅黑"/>
          <w:color w:val="auto"/>
          <w:lang w:val="zh-CN" w:eastAsia="zh-CN"/>
        </w:rPr>
        <w:t>中资企业</w:t>
      </w:r>
      <w:r>
        <w:rPr>
          <w:rFonts w:hint="eastAsia" w:ascii="微软雅黑" w:hAnsi="微软雅黑" w:eastAsia="微软雅黑"/>
          <w:color w:val="auto"/>
          <w:lang w:val="en-US" w:eastAsia="zh-CN"/>
        </w:rPr>
        <w:t>在阿联酋经营情况</w:t>
      </w:r>
      <w:bookmarkEnd w:id="19"/>
    </w:p>
    <w:p w14:paraId="1673DFA8">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zh-CN" w:eastAsia="zh-CN"/>
        </w:rPr>
      </w:pPr>
      <w:r>
        <w:rPr>
          <w:rFonts w:hint="eastAsia"/>
          <w:sz w:val="24"/>
          <w:szCs w:val="24"/>
          <w:lang w:val="zh-CN" w:eastAsia="zh-CN"/>
        </w:rPr>
        <w:t>中资企业已成为阿联酋工程承包与投资的核心力量：承包工程以基建、房建、新能源为绝对主力；投资以贸易、能源、科技与高端制造为主，整体规模约百亿美元级，是中国在中东最大投资目的地之一。</w:t>
      </w:r>
    </w:p>
    <w:p w14:paraId="6CA3F3E9">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4"/>
          <w:highlight w:val="none"/>
          <w:lang w:val="zh-CN" w:eastAsia="zh-CN"/>
        </w:rPr>
      </w:pPr>
      <w:r>
        <w:rPr>
          <w:rFonts w:hint="eastAsia"/>
          <w:sz w:val="24"/>
          <w:szCs w:val="24"/>
          <w:lang w:val="zh-CN" w:eastAsia="zh-CN"/>
        </w:rPr>
        <w:t>总体规模与格局：</w:t>
      </w:r>
      <w:r>
        <w:rPr>
          <w:rFonts w:hint="eastAsia"/>
          <w:sz w:val="24"/>
          <w:szCs w:val="24"/>
          <w:highlight w:val="none"/>
          <w:lang w:val="zh-CN" w:eastAsia="zh-CN"/>
        </w:rPr>
        <w:t>截至 2025 年底，中国对阿联酋直接投资存量约107.7 亿美元，占中国对中东 12 国投资的比重超三分之一，继续稳居中国在中东第一大投资目的地。2025 年中国在阿联酋新签工程承包合同额58.6 亿美元，在房建、港口、轨道交通、新能源、油气工程等领域市场占有率保持领先；央企、地方国企、民营制造及跨境电商企业全覆盖，产业资源持续向迪拜、阿布扎比两大核心城市集聚，沙迦、拉斯海玛等自由区中资布局亦稳步扩容。</w:t>
      </w:r>
    </w:p>
    <w:p w14:paraId="2107CAEC">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zh-CN" w:eastAsia="zh-CN"/>
        </w:rPr>
      </w:pPr>
      <w:r>
        <w:rPr>
          <w:rFonts w:hint="eastAsia"/>
          <w:sz w:val="24"/>
          <w:szCs w:val="24"/>
          <w:lang w:val="en-US" w:eastAsia="zh-CN"/>
        </w:rPr>
        <w:t>主要</w:t>
      </w:r>
      <w:r>
        <w:rPr>
          <w:rFonts w:hint="eastAsia"/>
          <w:sz w:val="24"/>
          <w:szCs w:val="24"/>
          <w:lang w:val="zh-CN" w:eastAsia="zh-CN"/>
        </w:rPr>
        <w:t>行业分布与代表项目：</w:t>
      </w:r>
    </w:p>
    <w:p w14:paraId="231C04C0">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en-US" w:eastAsia="zh-CN"/>
        </w:rPr>
      </w:pPr>
      <w:r>
        <w:rPr>
          <w:rFonts w:hint="eastAsia"/>
          <w:sz w:val="24"/>
          <w:szCs w:val="24"/>
          <w:lang w:val="en-US" w:eastAsia="zh-CN"/>
        </w:rPr>
        <w:t>1、 房建与超高层</w:t>
      </w:r>
    </w:p>
    <w:p w14:paraId="78D5B773">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en-US" w:eastAsia="zh-CN"/>
        </w:rPr>
      </w:pPr>
      <w:r>
        <w:rPr>
          <w:rFonts w:hint="default"/>
          <w:sz w:val="24"/>
          <w:szCs w:val="24"/>
          <w:lang w:val="en-US" w:eastAsia="zh-CN"/>
        </w:rPr>
        <w:t>迪拜 / 阿布扎比高端住宅、酒店、综合体，超高层技术领先</w:t>
      </w:r>
      <w:r>
        <w:rPr>
          <w:rFonts w:hint="eastAsia"/>
          <w:sz w:val="24"/>
          <w:szCs w:val="24"/>
          <w:lang w:val="en-US" w:eastAsia="zh-CN"/>
        </w:rPr>
        <w:t>，如中铁十八局迪拜蓝天酒店、棕榈岛 Fairmont 酒店项目，中建中东迪拜辛达加走廊跨海桥项目，中铁四局沙迦Aljada 大型社区项目。</w:t>
      </w:r>
    </w:p>
    <w:p w14:paraId="397CE357">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en-US" w:eastAsia="zh-CN"/>
        </w:rPr>
      </w:pPr>
      <w:r>
        <w:rPr>
          <w:rFonts w:hint="eastAsia"/>
          <w:sz w:val="24"/>
          <w:szCs w:val="24"/>
          <w:lang w:val="en-US" w:eastAsia="zh-CN"/>
        </w:rPr>
        <w:t>2、港口与海事工程</w:t>
      </w:r>
    </w:p>
    <w:p w14:paraId="00609FA8">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en-US" w:eastAsia="zh-CN"/>
        </w:rPr>
      </w:pPr>
      <w:r>
        <w:rPr>
          <w:rFonts w:hint="default"/>
          <w:sz w:val="24"/>
          <w:szCs w:val="24"/>
          <w:lang w:val="en-US" w:eastAsia="zh-CN"/>
        </w:rPr>
        <w:t>中国港湾为龙头，参与阿联酋核心港口建设与运营</w:t>
      </w:r>
      <w:r>
        <w:rPr>
          <w:rFonts w:hint="eastAsia"/>
          <w:sz w:val="24"/>
          <w:szCs w:val="24"/>
          <w:lang w:val="en-US" w:eastAsia="zh-CN"/>
        </w:rPr>
        <w:t>，如中国港湾阿布扎比哈利法港集装箱码头、哈里发工业园 B 区食品基地项目，中国电建拉哈耶尔动车段项目。</w:t>
      </w:r>
    </w:p>
    <w:p w14:paraId="6DE741A5">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en-US" w:eastAsia="zh-CN"/>
        </w:rPr>
      </w:pPr>
      <w:r>
        <w:rPr>
          <w:rFonts w:hint="eastAsia"/>
          <w:sz w:val="24"/>
          <w:szCs w:val="24"/>
          <w:lang w:val="en-US" w:eastAsia="zh-CN"/>
        </w:rPr>
        <w:t>3、新能源</w:t>
      </w:r>
    </w:p>
    <w:p w14:paraId="09534421">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en-US" w:eastAsia="zh-CN"/>
        </w:rPr>
      </w:pPr>
      <w:r>
        <w:rPr>
          <w:rFonts w:hint="default"/>
          <w:sz w:val="24"/>
          <w:szCs w:val="24"/>
          <w:lang w:val="en-US" w:eastAsia="zh-CN"/>
        </w:rPr>
        <w:t>光热、光伏、储能 EPC，中国电建、上海电气领衔</w:t>
      </w:r>
      <w:r>
        <w:rPr>
          <w:rFonts w:hint="eastAsia"/>
          <w:sz w:val="24"/>
          <w:szCs w:val="24"/>
          <w:lang w:val="en-US" w:eastAsia="zh-CN"/>
        </w:rPr>
        <w:t>，如上海电气迪拜马克图姆太阳能公园四期项目，中建中东阿布扎比PV3 光伏电站、Emerge 光伏 EPC 项目。</w:t>
      </w:r>
    </w:p>
    <w:p w14:paraId="33A6D605">
      <w:pPr>
        <w:keepNext w:val="0"/>
        <w:keepLines w:val="0"/>
        <w:pageBreakBefore w:val="0"/>
        <w:widowControl/>
        <w:numPr>
          <w:ilvl w:val="0"/>
          <w:numId w:val="7"/>
        </w:numPr>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en-US" w:eastAsia="zh-CN"/>
        </w:rPr>
      </w:pPr>
      <w:r>
        <w:rPr>
          <w:rFonts w:hint="eastAsia"/>
          <w:sz w:val="24"/>
          <w:szCs w:val="24"/>
          <w:lang w:val="en-US" w:eastAsia="zh-CN"/>
        </w:rPr>
        <w:t>交通基础设施</w:t>
      </w:r>
    </w:p>
    <w:p w14:paraId="6ADBB6A6">
      <w:pPr>
        <w:keepNext w:val="0"/>
        <w:keepLines w:val="0"/>
        <w:pageBreakBefore w:val="0"/>
        <w:widowControl/>
        <w:numPr>
          <w:ilvl w:val="0"/>
          <w:numId w:val="0"/>
        </w:numPr>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en-US" w:eastAsia="zh-CN"/>
        </w:rPr>
      </w:pPr>
      <w:r>
        <w:rPr>
          <w:rFonts w:hint="eastAsia"/>
          <w:sz w:val="24"/>
          <w:szCs w:val="24"/>
          <w:lang w:val="en-US" w:eastAsia="zh-CN"/>
        </w:rPr>
        <w:t>主要为铁路、机场、桥梁，代表项目有中国铁建迪拜阿联酋航空维修机库集群项目，中铁十八局迪拜运动城、迪拜码头系列工程。</w:t>
      </w:r>
    </w:p>
    <w:p w14:paraId="28A09659">
      <w:pPr>
        <w:keepNext w:val="0"/>
        <w:keepLines w:val="0"/>
        <w:pageBreakBefore w:val="0"/>
        <w:widowControl/>
        <w:numPr>
          <w:ilvl w:val="0"/>
          <w:numId w:val="0"/>
        </w:numPr>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en-US" w:eastAsia="zh-CN"/>
        </w:rPr>
      </w:pPr>
      <w:r>
        <w:rPr>
          <w:rFonts w:hint="eastAsia"/>
          <w:sz w:val="24"/>
          <w:szCs w:val="24"/>
          <w:lang w:val="en-US" w:eastAsia="zh-CN"/>
        </w:rPr>
        <w:t>5、油气与工业工程</w:t>
      </w:r>
    </w:p>
    <w:p w14:paraId="1E0104DD">
      <w:pPr>
        <w:keepNext w:val="0"/>
        <w:keepLines w:val="0"/>
        <w:pageBreakBefore w:val="0"/>
        <w:widowControl/>
        <w:numPr>
          <w:ilvl w:val="0"/>
          <w:numId w:val="0"/>
        </w:numPr>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en-US" w:eastAsia="zh-CN"/>
        </w:rPr>
      </w:pPr>
      <w:r>
        <w:rPr>
          <w:rFonts w:hint="eastAsia"/>
          <w:sz w:val="24"/>
          <w:szCs w:val="24"/>
          <w:lang w:val="en-US" w:eastAsia="zh-CN"/>
        </w:rPr>
        <w:t>主要企业有</w:t>
      </w:r>
      <w:r>
        <w:rPr>
          <w:rFonts w:hint="default"/>
          <w:sz w:val="24"/>
          <w:szCs w:val="24"/>
          <w:lang w:val="en-US" w:eastAsia="zh-CN"/>
        </w:rPr>
        <w:t>中国石油工程建设、中国化学工程</w:t>
      </w:r>
      <w:r>
        <w:rPr>
          <w:rFonts w:hint="eastAsia"/>
          <w:sz w:val="24"/>
          <w:szCs w:val="24"/>
          <w:lang w:val="en-US" w:eastAsia="zh-CN"/>
        </w:rPr>
        <w:t>等，主要项目有阿布扎比陆上/海上油气设施、炼油化工、工业厂房、储罐工程等。</w:t>
      </w:r>
    </w:p>
    <w:p w14:paraId="186C83F6">
      <w:pPr>
        <w:keepNext w:val="0"/>
        <w:keepLines w:val="0"/>
        <w:pageBreakBefore w:val="0"/>
        <w:widowControl/>
        <w:numPr>
          <w:ilvl w:val="0"/>
          <w:numId w:val="0"/>
        </w:numPr>
        <w:kinsoku/>
        <w:wordWrap/>
        <w:overflowPunct/>
        <w:topLinePunct w:val="0"/>
        <w:autoSpaceDE/>
        <w:autoSpaceDN/>
        <w:bidi w:val="0"/>
        <w:adjustRightInd/>
        <w:snapToGrid/>
        <w:spacing w:before="40" w:after="40"/>
        <w:ind w:firstLine="480" w:firstLineChars="200"/>
        <w:jc w:val="both"/>
        <w:textAlignment w:val="auto"/>
        <w:rPr>
          <w:rFonts w:hint="default"/>
          <w:sz w:val="24"/>
          <w:szCs w:val="24"/>
          <w:highlight w:val="none"/>
          <w:lang w:val="en-US" w:eastAsia="zh-CN"/>
        </w:rPr>
      </w:pPr>
      <w:r>
        <w:rPr>
          <w:rFonts w:hint="eastAsia"/>
          <w:sz w:val="24"/>
          <w:szCs w:val="24"/>
          <w:highlight w:val="none"/>
          <w:lang w:val="en-US" w:eastAsia="zh-CN"/>
        </w:rPr>
        <w:t>6、新兴领域</w:t>
      </w:r>
    </w:p>
    <w:p w14:paraId="74F4B866">
      <w:pPr>
        <w:keepNext w:val="0"/>
        <w:keepLines w:val="0"/>
        <w:pageBreakBefore w:val="0"/>
        <w:widowControl/>
        <w:numPr>
          <w:ilvl w:val="0"/>
          <w:numId w:val="0"/>
        </w:numPr>
        <w:kinsoku/>
        <w:wordWrap/>
        <w:overflowPunct/>
        <w:topLinePunct w:val="0"/>
        <w:autoSpaceDE/>
        <w:autoSpaceDN/>
        <w:bidi w:val="0"/>
        <w:adjustRightInd/>
        <w:snapToGrid/>
        <w:spacing w:before="40" w:after="40"/>
        <w:ind w:firstLine="480" w:firstLineChars="200"/>
        <w:jc w:val="both"/>
        <w:textAlignment w:val="auto"/>
        <w:rPr>
          <w:rFonts w:hint="default"/>
          <w:sz w:val="24"/>
          <w:szCs w:val="24"/>
          <w:highlight w:val="none"/>
          <w:lang w:val="en-US" w:eastAsia="zh-CN"/>
        </w:rPr>
      </w:pPr>
      <w:r>
        <w:rPr>
          <w:rFonts w:hint="eastAsia"/>
          <w:sz w:val="24"/>
          <w:szCs w:val="24"/>
          <w:highlight w:val="none"/>
          <w:lang w:val="en-US" w:eastAsia="zh-CN"/>
        </w:rPr>
        <w:t>中资企业新增布局智能农业、数字算力中心、跨境电商产业园、绿色低碳产业园等领域，代表项目为中阿共建阿布扎比艾因智能农业科技中心、迪拜数字经济产业园配套基建项目等。</w:t>
      </w:r>
    </w:p>
    <w:p w14:paraId="2CE7FCFD">
      <w:pPr>
        <w:pStyle w:val="5"/>
        <w:pageBreakBefore w:val="0"/>
        <w:widowControl/>
        <w:kinsoku/>
        <w:wordWrap/>
        <w:overflowPunct/>
        <w:topLinePunct w:val="0"/>
        <w:autoSpaceDE/>
        <w:autoSpaceDN/>
        <w:bidi w:val="0"/>
        <w:adjustRightInd/>
        <w:snapToGrid/>
        <w:jc w:val="both"/>
        <w:rPr>
          <w:rFonts w:hint="default"/>
          <w:sz w:val="24"/>
          <w:szCs w:val="24"/>
          <w:highlight w:val="none"/>
          <w:lang w:val="en-US" w:eastAsia="zh-CN"/>
        </w:rPr>
      </w:pPr>
      <w:bookmarkStart w:id="20" w:name="_Toc4632"/>
      <w:r>
        <w:rPr>
          <w:rFonts w:hint="eastAsia" w:ascii="微软雅黑" w:hAnsi="微软雅黑" w:eastAsia="微软雅黑"/>
          <w:color w:val="auto"/>
          <w:highlight w:val="none"/>
          <w:lang w:val="en-US" w:eastAsia="zh-CN"/>
        </w:rPr>
        <w:t>3</w:t>
      </w:r>
      <w:r>
        <w:rPr>
          <w:rFonts w:ascii="微软雅黑" w:hAnsi="微软雅黑" w:eastAsia="微软雅黑"/>
          <w:color w:val="auto"/>
          <w:highlight w:val="none"/>
          <w:lang w:val="zh-CN" w:eastAsia="zh-CN"/>
        </w:rPr>
        <w:t>.</w:t>
      </w:r>
      <w:r>
        <w:rPr>
          <w:rFonts w:hint="eastAsia" w:ascii="微软雅黑" w:hAnsi="微软雅黑" w:eastAsia="微软雅黑"/>
          <w:color w:val="auto"/>
          <w:highlight w:val="none"/>
          <w:lang w:val="en-US" w:eastAsia="zh-CN"/>
        </w:rPr>
        <w:t>2</w:t>
      </w:r>
      <w:r>
        <w:rPr>
          <w:rFonts w:ascii="微软雅黑" w:hAnsi="微软雅黑" w:eastAsia="微软雅黑"/>
          <w:color w:val="auto"/>
          <w:highlight w:val="none"/>
          <w:lang w:val="zh-CN" w:eastAsia="zh-CN"/>
        </w:rPr>
        <w:t>.</w:t>
      </w:r>
      <w:r>
        <w:rPr>
          <w:rFonts w:hint="eastAsia" w:ascii="微软雅黑" w:hAnsi="微软雅黑" w:eastAsia="微软雅黑"/>
          <w:color w:val="auto"/>
          <w:highlight w:val="none"/>
          <w:lang w:val="en-US" w:eastAsia="zh-CN"/>
        </w:rPr>
        <w:t>2</w:t>
      </w:r>
      <w:r>
        <w:rPr>
          <w:rFonts w:ascii="微软雅黑" w:hAnsi="微软雅黑" w:eastAsia="微软雅黑"/>
          <w:color w:val="auto"/>
          <w:highlight w:val="none"/>
          <w:lang w:val="zh-CN" w:eastAsia="zh-CN"/>
        </w:rPr>
        <w:t xml:space="preserve">  </w:t>
      </w:r>
      <w:r>
        <w:rPr>
          <w:rFonts w:hint="eastAsia" w:ascii="微软雅黑" w:hAnsi="微软雅黑" w:eastAsia="微软雅黑"/>
          <w:color w:val="auto"/>
          <w:highlight w:val="none"/>
          <w:lang w:val="en-US" w:eastAsia="zh-CN"/>
        </w:rPr>
        <w:t>中国海诚各经营单位在阿联酋的业务开展情况</w:t>
      </w:r>
      <w:bookmarkEnd w:id="20"/>
    </w:p>
    <w:p w14:paraId="3FE0A3E4">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en-US" w:eastAsia="zh-CN"/>
        </w:rPr>
      </w:pPr>
      <w:r>
        <w:rPr>
          <w:rFonts w:hint="eastAsia"/>
          <w:sz w:val="24"/>
          <w:szCs w:val="24"/>
          <w:lang w:val="en-US" w:eastAsia="zh-CN"/>
        </w:rPr>
        <w:t>2014年6月机械进出口公司与中国海诚北京公司组成联合体投标阿联酋IPM项目，2014年12月中标，2016年4月在阿布扎比签订项目总承包合同，为满足当地政府要求，以及方便实施IPM项目，2016年6月北京公司在阿布扎比设立分公司，2022年6月分公司转为子公司。截至目前，北京公司在阿联酋已完工或正在执行的项目如下：</w:t>
      </w:r>
    </w:p>
    <w:tbl>
      <w:tblPr>
        <w:tblStyle w:val="37"/>
        <w:tblW w:w="0" w:type="auto"/>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4"/>
        <w:gridCol w:w="1000"/>
        <w:gridCol w:w="975"/>
        <w:gridCol w:w="1675"/>
        <w:gridCol w:w="3266"/>
      </w:tblGrid>
      <w:tr w14:paraId="0DC86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54" w:type="dxa"/>
            <w:shd w:val="clear" w:color="auto" w:fill="366091" w:themeFill="accent1" w:themeFillShade="BF"/>
            <w:vAlign w:val="center"/>
          </w:tcPr>
          <w:p w14:paraId="6D43E3AD">
            <w:pPr>
              <w:spacing w:before="40" w:after="40"/>
              <w:jc w:val="center"/>
              <w:rPr>
                <w:rFonts w:hint="eastAsia"/>
                <w:b/>
                <w:bCs/>
                <w:color w:val="FFFFFF" w:themeColor="background1"/>
                <w:sz w:val="18"/>
                <w:szCs w:val="18"/>
                <w:lang w:val="zh-CN" w:eastAsia="zh-CN"/>
                <w14:textFill>
                  <w14:solidFill>
                    <w14:schemeClr w14:val="bg1"/>
                  </w14:solidFill>
                </w14:textFill>
              </w:rPr>
            </w:pPr>
            <w:r>
              <w:rPr>
                <w:rFonts w:hint="eastAsia" w:ascii="微软雅黑" w:eastAsia="微软雅黑"/>
                <w:b/>
                <w:bCs/>
                <w:color w:val="FFFFFF" w:themeColor="background1"/>
                <w:sz w:val="18"/>
                <w:szCs w:val="18"/>
                <w:lang w:val="zh-CN" w:eastAsia="zh-CN"/>
                <w14:textFill>
                  <w14:solidFill>
                    <w14:schemeClr w14:val="bg1"/>
                  </w14:solidFill>
                </w14:textFill>
              </w:rPr>
              <w:t>项目名称</w:t>
            </w:r>
          </w:p>
        </w:tc>
        <w:tc>
          <w:tcPr>
            <w:tcW w:w="1000" w:type="dxa"/>
            <w:shd w:val="clear" w:color="auto" w:fill="366091" w:themeFill="accent1" w:themeFillShade="BF"/>
            <w:vAlign w:val="center"/>
          </w:tcPr>
          <w:p w14:paraId="60826420">
            <w:pPr>
              <w:spacing w:before="40" w:after="40"/>
              <w:jc w:val="center"/>
              <w:rPr>
                <w:rFonts w:hint="eastAsia"/>
                <w:b/>
                <w:bCs/>
                <w:color w:val="FFFFFF" w:themeColor="background1"/>
                <w:sz w:val="18"/>
                <w:szCs w:val="18"/>
                <w:lang w:val="zh-CN" w:eastAsia="zh-CN"/>
                <w14:textFill>
                  <w14:solidFill>
                    <w14:schemeClr w14:val="bg1"/>
                  </w14:solidFill>
                </w14:textFill>
              </w:rPr>
            </w:pPr>
            <w:r>
              <w:rPr>
                <w:rFonts w:hint="eastAsia" w:ascii="微软雅黑" w:eastAsia="微软雅黑"/>
                <w:b/>
                <w:bCs/>
                <w:color w:val="FFFFFF" w:themeColor="background1"/>
                <w:sz w:val="18"/>
                <w:szCs w:val="18"/>
                <w:lang w:val="zh-CN" w:eastAsia="zh-CN"/>
                <w14:textFill>
                  <w14:solidFill>
                    <w14:schemeClr w14:val="bg1"/>
                  </w14:solidFill>
                </w14:textFill>
              </w:rPr>
              <w:t>执行现状</w:t>
            </w:r>
          </w:p>
        </w:tc>
        <w:tc>
          <w:tcPr>
            <w:tcW w:w="975" w:type="dxa"/>
            <w:shd w:val="clear" w:color="auto" w:fill="366091" w:themeFill="accent1" w:themeFillShade="BF"/>
            <w:vAlign w:val="center"/>
          </w:tcPr>
          <w:p w14:paraId="0547F845">
            <w:pPr>
              <w:spacing w:before="40" w:after="40"/>
              <w:jc w:val="center"/>
              <w:rPr>
                <w:rFonts w:hint="eastAsia"/>
                <w:b/>
                <w:bCs/>
                <w:color w:val="FFFFFF" w:themeColor="background1"/>
                <w:sz w:val="18"/>
                <w:szCs w:val="18"/>
                <w:lang w:val="zh-CN" w:eastAsia="zh-CN"/>
                <w14:textFill>
                  <w14:solidFill>
                    <w14:schemeClr w14:val="bg1"/>
                  </w14:solidFill>
                </w14:textFill>
              </w:rPr>
            </w:pPr>
            <w:r>
              <w:rPr>
                <w:rFonts w:hint="eastAsia" w:ascii="微软雅黑" w:eastAsia="微软雅黑"/>
                <w:b/>
                <w:bCs/>
                <w:color w:val="FFFFFF" w:themeColor="background1"/>
                <w:sz w:val="18"/>
                <w:szCs w:val="18"/>
                <w:lang w:val="zh-CN" w:eastAsia="zh-CN"/>
                <w14:textFill>
                  <w14:solidFill>
                    <w14:schemeClr w14:val="bg1"/>
                  </w14:solidFill>
                </w14:textFill>
              </w:rPr>
              <w:t>行业分类</w:t>
            </w:r>
          </w:p>
        </w:tc>
        <w:tc>
          <w:tcPr>
            <w:tcW w:w="1675" w:type="dxa"/>
            <w:shd w:val="clear" w:color="auto" w:fill="366091" w:themeFill="accent1" w:themeFillShade="BF"/>
            <w:vAlign w:val="center"/>
          </w:tcPr>
          <w:p w14:paraId="350C1DF9">
            <w:pPr>
              <w:spacing w:before="40" w:after="40"/>
              <w:jc w:val="center"/>
              <w:rPr>
                <w:rFonts w:hint="eastAsia"/>
                <w:b/>
                <w:bCs/>
                <w:color w:val="FFFFFF" w:themeColor="background1"/>
                <w:sz w:val="18"/>
                <w:szCs w:val="18"/>
                <w:lang w:val="zh-CN" w:eastAsia="zh-CN"/>
                <w14:textFill>
                  <w14:solidFill>
                    <w14:schemeClr w14:val="bg1"/>
                  </w14:solidFill>
                </w14:textFill>
              </w:rPr>
            </w:pPr>
            <w:r>
              <w:rPr>
                <w:rFonts w:hint="eastAsia" w:ascii="微软雅黑" w:eastAsia="微软雅黑"/>
                <w:b/>
                <w:bCs/>
                <w:color w:val="FFFFFF" w:themeColor="background1"/>
                <w:sz w:val="18"/>
                <w:szCs w:val="18"/>
                <w:lang w:val="zh-CN" w:eastAsia="zh-CN"/>
                <w14:textFill>
                  <w14:solidFill>
                    <w14:schemeClr w14:val="bg1"/>
                  </w14:solidFill>
                </w14:textFill>
              </w:rPr>
              <w:t>合同额</w:t>
            </w:r>
          </w:p>
        </w:tc>
        <w:tc>
          <w:tcPr>
            <w:tcW w:w="3266" w:type="dxa"/>
            <w:shd w:val="clear" w:color="auto" w:fill="366091" w:themeFill="accent1" w:themeFillShade="BF"/>
            <w:vAlign w:val="center"/>
          </w:tcPr>
          <w:p w14:paraId="2CE6A80F">
            <w:pPr>
              <w:spacing w:before="40" w:after="40"/>
              <w:jc w:val="center"/>
              <w:rPr>
                <w:rFonts w:hint="eastAsia"/>
                <w:b/>
                <w:bCs/>
                <w:color w:val="FFFFFF" w:themeColor="background1"/>
                <w:sz w:val="18"/>
                <w:szCs w:val="18"/>
                <w:lang w:val="zh-CN" w:eastAsia="zh-CN"/>
                <w14:textFill>
                  <w14:solidFill>
                    <w14:schemeClr w14:val="bg1"/>
                  </w14:solidFill>
                </w14:textFill>
              </w:rPr>
            </w:pPr>
            <w:r>
              <w:rPr>
                <w:rFonts w:hint="eastAsia" w:ascii="微软雅黑" w:eastAsia="微软雅黑"/>
                <w:b/>
                <w:bCs/>
                <w:color w:val="FFFFFF" w:themeColor="background1"/>
                <w:sz w:val="18"/>
                <w:szCs w:val="18"/>
                <w:lang w:val="zh-CN" w:eastAsia="zh-CN"/>
                <w14:textFill>
                  <w14:solidFill>
                    <w14:schemeClr w14:val="bg1"/>
                  </w14:solidFill>
                </w14:textFill>
              </w:rPr>
              <w:t>项目内容</w:t>
            </w:r>
          </w:p>
        </w:tc>
      </w:tr>
      <w:tr w14:paraId="2BB33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4" w:type="dxa"/>
            <w:vAlign w:val="center"/>
          </w:tcPr>
          <w:p w14:paraId="5BAF1DAB">
            <w:pPr>
              <w:spacing w:before="40" w:after="40"/>
              <w:rPr>
                <w:rFonts w:hint="eastAsia"/>
                <w:b w:val="0"/>
                <w:bCs w:val="0"/>
                <w:color w:val="auto"/>
                <w:sz w:val="18"/>
                <w:szCs w:val="18"/>
                <w:lang w:val="zh-CN" w:eastAsia="zh-CN"/>
              </w:rPr>
            </w:pPr>
            <w:r>
              <w:rPr>
                <w:rFonts w:hint="eastAsia" w:eastAsia="微软雅黑"/>
                <w:b w:val="0"/>
                <w:bCs w:val="0"/>
                <w:color w:val="auto"/>
                <w:sz w:val="18"/>
                <w:szCs w:val="18"/>
                <w:lang w:eastAsia="zh-CN"/>
              </w:rPr>
              <w:t>阿联酋IPM项目</w:t>
            </w:r>
          </w:p>
        </w:tc>
        <w:tc>
          <w:tcPr>
            <w:tcW w:w="1000" w:type="dxa"/>
            <w:vAlign w:val="center"/>
          </w:tcPr>
          <w:p w14:paraId="68121265">
            <w:pPr>
              <w:spacing w:before="40" w:after="40"/>
              <w:rPr>
                <w:rFonts w:hint="eastAsia"/>
                <w:b w:val="0"/>
                <w:bCs w:val="0"/>
                <w:color w:val="auto"/>
                <w:sz w:val="18"/>
                <w:szCs w:val="18"/>
                <w:lang w:val="zh-CN" w:eastAsia="zh-CN"/>
              </w:rPr>
            </w:pPr>
            <w:r>
              <w:rPr>
                <w:rFonts w:hint="eastAsia" w:ascii="微软雅黑" w:eastAsia="微软雅黑"/>
                <w:b w:val="0"/>
                <w:bCs w:val="0"/>
                <w:color w:val="auto"/>
                <w:sz w:val="18"/>
                <w:szCs w:val="18"/>
                <w:lang w:val="zh-CN" w:eastAsia="zh-CN"/>
              </w:rPr>
              <w:t>已完工</w:t>
            </w:r>
          </w:p>
        </w:tc>
        <w:tc>
          <w:tcPr>
            <w:tcW w:w="975" w:type="dxa"/>
            <w:vAlign w:val="center"/>
          </w:tcPr>
          <w:p w14:paraId="18588E67">
            <w:pPr>
              <w:spacing w:before="40" w:after="40"/>
              <w:rPr>
                <w:rFonts w:hint="eastAsia"/>
                <w:b w:val="0"/>
                <w:bCs w:val="0"/>
                <w:color w:val="auto"/>
                <w:sz w:val="18"/>
                <w:szCs w:val="18"/>
                <w:lang w:val="zh-CN" w:eastAsia="zh-CN"/>
              </w:rPr>
            </w:pPr>
            <w:r>
              <w:rPr>
                <w:rFonts w:hint="eastAsia" w:ascii="微软雅黑" w:eastAsia="微软雅黑"/>
                <w:b w:val="0"/>
                <w:bCs w:val="0"/>
                <w:color w:val="auto"/>
                <w:sz w:val="18"/>
                <w:szCs w:val="18"/>
                <w:lang w:val="zh-CN" w:eastAsia="zh-CN"/>
              </w:rPr>
              <w:t>制浆造纸</w:t>
            </w:r>
          </w:p>
        </w:tc>
        <w:tc>
          <w:tcPr>
            <w:tcW w:w="1675" w:type="dxa"/>
            <w:vAlign w:val="center"/>
          </w:tcPr>
          <w:p w14:paraId="185BB380">
            <w:pPr>
              <w:spacing w:before="40" w:after="40"/>
              <w:rPr>
                <w:rFonts w:hint="default"/>
                <w:b w:val="0"/>
                <w:bCs w:val="0"/>
                <w:color w:val="auto"/>
                <w:sz w:val="18"/>
                <w:szCs w:val="18"/>
                <w:lang w:val="en-US" w:eastAsia="zh-CN"/>
              </w:rPr>
            </w:pPr>
            <w:r>
              <w:rPr>
                <w:rFonts w:hint="eastAsia" w:eastAsia="微软雅黑"/>
                <w:b w:val="0"/>
                <w:bCs w:val="0"/>
                <w:color w:val="auto"/>
                <w:sz w:val="18"/>
                <w:szCs w:val="18"/>
                <w:lang w:eastAsia="zh-CN"/>
              </w:rPr>
              <w:t>23</w:t>
            </w:r>
            <w:r>
              <w:rPr>
                <w:rFonts w:hint="eastAsia"/>
                <w:b w:val="0"/>
                <w:bCs w:val="0"/>
                <w:color w:val="auto"/>
                <w:sz w:val="18"/>
                <w:szCs w:val="18"/>
                <w:lang w:val="en-US" w:eastAsia="zh-CN"/>
              </w:rPr>
              <w:t>,</w:t>
            </w:r>
            <w:r>
              <w:rPr>
                <w:rFonts w:hint="eastAsia" w:eastAsia="微软雅黑"/>
                <w:b w:val="0"/>
                <w:bCs w:val="0"/>
                <w:color w:val="auto"/>
                <w:sz w:val="18"/>
                <w:szCs w:val="18"/>
                <w:lang w:eastAsia="zh-CN"/>
              </w:rPr>
              <w:t>350万</w:t>
            </w:r>
            <w:r>
              <w:rPr>
                <w:rFonts w:hint="eastAsia"/>
                <w:b w:val="0"/>
                <w:bCs w:val="0"/>
                <w:color w:val="auto"/>
                <w:sz w:val="18"/>
                <w:szCs w:val="18"/>
                <w:lang w:val="en-US" w:eastAsia="zh-CN"/>
              </w:rPr>
              <w:t>USD</w:t>
            </w:r>
          </w:p>
        </w:tc>
        <w:tc>
          <w:tcPr>
            <w:tcW w:w="3266" w:type="dxa"/>
            <w:vAlign w:val="center"/>
          </w:tcPr>
          <w:p w14:paraId="1102042E">
            <w:pPr>
              <w:spacing w:before="40" w:after="40"/>
              <w:rPr>
                <w:rFonts w:hint="eastAsia"/>
                <w:b w:val="0"/>
                <w:bCs w:val="0"/>
                <w:color w:val="auto"/>
                <w:sz w:val="18"/>
                <w:szCs w:val="18"/>
                <w:lang w:val="zh-CN" w:eastAsia="zh-CN"/>
              </w:rPr>
            </w:pPr>
            <w:r>
              <w:rPr>
                <w:rFonts w:hint="eastAsia" w:ascii="微软雅黑" w:eastAsia="微软雅黑"/>
                <w:b w:val="0"/>
                <w:bCs w:val="0"/>
                <w:color w:val="auto"/>
                <w:sz w:val="18"/>
                <w:szCs w:val="18"/>
                <w:lang w:val="zh-CN" w:eastAsia="zh-CN"/>
              </w:rPr>
              <w:t>造纸厂造纸设备设计、建造、安装、调试等工程服务</w:t>
            </w:r>
          </w:p>
        </w:tc>
      </w:tr>
      <w:tr w14:paraId="61725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4" w:type="dxa"/>
            <w:vAlign w:val="center"/>
          </w:tcPr>
          <w:p w14:paraId="147DD217">
            <w:pPr>
              <w:spacing w:before="40" w:after="40"/>
              <w:rPr>
                <w:rFonts w:hint="default"/>
                <w:b w:val="0"/>
                <w:bCs w:val="0"/>
                <w:color w:val="auto"/>
                <w:sz w:val="18"/>
                <w:szCs w:val="18"/>
                <w:lang w:val="en-US" w:eastAsia="zh-CN"/>
              </w:rPr>
            </w:pPr>
            <w:r>
              <w:rPr>
                <w:rFonts w:hint="eastAsia"/>
                <w:b w:val="0"/>
                <w:bCs w:val="0"/>
                <w:color w:val="auto"/>
                <w:sz w:val="18"/>
                <w:szCs w:val="18"/>
                <w:lang w:val="en-US" w:eastAsia="zh-CN"/>
              </w:rPr>
              <w:t>迪拜中国馆钢结构项目</w:t>
            </w:r>
          </w:p>
        </w:tc>
        <w:tc>
          <w:tcPr>
            <w:tcW w:w="1000" w:type="dxa"/>
            <w:vAlign w:val="center"/>
          </w:tcPr>
          <w:p w14:paraId="39F17BBF">
            <w:pPr>
              <w:spacing w:before="40" w:after="40"/>
              <w:rPr>
                <w:rFonts w:hint="eastAsia"/>
                <w:b w:val="0"/>
                <w:bCs w:val="0"/>
                <w:color w:val="auto"/>
                <w:sz w:val="18"/>
                <w:szCs w:val="18"/>
                <w:lang w:val="zh-CN" w:eastAsia="zh-CN"/>
              </w:rPr>
            </w:pPr>
            <w:r>
              <w:rPr>
                <w:rFonts w:hint="eastAsia" w:ascii="微软雅黑" w:eastAsia="微软雅黑"/>
                <w:b w:val="0"/>
                <w:bCs w:val="0"/>
                <w:color w:val="auto"/>
                <w:sz w:val="18"/>
                <w:szCs w:val="18"/>
                <w:lang w:val="zh-CN" w:eastAsia="zh-CN"/>
              </w:rPr>
              <w:t>已完工</w:t>
            </w:r>
          </w:p>
        </w:tc>
        <w:tc>
          <w:tcPr>
            <w:tcW w:w="975" w:type="dxa"/>
            <w:vAlign w:val="center"/>
          </w:tcPr>
          <w:p w14:paraId="00251B7E">
            <w:pPr>
              <w:spacing w:before="40" w:after="40"/>
              <w:rPr>
                <w:rFonts w:hint="eastAsia"/>
                <w:b w:val="0"/>
                <w:bCs w:val="0"/>
                <w:color w:val="auto"/>
                <w:sz w:val="18"/>
                <w:szCs w:val="18"/>
                <w:lang w:val="zh-CN" w:eastAsia="zh-CN"/>
              </w:rPr>
            </w:pPr>
            <w:r>
              <w:rPr>
                <w:rFonts w:hint="eastAsia" w:ascii="微软雅黑" w:eastAsia="微软雅黑"/>
                <w:b w:val="0"/>
                <w:bCs w:val="0"/>
                <w:color w:val="auto"/>
                <w:sz w:val="18"/>
                <w:szCs w:val="18"/>
                <w:lang w:val="zh-CN" w:eastAsia="zh-CN"/>
              </w:rPr>
              <w:t>民用建筑</w:t>
            </w:r>
          </w:p>
        </w:tc>
        <w:tc>
          <w:tcPr>
            <w:tcW w:w="1675" w:type="dxa"/>
            <w:vAlign w:val="center"/>
          </w:tcPr>
          <w:p w14:paraId="2A9C60BB">
            <w:pPr>
              <w:spacing w:before="40" w:after="40"/>
              <w:rPr>
                <w:rFonts w:hint="default"/>
                <w:b w:val="0"/>
                <w:bCs w:val="0"/>
                <w:color w:val="auto"/>
                <w:sz w:val="18"/>
                <w:szCs w:val="18"/>
                <w:lang w:val="en-US" w:eastAsia="zh-CN"/>
              </w:rPr>
            </w:pPr>
            <w:r>
              <w:rPr>
                <w:rFonts w:hint="eastAsia"/>
                <w:b w:val="0"/>
                <w:bCs w:val="0"/>
                <w:color w:val="auto"/>
                <w:sz w:val="18"/>
                <w:szCs w:val="18"/>
                <w:lang w:val="en-US" w:eastAsia="zh-CN"/>
              </w:rPr>
              <w:t>591万AED</w:t>
            </w:r>
          </w:p>
        </w:tc>
        <w:tc>
          <w:tcPr>
            <w:tcW w:w="3266" w:type="dxa"/>
            <w:vAlign w:val="center"/>
          </w:tcPr>
          <w:p w14:paraId="4C37A300">
            <w:pPr>
              <w:spacing w:before="40" w:after="40"/>
              <w:rPr>
                <w:rFonts w:hint="eastAsia"/>
                <w:b w:val="0"/>
                <w:bCs w:val="0"/>
                <w:color w:val="auto"/>
                <w:sz w:val="18"/>
                <w:szCs w:val="18"/>
                <w:lang w:val="zh-CN" w:eastAsia="zh-CN"/>
              </w:rPr>
            </w:pPr>
            <w:r>
              <w:rPr>
                <w:rFonts w:hint="eastAsia" w:ascii="微软雅黑" w:eastAsia="微软雅黑"/>
                <w:b w:val="0"/>
                <w:bCs w:val="0"/>
                <w:color w:val="auto"/>
                <w:sz w:val="18"/>
                <w:szCs w:val="18"/>
                <w:lang w:val="zh-CN" w:eastAsia="zh-CN"/>
              </w:rPr>
              <w:t>中国馆钢结构工程设计、施工、采购、交付安装及安全防坠措施</w:t>
            </w:r>
          </w:p>
        </w:tc>
      </w:tr>
      <w:tr w14:paraId="29D10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4" w:type="dxa"/>
            <w:vAlign w:val="center"/>
          </w:tcPr>
          <w:p w14:paraId="7B9FC79C">
            <w:pPr>
              <w:spacing w:before="40" w:after="40"/>
              <w:rPr>
                <w:rFonts w:hint="default"/>
                <w:b w:val="0"/>
                <w:bCs w:val="0"/>
                <w:color w:val="auto"/>
                <w:sz w:val="18"/>
                <w:szCs w:val="18"/>
                <w:lang w:val="en-US" w:eastAsia="zh-CN"/>
              </w:rPr>
            </w:pPr>
            <w:r>
              <w:rPr>
                <w:rFonts w:hint="eastAsia" w:eastAsia="微软雅黑"/>
                <w:b w:val="0"/>
                <w:bCs w:val="0"/>
                <w:color w:val="auto"/>
                <w:sz w:val="18"/>
                <w:szCs w:val="18"/>
                <w:lang w:eastAsia="zh-CN"/>
              </w:rPr>
              <w:t>迪拜</w:t>
            </w:r>
            <w:r>
              <w:rPr>
                <w:rFonts w:hint="eastAsia"/>
                <w:b w:val="0"/>
                <w:bCs w:val="0"/>
                <w:color w:val="auto"/>
                <w:sz w:val="18"/>
                <w:szCs w:val="18"/>
                <w:lang w:val="en-US" w:eastAsia="zh-CN"/>
              </w:rPr>
              <w:t>中国馆MEP项目</w:t>
            </w:r>
          </w:p>
        </w:tc>
        <w:tc>
          <w:tcPr>
            <w:tcW w:w="1000" w:type="dxa"/>
            <w:vAlign w:val="center"/>
          </w:tcPr>
          <w:p w14:paraId="3BB9A295">
            <w:pPr>
              <w:spacing w:before="40" w:after="40"/>
              <w:rPr>
                <w:rFonts w:hint="eastAsia"/>
                <w:b w:val="0"/>
                <w:bCs w:val="0"/>
                <w:color w:val="auto"/>
                <w:sz w:val="18"/>
                <w:szCs w:val="18"/>
                <w:lang w:val="zh-CN" w:eastAsia="zh-CN"/>
              </w:rPr>
            </w:pPr>
            <w:r>
              <w:rPr>
                <w:rFonts w:hint="eastAsia" w:ascii="微软雅黑" w:eastAsia="微软雅黑"/>
                <w:b w:val="0"/>
                <w:bCs w:val="0"/>
                <w:color w:val="auto"/>
                <w:sz w:val="18"/>
                <w:szCs w:val="18"/>
                <w:lang w:val="zh-CN" w:eastAsia="zh-CN"/>
              </w:rPr>
              <w:t>已完工</w:t>
            </w:r>
          </w:p>
        </w:tc>
        <w:tc>
          <w:tcPr>
            <w:tcW w:w="975" w:type="dxa"/>
            <w:vAlign w:val="center"/>
          </w:tcPr>
          <w:p w14:paraId="5B9F1228">
            <w:pPr>
              <w:spacing w:before="40" w:after="40"/>
              <w:rPr>
                <w:rFonts w:hint="eastAsia"/>
                <w:b w:val="0"/>
                <w:bCs w:val="0"/>
                <w:color w:val="auto"/>
                <w:sz w:val="18"/>
                <w:szCs w:val="18"/>
                <w:lang w:val="zh-CN" w:eastAsia="zh-CN"/>
              </w:rPr>
            </w:pPr>
            <w:r>
              <w:rPr>
                <w:rFonts w:hint="eastAsia" w:ascii="微软雅黑" w:eastAsia="微软雅黑"/>
                <w:b w:val="0"/>
                <w:bCs w:val="0"/>
                <w:color w:val="auto"/>
                <w:sz w:val="18"/>
                <w:szCs w:val="18"/>
                <w:lang w:val="zh-CN" w:eastAsia="zh-CN"/>
              </w:rPr>
              <w:t>民用建筑</w:t>
            </w:r>
          </w:p>
        </w:tc>
        <w:tc>
          <w:tcPr>
            <w:tcW w:w="1675" w:type="dxa"/>
            <w:vAlign w:val="center"/>
          </w:tcPr>
          <w:p w14:paraId="0088752E">
            <w:pPr>
              <w:spacing w:before="40" w:after="40" w:line="240" w:lineRule="auto"/>
              <w:rPr>
                <w:rFonts w:hint="default"/>
                <w:b w:val="0"/>
                <w:bCs w:val="0"/>
                <w:color w:val="auto"/>
                <w:sz w:val="18"/>
                <w:szCs w:val="18"/>
                <w:lang w:val="en-US" w:eastAsia="zh-CN"/>
              </w:rPr>
            </w:pPr>
            <w:r>
              <w:rPr>
                <w:rFonts w:hint="eastAsia"/>
                <w:b w:val="0"/>
                <w:bCs w:val="0"/>
                <w:color w:val="auto"/>
                <w:sz w:val="18"/>
                <w:szCs w:val="18"/>
                <w:lang w:val="en-US" w:eastAsia="zh-CN"/>
              </w:rPr>
              <w:t>823万AED</w:t>
            </w:r>
          </w:p>
        </w:tc>
        <w:tc>
          <w:tcPr>
            <w:tcW w:w="3266" w:type="dxa"/>
            <w:vAlign w:val="center"/>
          </w:tcPr>
          <w:p w14:paraId="0E0427BA">
            <w:pPr>
              <w:spacing w:before="40" w:after="40"/>
              <w:rPr>
                <w:rFonts w:hint="eastAsia"/>
                <w:b w:val="0"/>
                <w:bCs w:val="0"/>
                <w:color w:val="auto"/>
                <w:sz w:val="18"/>
                <w:szCs w:val="18"/>
                <w:lang w:val="zh-CN" w:eastAsia="zh-CN"/>
              </w:rPr>
            </w:pPr>
            <w:r>
              <w:rPr>
                <w:rFonts w:hint="eastAsia" w:ascii="微软雅黑" w:eastAsia="微软雅黑"/>
                <w:b w:val="0"/>
                <w:bCs w:val="0"/>
                <w:color w:val="auto"/>
                <w:sz w:val="18"/>
                <w:szCs w:val="18"/>
                <w:lang w:val="zh-CN" w:eastAsia="zh-CN"/>
              </w:rPr>
              <w:t>中国馆MEP工程施工（设计、供货、安装、测试、维护、验收、通风消防系统等）</w:t>
            </w:r>
          </w:p>
        </w:tc>
      </w:tr>
      <w:tr w14:paraId="386B0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4" w:type="dxa"/>
            <w:vAlign w:val="center"/>
          </w:tcPr>
          <w:p w14:paraId="540D3D0F">
            <w:pPr>
              <w:spacing w:before="40" w:after="40"/>
              <w:rPr>
                <w:rFonts w:hint="default"/>
                <w:b w:val="0"/>
                <w:bCs w:val="0"/>
                <w:color w:val="auto"/>
                <w:sz w:val="18"/>
                <w:szCs w:val="18"/>
                <w:lang w:val="en-US" w:eastAsia="zh-CN"/>
              </w:rPr>
            </w:pPr>
            <w:r>
              <w:rPr>
                <w:rFonts w:hint="eastAsia"/>
                <w:b w:val="0"/>
                <w:bCs w:val="0"/>
                <w:color w:val="auto"/>
                <w:sz w:val="18"/>
                <w:szCs w:val="18"/>
                <w:lang w:val="en-US" w:eastAsia="zh-CN"/>
              </w:rPr>
              <w:t>全球氟化工项目</w:t>
            </w:r>
          </w:p>
        </w:tc>
        <w:tc>
          <w:tcPr>
            <w:tcW w:w="1000" w:type="dxa"/>
            <w:vAlign w:val="center"/>
          </w:tcPr>
          <w:p w14:paraId="1AEC52A0">
            <w:pPr>
              <w:spacing w:before="40" w:after="40"/>
              <w:rPr>
                <w:rFonts w:hint="eastAsia"/>
                <w:b w:val="0"/>
                <w:bCs w:val="0"/>
                <w:color w:val="auto"/>
                <w:sz w:val="18"/>
                <w:szCs w:val="18"/>
                <w:lang w:val="zh-CN" w:eastAsia="zh-CN"/>
              </w:rPr>
            </w:pPr>
            <w:r>
              <w:rPr>
                <w:rFonts w:hint="eastAsia" w:ascii="微软雅黑" w:eastAsia="微软雅黑"/>
                <w:b w:val="0"/>
                <w:bCs w:val="0"/>
                <w:color w:val="auto"/>
                <w:sz w:val="18"/>
                <w:szCs w:val="18"/>
                <w:lang w:val="zh-CN" w:eastAsia="zh-CN"/>
              </w:rPr>
              <w:t>已完工</w:t>
            </w:r>
          </w:p>
        </w:tc>
        <w:tc>
          <w:tcPr>
            <w:tcW w:w="975" w:type="dxa"/>
            <w:vAlign w:val="center"/>
          </w:tcPr>
          <w:p w14:paraId="772A865C">
            <w:pPr>
              <w:spacing w:before="40" w:after="40"/>
              <w:rPr>
                <w:rFonts w:hint="eastAsia"/>
                <w:b w:val="0"/>
                <w:bCs w:val="0"/>
                <w:color w:val="auto"/>
                <w:sz w:val="18"/>
                <w:szCs w:val="18"/>
                <w:lang w:val="zh-CN" w:eastAsia="zh-CN"/>
              </w:rPr>
            </w:pPr>
            <w:r>
              <w:rPr>
                <w:rFonts w:hint="eastAsia" w:ascii="微软雅黑" w:eastAsia="微软雅黑"/>
                <w:b w:val="0"/>
                <w:bCs w:val="0"/>
                <w:color w:val="auto"/>
                <w:sz w:val="18"/>
                <w:szCs w:val="18"/>
                <w:lang w:val="zh-CN" w:eastAsia="zh-CN"/>
              </w:rPr>
              <w:t>日用化工</w:t>
            </w:r>
          </w:p>
        </w:tc>
        <w:tc>
          <w:tcPr>
            <w:tcW w:w="1675" w:type="dxa"/>
            <w:vAlign w:val="center"/>
          </w:tcPr>
          <w:p w14:paraId="35716724">
            <w:pPr>
              <w:spacing w:before="40" w:after="40" w:line="240" w:lineRule="auto"/>
              <w:rPr>
                <w:rFonts w:hint="default"/>
                <w:b w:val="0"/>
                <w:bCs w:val="0"/>
                <w:color w:val="auto"/>
                <w:sz w:val="18"/>
                <w:szCs w:val="18"/>
                <w:lang w:val="en-US" w:eastAsia="zh-CN"/>
              </w:rPr>
            </w:pPr>
            <w:r>
              <w:rPr>
                <w:rFonts w:hint="eastAsia" w:eastAsia="微软雅黑"/>
                <w:b w:val="0"/>
                <w:bCs w:val="0"/>
                <w:color w:val="auto"/>
                <w:sz w:val="18"/>
                <w:szCs w:val="18"/>
                <w:lang w:eastAsia="zh-CN"/>
              </w:rPr>
              <w:t>11,765万</w:t>
            </w:r>
            <w:r>
              <w:rPr>
                <w:rFonts w:hint="eastAsia"/>
                <w:b w:val="0"/>
                <w:bCs w:val="0"/>
                <w:color w:val="auto"/>
                <w:sz w:val="18"/>
                <w:szCs w:val="18"/>
                <w:lang w:val="en-US" w:eastAsia="zh-CN"/>
              </w:rPr>
              <w:t>AED</w:t>
            </w:r>
          </w:p>
        </w:tc>
        <w:tc>
          <w:tcPr>
            <w:tcW w:w="3266" w:type="dxa"/>
            <w:vAlign w:val="center"/>
          </w:tcPr>
          <w:p w14:paraId="5A8EA352">
            <w:pPr>
              <w:spacing w:before="40" w:after="40"/>
              <w:rPr>
                <w:rFonts w:hint="eastAsia"/>
                <w:b w:val="0"/>
                <w:bCs w:val="0"/>
                <w:color w:val="auto"/>
                <w:sz w:val="18"/>
                <w:szCs w:val="18"/>
                <w:lang w:val="zh-CN" w:eastAsia="zh-CN"/>
              </w:rPr>
            </w:pPr>
            <w:r>
              <w:rPr>
                <w:rFonts w:hint="eastAsia" w:eastAsia="微软雅黑"/>
                <w:b w:val="0"/>
                <w:bCs w:val="0"/>
                <w:color w:val="auto"/>
                <w:sz w:val="18"/>
                <w:szCs w:val="18"/>
                <w:lang w:eastAsia="zh-CN"/>
              </w:rPr>
              <w:t>工业园区</w:t>
            </w:r>
            <w:r>
              <w:rPr>
                <w:b w:val="0"/>
                <w:bCs w:val="0"/>
                <w:color w:val="auto"/>
                <w:sz w:val="18"/>
                <w:szCs w:val="18"/>
                <w:lang w:eastAsia="zh-CN"/>
              </w:rPr>
              <w:t>氟化和氯碱化工装置，中央控制大楼、车间和厂区等土建工程和配套机电工程</w:t>
            </w:r>
          </w:p>
        </w:tc>
      </w:tr>
      <w:tr w14:paraId="5E166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4" w:type="dxa"/>
            <w:vAlign w:val="center"/>
          </w:tcPr>
          <w:p w14:paraId="7E2B9358">
            <w:pPr>
              <w:spacing w:before="40" w:after="40"/>
              <w:rPr>
                <w:rFonts w:hint="eastAsia"/>
                <w:b w:val="0"/>
                <w:bCs w:val="0"/>
                <w:color w:val="auto"/>
                <w:sz w:val="18"/>
                <w:szCs w:val="18"/>
                <w:lang w:val="zh-CN" w:eastAsia="zh-CN"/>
              </w:rPr>
            </w:pPr>
            <w:r>
              <w:rPr>
                <w:b w:val="0"/>
                <w:bCs w:val="0"/>
                <w:color w:val="auto"/>
              </w:rPr>
              <w:fldChar w:fldCharType="begin"/>
            </w:r>
            <w:r>
              <w:rPr>
                <w:b w:val="0"/>
                <w:bCs w:val="0"/>
                <w:color w:val="auto"/>
              </w:rPr>
              <w:instrText xml:space="preserve"> HYPERLINK "javascript:void(0)" \o "Munger Oil Services Maintenance Workshop Project-商机" </w:instrText>
            </w:r>
            <w:r>
              <w:rPr>
                <w:b w:val="0"/>
                <w:bCs w:val="0"/>
                <w:color w:val="auto"/>
              </w:rPr>
              <w:fldChar w:fldCharType="separate"/>
            </w:r>
            <w:r>
              <w:rPr>
                <w:rStyle w:val="139"/>
                <w:b w:val="0"/>
                <w:bCs w:val="0"/>
                <w:color w:val="auto"/>
                <w:sz w:val="18"/>
                <w:szCs w:val="18"/>
                <w:u w:val="none"/>
                <w:lang w:eastAsia="zh-CN"/>
              </w:rPr>
              <w:t>Munger</w:t>
            </w:r>
            <w:r>
              <w:rPr>
                <w:rStyle w:val="139"/>
                <w:b w:val="0"/>
                <w:bCs w:val="0"/>
                <w:color w:val="auto"/>
                <w:sz w:val="18"/>
                <w:szCs w:val="18"/>
                <w:u w:val="none"/>
                <w:lang w:eastAsia="zh-CN"/>
              </w:rPr>
              <w:fldChar w:fldCharType="end"/>
            </w:r>
            <w:r>
              <w:rPr>
                <w:rFonts w:hint="eastAsia" w:eastAsia="微软雅黑"/>
                <w:b w:val="0"/>
                <w:bCs w:val="0"/>
                <w:color w:val="auto"/>
                <w:sz w:val="18"/>
                <w:szCs w:val="18"/>
                <w:lang w:eastAsia="zh-CN"/>
              </w:rPr>
              <w:t>咨询项目</w:t>
            </w:r>
          </w:p>
        </w:tc>
        <w:tc>
          <w:tcPr>
            <w:tcW w:w="1000" w:type="dxa"/>
            <w:vAlign w:val="center"/>
          </w:tcPr>
          <w:p w14:paraId="68C08C14">
            <w:pPr>
              <w:spacing w:before="40" w:after="40"/>
              <w:rPr>
                <w:rFonts w:hint="eastAsia"/>
                <w:b w:val="0"/>
                <w:bCs w:val="0"/>
                <w:color w:val="auto"/>
                <w:sz w:val="18"/>
                <w:szCs w:val="18"/>
                <w:lang w:val="zh-CN" w:eastAsia="zh-CN"/>
              </w:rPr>
            </w:pPr>
            <w:r>
              <w:rPr>
                <w:rFonts w:hint="eastAsia" w:ascii="微软雅黑" w:eastAsia="微软雅黑"/>
                <w:b w:val="0"/>
                <w:bCs w:val="0"/>
                <w:color w:val="auto"/>
                <w:sz w:val="18"/>
                <w:szCs w:val="18"/>
                <w:lang w:val="zh-CN" w:eastAsia="zh-CN"/>
              </w:rPr>
              <w:t>已完工</w:t>
            </w:r>
          </w:p>
        </w:tc>
        <w:tc>
          <w:tcPr>
            <w:tcW w:w="975" w:type="dxa"/>
            <w:vAlign w:val="center"/>
          </w:tcPr>
          <w:p w14:paraId="3DCAD7DF">
            <w:pPr>
              <w:spacing w:before="40" w:after="40"/>
              <w:rPr>
                <w:rFonts w:hint="eastAsia"/>
                <w:b w:val="0"/>
                <w:bCs w:val="0"/>
                <w:color w:val="auto"/>
                <w:sz w:val="18"/>
                <w:szCs w:val="18"/>
                <w:lang w:val="zh-CN" w:eastAsia="zh-CN"/>
              </w:rPr>
            </w:pPr>
            <w:r>
              <w:rPr>
                <w:rFonts w:hint="eastAsia" w:ascii="微软雅黑" w:eastAsia="微软雅黑"/>
                <w:b w:val="0"/>
                <w:bCs w:val="0"/>
                <w:color w:val="auto"/>
                <w:sz w:val="18"/>
                <w:szCs w:val="18"/>
                <w:lang w:val="zh-CN" w:eastAsia="zh-CN"/>
              </w:rPr>
              <w:t>金属制品</w:t>
            </w:r>
          </w:p>
        </w:tc>
        <w:tc>
          <w:tcPr>
            <w:tcW w:w="1675" w:type="dxa"/>
            <w:vAlign w:val="center"/>
          </w:tcPr>
          <w:p w14:paraId="29C8627A">
            <w:pPr>
              <w:spacing w:before="40" w:after="40"/>
              <w:rPr>
                <w:rFonts w:hint="default"/>
                <w:b w:val="0"/>
                <w:bCs w:val="0"/>
                <w:color w:val="auto"/>
                <w:sz w:val="18"/>
                <w:szCs w:val="18"/>
                <w:lang w:val="en-US" w:eastAsia="zh-CN"/>
              </w:rPr>
            </w:pPr>
            <w:r>
              <w:rPr>
                <w:rFonts w:hint="eastAsia" w:eastAsia="微软雅黑"/>
                <w:b w:val="0"/>
                <w:bCs w:val="0"/>
                <w:color w:val="auto"/>
                <w:sz w:val="18"/>
                <w:szCs w:val="18"/>
                <w:lang w:eastAsia="zh-CN"/>
              </w:rPr>
              <w:t>65万</w:t>
            </w:r>
            <w:r>
              <w:rPr>
                <w:rFonts w:hint="eastAsia"/>
                <w:b w:val="0"/>
                <w:bCs w:val="0"/>
                <w:color w:val="auto"/>
                <w:sz w:val="18"/>
                <w:szCs w:val="18"/>
                <w:lang w:val="en-US" w:eastAsia="zh-CN"/>
              </w:rPr>
              <w:t>AED</w:t>
            </w:r>
          </w:p>
        </w:tc>
        <w:tc>
          <w:tcPr>
            <w:tcW w:w="3266" w:type="dxa"/>
            <w:vAlign w:val="center"/>
          </w:tcPr>
          <w:p w14:paraId="07769B58">
            <w:pPr>
              <w:spacing w:before="40" w:after="40"/>
              <w:rPr>
                <w:rFonts w:hint="eastAsia"/>
                <w:b w:val="0"/>
                <w:bCs w:val="0"/>
                <w:color w:val="auto"/>
                <w:sz w:val="18"/>
                <w:szCs w:val="18"/>
                <w:lang w:val="zh-CN" w:eastAsia="zh-CN"/>
              </w:rPr>
            </w:pPr>
            <w:r>
              <w:rPr>
                <w:rFonts w:hint="eastAsia" w:ascii="微软雅黑" w:eastAsia="微软雅黑"/>
                <w:b w:val="0"/>
                <w:bCs w:val="0"/>
                <w:color w:val="auto"/>
                <w:sz w:val="18"/>
                <w:szCs w:val="18"/>
                <w:lang w:val="zh-CN" w:eastAsia="zh-CN"/>
              </w:rPr>
              <w:t>重装和轻装机修车间、仓库、变电站厂区及道路建设咨询管理服务</w:t>
            </w:r>
          </w:p>
        </w:tc>
      </w:tr>
      <w:tr w14:paraId="3829B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4" w:type="dxa"/>
            <w:vAlign w:val="center"/>
          </w:tcPr>
          <w:p w14:paraId="1E1B15C9">
            <w:pPr>
              <w:spacing w:before="40" w:after="40"/>
              <w:rPr>
                <w:rFonts w:hint="default"/>
                <w:b w:val="0"/>
                <w:bCs w:val="0"/>
                <w:color w:val="auto"/>
                <w:sz w:val="18"/>
                <w:szCs w:val="18"/>
                <w:lang w:val="en-US" w:eastAsia="zh-CN"/>
              </w:rPr>
            </w:pPr>
            <w:r>
              <w:rPr>
                <w:rFonts w:hint="eastAsia"/>
                <w:b w:val="0"/>
                <w:bCs w:val="0"/>
                <w:color w:val="auto"/>
                <w:sz w:val="18"/>
                <w:szCs w:val="18"/>
                <w:lang w:val="en-US" w:eastAsia="zh-CN"/>
              </w:rPr>
              <w:t>机修车间项目</w:t>
            </w:r>
          </w:p>
        </w:tc>
        <w:tc>
          <w:tcPr>
            <w:tcW w:w="1000" w:type="dxa"/>
            <w:vAlign w:val="center"/>
          </w:tcPr>
          <w:p w14:paraId="101F7A8B">
            <w:pPr>
              <w:spacing w:before="40" w:after="40"/>
              <w:rPr>
                <w:rFonts w:hint="eastAsia"/>
                <w:b w:val="0"/>
                <w:bCs w:val="0"/>
                <w:color w:val="auto"/>
                <w:sz w:val="18"/>
                <w:szCs w:val="18"/>
                <w:lang w:val="zh-CN" w:eastAsia="zh-CN"/>
              </w:rPr>
            </w:pPr>
            <w:r>
              <w:rPr>
                <w:rFonts w:hint="eastAsia" w:ascii="微软雅黑" w:eastAsia="微软雅黑"/>
                <w:b w:val="0"/>
                <w:bCs w:val="0"/>
                <w:color w:val="auto"/>
                <w:sz w:val="18"/>
                <w:szCs w:val="18"/>
                <w:lang w:val="zh-CN" w:eastAsia="zh-CN"/>
              </w:rPr>
              <w:t>执行中</w:t>
            </w:r>
          </w:p>
        </w:tc>
        <w:tc>
          <w:tcPr>
            <w:tcW w:w="975" w:type="dxa"/>
            <w:vAlign w:val="center"/>
          </w:tcPr>
          <w:p w14:paraId="22ACD4A7">
            <w:pPr>
              <w:spacing w:before="40" w:after="40"/>
              <w:rPr>
                <w:rFonts w:hint="eastAsia"/>
                <w:b w:val="0"/>
                <w:bCs w:val="0"/>
                <w:color w:val="auto"/>
                <w:sz w:val="18"/>
                <w:szCs w:val="18"/>
                <w:lang w:val="zh-CN" w:eastAsia="zh-CN"/>
              </w:rPr>
            </w:pPr>
            <w:r>
              <w:rPr>
                <w:rFonts w:hint="eastAsia" w:ascii="微软雅黑" w:eastAsia="微软雅黑"/>
                <w:b w:val="0"/>
                <w:bCs w:val="0"/>
                <w:color w:val="auto"/>
                <w:sz w:val="18"/>
                <w:szCs w:val="18"/>
                <w:lang w:val="zh-CN" w:eastAsia="zh-CN"/>
              </w:rPr>
              <w:t>金属制品</w:t>
            </w:r>
          </w:p>
        </w:tc>
        <w:tc>
          <w:tcPr>
            <w:tcW w:w="1675" w:type="dxa"/>
            <w:vAlign w:val="center"/>
          </w:tcPr>
          <w:p w14:paraId="5B66E04F">
            <w:pPr>
              <w:spacing w:before="40" w:after="40"/>
              <w:rPr>
                <w:rFonts w:hint="default"/>
                <w:b w:val="0"/>
                <w:bCs w:val="0"/>
                <w:color w:val="auto"/>
                <w:sz w:val="18"/>
                <w:szCs w:val="18"/>
                <w:lang w:val="en-US" w:eastAsia="zh-CN"/>
              </w:rPr>
            </w:pPr>
            <w:r>
              <w:rPr>
                <w:rFonts w:hint="eastAsia"/>
                <w:b w:val="0"/>
                <w:bCs w:val="0"/>
                <w:color w:val="auto"/>
                <w:sz w:val="18"/>
                <w:szCs w:val="18"/>
                <w:lang w:val="en-US" w:eastAsia="zh-CN"/>
              </w:rPr>
              <w:t>3,450万AED</w:t>
            </w:r>
          </w:p>
        </w:tc>
        <w:tc>
          <w:tcPr>
            <w:tcW w:w="3266" w:type="dxa"/>
            <w:vAlign w:val="center"/>
          </w:tcPr>
          <w:p w14:paraId="14B82825">
            <w:pPr>
              <w:spacing w:before="40" w:after="40"/>
              <w:rPr>
                <w:rFonts w:hint="eastAsia"/>
                <w:b w:val="0"/>
                <w:bCs w:val="0"/>
                <w:color w:val="auto"/>
                <w:sz w:val="18"/>
                <w:szCs w:val="18"/>
                <w:lang w:val="zh-CN" w:eastAsia="zh-CN"/>
              </w:rPr>
            </w:pPr>
            <w:r>
              <w:rPr>
                <w:b w:val="0"/>
                <w:bCs w:val="0"/>
                <w:color w:val="auto"/>
                <w:sz w:val="18"/>
                <w:szCs w:val="18"/>
                <w:lang w:val="zh-CN" w:eastAsia="zh-CN"/>
              </w:rPr>
              <w:t>机修车间（重装车间、轻装车间、打砂车间、库房）、配电房、泵房和门卫的施工图纸深化设计和施工（包括桩基、基础、钢结构及围护、机电、工程监理和项目管理）</w:t>
            </w:r>
          </w:p>
        </w:tc>
      </w:tr>
      <w:tr w14:paraId="7F8BF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4" w:type="dxa"/>
            <w:vAlign w:val="center"/>
          </w:tcPr>
          <w:p w14:paraId="0CB2F1D1">
            <w:pPr>
              <w:spacing w:before="40" w:after="40"/>
              <w:rPr>
                <w:rFonts w:hint="default"/>
                <w:b w:val="0"/>
                <w:bCs w:val="0"/>
                <w:color w:val="auto"/>
                <w:sz w:val="18"/>
                <w:szCs w:val="18"/>
                <w:lang w:val="en-US" w:eastAsia="zh-CN"/>
              </w:rPr>
            </w:pPr>
            <w:r>
              <w:rPr>
                <w:rFonts w:hint="eastAsia"/>
                <w:b w:val="0"/>
                <w:bCs w:val="0"/>
                <w:color w:val="auto"/>
                <w:sz w:val="18"/>
                <w:szCs w:val="18"/>
                <w:lang w:val="en-US" w:eastAsia="zh-CN"/>
              </w:rPr>
              <w:t>CCCI全过程咨询项目</w:t>
            </w:r>
          </w:p>
        </w:tc>
        <w:tc>
          <w:tcPr>
            <w:tcW w:w="1000" w:type="dxa"/>
            <w:vAlign w:val="center"/>
          </w:tcPr>
          <w:p w14:paraId="47F3965F">
            <w:pPr>
              <w:spacing w:before="40" w:after="40"/>
              <w:rPr>
                <w:rFonts w:hint="eastAsia"/>
                <w:b w:val="0"/>
                <w:bCs w:val="0"/>
                <w:color w:val="auto"/>
                <w:sz w:val="18"/>
                <w:szCs w:val="18"/>
                <w:lang w:val="zh-CN" w:eastAsia="zh-CN"/>
              </w:rPr>
            </w:pPr>
            <w:r>
              <w:rPr>
                <w:rFonts w:hint="eastAsia" w:ascii="微软雅黑" w:eastAsia="微软雅黑"/>
                <w:b w:val="0"/>
                <w:bCs w:val="0"/>
                <w:color w:val="auto"/>
                <w:sz w:val="18"/>
                <w:szCs w:val="18"/>
                <w:lang w:val="zh-CN" w:eastAsia="zh-CN"/>
              </w:rPr>
              <w:t>执行中</w:t>
            </w:r>
          </w:p>
        </w:tc>
        <w:tc>
          <w:tcPr>
            <w:tcW w:w="975" w:type="dxa"/>
            <w:vAlign w:val="center"/>
          </w:tcPr>
          <w:p w14:paraId="66DCA43C">
            <w:pPr>
              <w:spacing w:before="40" w:after="40"/>
              <w:rPr>
                <w:rFonts w:hint="eastAsia"/>
                <w:b w:val="0"/>
                <w:bCs w:val="0"/>
                <w:color w:val="auto"/>
                <w:sz w:val="18"/>
                <w:szCs w:val="18"/>
                <w:lang w:val="zh-CN" w:eastAsia="zh-CN"/>
              </w:rPr>
            </w:pPr>
            <w:r>
              <w:rPr>
                <w:rFonts w:hint="eastAsia" w:ascii="微软雅黑" w:eastAsia="微软雅黑"/>
                <w:b w:val="0"/>
                <w:bCs w:val="0"/>
                <w:color w:val="auto"/>
                <w:sz w:val="18"/>
                <w:szCs w:val="18"/>
                <w:lang w:val="zh-CN" w:eastAsia="zh-CN"/>
              </w:rPr>
              <w:t>民用建筑</w:t>
            </w:r>
          </w:p>
        </w:tc>
        <w:tc>
          <w:tcPr>
            <w:tcW w:w="1675" w:type="dxa"/>
            <w:vAlign w:val="center"/>
          </w:tcPr>
          <w:p w14:paraId="399576F3">
            <w:pPr>
              <w:spacing w:before="40" w:after="40"/>
              <w:rPr>
                <w:rFonts w:hint="default"/>
                <w:b w:val="0"/>
                <w:bCs w:val="0"/>
                <w:color w:val="auto"/>
                <w:sz w:val="18"/>
                <w:szCs w:val="18"/>
                <w:lang w:val="en-US" w:eastAsia="zh-CN"/>
              </w:rPr>
            </w:pPr>
            <w:r>
              <w:rPr>
                <w:rFonts w:hint="eastAsia" w:eastAsia="微软雅黑"/>
                <w:b w:val="0"/>
                <w:bCs w:val="0"/>
                <w:color w:val="auto"/>
                <w:sz w:val="18"/>
                <w:szCs w:val="18"/>
                <w:lang w:eastAsia="zh-CN"/>
              </w:rPr>
              <w:t>合同拆分签约</w:t>
            </w:r>
            <w:r>
              <w:rPr>
                <w:rFonts w:hint="eastAsia"/>
                <w:b w:val="0"/>
                <w:bCs w:val="0"/>
                <w:color w:val="auto"/>
                <w:sz w:val="18"/>
                <w:szCs w:val="18"/>
                <w:lang w:eastAsia="zh-CN"/>
              </w:rPr>
              <w:t>，</w:t>
            </w:r>
            <w:r>
              <w:rPr>
                <w:rFonts w:hint="eastAsia" w:eastAsia="微软雅黑"/>
                <w:b w:val="0"/>
                <w:bCs w:val="0"/>
                <w:color w:val="auto"/>
                <w:sz w:val="18"/>
                <w:szCs w:val="18"/>
                <w:lang w:eastAsia="zh-CN"/>
              </w:rPr>
              <w:t>子公</w:t>
            </w:r>
            <w:r>
              <w:rPr>
                <w:rFonts w:hint="eastAsia"/>
                <w:b w:val="0"/>
                <w:bCs w:val="0"/>
                <w:color w:val="auto"/>
                <w:sz w:val="18"/>
                <w:szCs w:val="18"/>
                <w:lang w:val="en-US" w:eastAsia="zh-CN"/>
              </w:rPr>
              <w:t>36万AED，</w:t>
            </w:r>
            <w:r>
              <w:rPr>
                <w:rFonts w:hint="eastAsia" w:eastAsia="微软雅黑"/>
                <w:b w:val="0"/>
                <w:bCs w:val="0"/>
                <w:color w:val="auto"/>
                <w:sz w:val="18"/>
                <w:szCs w:val="18"/>
                <w:lang w:eastAsia="zh-CN"/>
              </w:rPr>
              <w:t>母公司</w:t>
            </w:r>
            <w:r>
              <w:rPr>
                <w:rFonts w:hint="eastAsia"/>
                <w:b w:val="0"/>
                <w:bCs w:val="0"/>
                <w:color w:val="auto"/>
                <w:sz w:val="18"/>
                <w:szCs w:val="18"/>
                <w:lang w:val="en-US" w:eastAsia="zh-CN"/>
              </w:rPr>
              <w:t>648万CNY</w:t>
            </w:r>
          </w:p>
        </w:tc>
        <w:tc>
          <w:tcPr>
            <w:tcW w:w="3266" w:type="dxa"/>
            <w:vAlign w:val="center"/>
          </w:tcPr>
          <w:p w14:paraId="36012A5C">
            <w:pPr>
              <w:spacing w:before="40" w:after="40"/>
              <w:rPr>
                <w:rFonts w:hint="eastAsia"/>
                <w:b w:val="0"/>
                <w:bCs w:val="0"/>
                <w:color w:val="auto"/>
                <w:sz w:val="18"/>
                <w:szCs w:val="18"/>
                <w:lang w:val="zh-CN" w:eastAsia="zh-CN"/>
              </w:rPr>
            </w:pPr>
            <w:r>
              <w:rPr>
                <w:rFonts w:hint="eastAsia" w:ascii="微软雅黑" w:eastAsia="微软雅黑"/>
                <w:b w:val="0"/>
                <w:bCs w:val="0"/>
                <w:color w:val="auto"/>
                <w:sz w:val="18"/>
                <w:szCs w:val="18"/>
                <w:lang w:val="zh-CN" w:eastAsia="zh-CN"/>
              </w:rPr>
              <w:t>化工厂临建设施、桩基工程、土建工程、钢结构工程、MEP供电及施工、消防工程等全工程项目管理服务</w:t>
            </w:r>
          </w:p>
        </w:tc>
      </w:tr>
    </w:tbl>
    <w:p w14:paraId="01FF5D1F">
      <w:pPr>
        <w:pStyle w:val="5"/>
        <w:pageBreakBefore w:val="0"/>
        <w:widowControl/>
        <w:kinsoku/>
        <w:wordWrap/>
        <w:overflowPunct/>
        <w:topLinePunct w:val="0"/>
        <w:autoSpaceDE/>
        <w:autoSpaceDN/>
        <w:bidi w:val="0"/>
        <w:adjustRightInd/>
        <w:snapToGrid/>
        <w:jc w:val="both"/>
        <w:rPr>
          <w:rFonts w:hint="eastAsia" w:ascii="微软雅黑" w:hAnsi="微软雅黑" w:eastAsia="微软雅黑"/>
          <w:color w:val="auto"/>
          <w:lang w:val="zh-CN" w:eastAsia="zh-CN"/>
        </w:rPr>
      </w:pPr>
      <w:bookmarkStart w:id="21" w:name="_Toc2008"/>
      <w:r>
        <w:rPr>
          <w:rFonts w:hint="eastAsia" w:ascii="微软雅黑" w:hAnsi="微软雅黑" w:eastAsia="微软雅黑"/>
          <w:color w:val="auto"/>
          <w:lang w:val="en-US" w:eastAsia="zh-CN"/>
        </w:rPr>
        <w:t>3</w:t>
      </w:r>
      <w:r>
        <w:rPr>
          <w:rFonts w:ascii="微软雅黑" w:hAnsi="微软雅黑" w:eastAsia="微软雅黑"/>
          <w:color w:val="auto"/>
          <w:lang w:val="zh-CN" w:eastAsia="zh-CN"/>
        </w:rPr>
        <w:t>.</w:t>
      </w:r>
      <w:r>
        <w:rPr>
          <w:rFonts w:hint="eastAsia" w:ascii="微软雅黑" w:hAnsi="微软雅黑" w:eastAsia="微软雅黑"/>
          <w:color w:val="auto"/>
          <w:lang w:val="en-US" w:eastAsia="zh-CN"/>
        </w:rPr>
        <w:t>2</w:t>
      </w:r>
      <w:r>
        <w:rPr>
          <w:rFonts w:ascii="微软雅黑" w:hAnsi="微软雅黑" w:eastAsia="微软雅黑"/>
          <w:color w:val="auto"/>
          <w:lang w:val="zh-CN" w:eastAsia="zh-CN"/>
        </w:rPr>
        <w:t>.</w:t>
      </w:r>
      <w:r>
        <w:rPr>
          <w:rFonts w:hint="eastAsia" w:ascii="微软雅黑" w:hAnsi="微软雅黑" w:eastAsia="微软雅黑"/>
          <w:color w:val="auto"/>
          <w:lang w:val="en-US" w:eastAsia="zh-CN"/>
        </w:rPr>
        <w:t>3</w:t>
      </w:r>
      <w:r>
        <w:rPr>
          <w:rFonts w:ascii="微软雅黑" w:hAnsi="微软雅黑" w:eastAsia="微软雅黑"/>
          <w:color w:val="auto"/>
          <w:lang w:val="zh-CN" w:eastAsia="zh-CN"/>
        </w:rPr>
        <w:t xml:space="preserve">  </w:t>
      </w:r>
      <w:r>
        <w:rPr>
          <w:rFonts w:hint="eastAsia" w:ascii="微软雅黑" w:hAnsi="微软雅黑" w:eastAsia="微软雅黑"/>
          <w:color w:val="auto"/>
          <w:lang w:val="zh-CN" w:eastAsia="zh-CN"/>
        </w:rPr>
        <w:t>与当地中资企业协会联系情况</w:t>
      </w:r>
      <w:bookmarkEnd w:id="21"/>
    </w:p>
    <w:p w14:paraId="2000E72B">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zh-CN" w:eastAsia="zh-CN"/>
        </w:rPr>
      </w:pPr>
      <w:r>
        <w:rPr>
          <w:rFonts w:hint="eastAsia"/>
          <w:sz w:val="24"/>
          <w:szCs w:val="24"/>
          <w:lang w:val="zh-CN" w:eastAsia="zh-CN"/>
        </w:rPr>
        <w:t>阿联酋中国商会集聚了几乎所有在阿开展业务的大中型国有企业及华商私营企业，会员数量持续增长，会员范围涵盖能源、建筑、通讯、纺织、海运、空运、物流、金融、旅游、餐饮等各个行业。</w:t>
      </w:r>
    </w:p>
    <w:p w14:paraId="6E07E757">
      <w:pPr>
        <w:pageBreakBefore w:val="0"/>
        <w:widowControl/>
        <w:kinsoku/>
        <w:wordWrap/>
        <w:overflowPunct/>
        <w:topLinePunct w:val="0"/>
        <w:autoSpaceDE/>
        <w:autoSpaceDN/>
        <w:bidi w:val="0"/>
        <w:adjustRightInd/>
        <w:snapToGrid/>
        <w:spacing w:before="40" w:after="40"/>
        <w:ind w:left="567"/>
        <w:jc w:val="both"/>
        <w:rPr>
          <w:rFonts w:hint="eastAsia"/>
          <w:sz w:val="24"/>
          <w:szCs w:val="24"/>
          <w:lang w:val="zh-CN" w:eastAsia="zh-CN"/>
        </w:rPr>
      </w:pPr>
      <w:r>
        <w:rPr>
          <w:rFonts w:hint="eastAsia"/>
          <w:sz w:val="24"/>
          <w:szCs w:val="24"/>
          <w:lang w:val="zh-CN" w:eastAsia="zh-CN"/>
        </w:rPr>
        <w:t>阿联酋中国商会秘书处联系方式：</w:t>
      </w:r>
    </w:p>
    <w:p w14:paraId="5A59811D">
      <w:pPr>
        <w:pageBreakBefore w:val="0"/>
        <w:widowControl/>
        <w:kinsoku/>
        <w:wordWrap/>
        <w:overflowPunct/>
        <w:topLinePunct w:val="0"/>
        <w:autoSpaceDE/>
        <w:autoSpaceDN/>
        <w:bidi w:val="0"/>
        <w:adjustRightInd/>
        <w:snapToGrid/>
        <w:spacing w:before="40" w:after="40"/>
        <w:ind w:left="567"/>
        <w:jc w:val="both"/>
        <w:rPr>
          <w:rFonts w:hint="eastAsia"/>
          <w:sz w:val="24"/>
          <w:szCs w:val="24"/>
          <w:lang w:val="zh-CN" w:eastAsia="zh-CN"/>
        </w:rPr>
      </w:pPr>
      <w:r>
        <w:rPr>
          <w:rFonts w:hint="eastAsia"/>
          <w:sz w:val="24"/>
          <w:szCs w:val="24"/>
          <w:lang w:val="zh-CN" w:eastAsia="zh-CN"/>
        </w:rPr>
        <w:t>地址：</w:t>
      </w:r>
      <w:r>
        <w:rPr>
          <w:rFonts w:hint="eastAsia"/>
          <w:sz w:val="24"/>
          <w:szCs w:val="24"/>
          <w:lang w:val="en-US" w:eastAsia="zh-CN"/>
        </w:rPr>
        <w:t>Villa 3, Street 3, Mirador, Arabian Ranches</w:t>
      </w:r>
      <w:r>
        <w:rPr>
          <w:rFonts w:hint="eastAsia"/>
          <w:sz w:val="24"/>
          <w:szCs w:val="24"/>
          <w:lang w:val="zh-CN" w:eastAsia="zh-CN"/>
        </w:rPr>
        <w:t>, Dubai, UAE（迪拜</w:t>
      </w:r>
      <w:r>
        <w:rPr>
          <w:rFonts w:hint="eastAsia"/>
          <w:sz w:val="24"/>
          <w:szCs w:val="24"/>
          <w:lang w:val="en-US" w:eastAsia="zh-CN"/>
        </w:rPr>
        <w:t>阿拉伯牧场别墅区</w:t>
      </w:r>
      <w:r>
        <w:rPr>
          <w:rFonts w:hint="eastAsia"/>
          <w:sz w:val="24"/>
          <w:szCs w:val="24"/>
          <w:lang w:val="zh-CN" w:eastAsia="zh-CN"/>
        </w:rPr>
        <w:t>）</w:t>
      </w:r>
    </w:p>
    <w:p w14:paraId="08565071">
      <w:pPr>
        <w:pageBreakBefore w:val="0"/>
        <w:widowControl/>
        <w:kinsoku/>
        <w:wordWrap/>
        <w:overflowPunct/>
        <w:topLinePunct w:val="0"/>
        <w:autoSpaceDE/>
        <w:autoSpaceDN/>
        <w:bidi w:val="0"/>
        <w:adjustRightInd/>
        <w:snapToGrid/>
        <w:spacing w:before="40" w:after="40"/>
        <w:ind w:left="567"/>
        <w:jc w:val="both"/>
        <w:rPr>
          <w:rFonts w:hint="eastAsia"/>
          <w:sz w:val="24"/>
          <w:szCs w:val="24"/>
          <w:lang w:val="zh-CN" w:eastAsia="zh-CN"/>
        </w:rPr>
      </w:pPr>
      <w:r>
        <w:rPr>
          <w:rFonts w:hint="eastAsia"/>
          <w:sz w:val="24"/>
          <w:szCs w:val="24"/>
          <w:lang w:val="en-US" w:eastAsia="zh-CN"/>
        </w:rPr>
        <w:t>座机</w:t>
      </w:r>
      <w:r>
        <w:rPr>
          <w:rFonts w:hint="eastAsia"/>
          <w:sz w:val="24"/>
          <w:szCs w:val="24"/>
          <w:lang w:val="zh-CN" w:eastAsia="zh-CN"/>
        </w:rPr>
        <w:t>：</w:t>
      </w:r>
      <w:r>
        <w:rPr>
          <w:rFonts w:hint="eastAsia"/>
          <w:sz w:val="24"/>
          <w:szCs w:val="24"/>
          <w:lang w:val="en-US" w:eastAsia="zh-CN"/>
        </w:rPr>
        <w:t>+</w:t>
      </w:r>
      <w:r>
        <w:rPr>
          <w:rFonts w:hint="eastAsia"/>
          <w:sz w:val="24"/>
          <w:szCs w:val="24"/>
          <w:lang w:val="zh-CN" w:eastAsia="zh-CN"/>
        </w:rPr>
        <w:t>971-</w:t>
      </w:r>
      <w:r>
        <w:rPr>
          <w:rFonts w:hint="eastAsia"/>
          <w:sz w:val="24"/>
          <w:szCs w:val="24"/>
          <w:lang w:val="en-US" w:eastAsia="zh-CN"/>
        </w:rPr>
        <w:t>4-</w:t>
      </w:r>
      <w:r>
        <w:rPr>
          <w:rFonts w:hint="eastAsia"/>
          <w:sz w:val="24"/>
          <w:szCs w:val="24"/>
          <w:lang w:val="zh-CN" w:eastAsia="zh-CN"/>
        </w:rPr>
        <w:t>3922852</w:t>
      </w:r>
    </w:p>
    <w:p w14:paraId="485ABE73">
      <w:pPr>
        <w:pageBreakBefore w:val="0"/>
        <w:widowControl/>
        <w:kinsoku/>
        <w:wordWrap/>
        <w:overflowPunct/>
        <w:topLinePunct w:val="0"/>
        <w:autoSpaceDE/>
        <w:autoSpaceDN/>
        <w:bidi w:val="0"/>
        <w:adjustRightInd/>
        <w:snapToGrid/>
        <w:spacing w:before="40" w:after="40"/>
        <w:ind w:left="567"/>
        <w:jc w:val="both"/>
        <w:rPr>
          <w:rFonts w:hint="eastAsia"/>
          <w:sz w:val="24"/>
          <w:szCs w:val="24"/>
          <w:lang w:val="en-US" w:eastAsia="zh-CN"/>
        </w:rPr>
      </w:pPr>
      <w:r>
        <w:rPr>
          <w:rFonts w:hint="eastAsia"/>
          <w:sz w:val="24"/>
          <w:szCs w:val="24"/>
          <w:lang w:val="en-US" w:eastAsia="zh-CN"/>
        </w:rPr>
        <w:t>手机：+971-50-6695723（程周浩）</w:t>
      </w:r>
    </w:p>
    <w:p w14:paraId="1C18B385">
      <w:pPr>
        <w:pageBreakBefore w:val="0"/>
        <w:widowControl/>
        <w:kinsoku/>
        <w:wordWrap/>
        <w:overflowPunct/>
        <w:topLinePunct w:val="0"/>
        <w:autoSpaceDE/>
        <w:autoSpaceDN/>
        <w:bidi w:val="0"/>
        <w:adjustRightInd/>
        <w:snapToGrid/>
        <w:spacing w:before="40" w:after="40"/>
        <w:ind w:left="567"/>
        <w:jc w:val="both"/>
        <w:rPr>
          <w:rFonts w:hint="default"/>
          <w:sz w:val="24"/>
          <w:szCs w:val="24"/>
          <w:lang w:val="en-US" w:eastAsia="zh-CN"/>
        </w:rPr>
      </w:pPr>
      <w:r>
        <w:rPr>
          <w:rFonts w:hint="eastAsia"/>
          <w:sz w:val="24"/>
          <w:szCs w:val="24"/>
          <w:lang w:val="en-US" w:eastAsia="zh-CN"/>
        </w:rPr>
        <w:t>历史联络人：+971-50-8264229（王祖微）</w:t>
      </w:r>
    </w:p>
    <w:p w14:paraId="6EC968E7">
      <w:pPr>
        <w:pStyle w:val="4"/>
        <w:pageBreakBefore w:val="0"/>
        <w:widowControl/>
        <w:kinsoku/>
        <w:wordWrap/>
        <w:overflowPunct/>
        <w:topLinePunct w:val="0"/>
        <w:autoSpaceDE/>
        <w:autoSpaceDN/>
        <w:bidi w:val="0"/>
        <w:adjustRightInd/>
        <w:snapToGrid/>
        <w:jc w:val="both"/>
        <w:rPr>
          <w:sz w:val="24"/>
          <w:szCs w:val="24"/>
          <w:highlight w:val="yellow"/>
          <w:lang w:val="zh-CN" w:eastAsia="zh-CN"/>
        </w:rPr>
      </w:pPr>
      <w:bookmarkStart w:id="22" w:name="_Toc16277"/>
      <w:r>
        <w:rPr>
          <w:rFonts w:ascii="微软雅黑" w:hAnsi="微软雅黑" w:eastAsia="微软雅黑"/>
          <w:color w:val="auto"/>
          <w:lang w:val="zh-CN" w:eastAsia="zh-CN"/>
        </w:rPr>
        <w:t>3.3  通用风险提示</w:t>
      </w:r>
      <w:bookmarkEnd w:id="22"/>
    </w:p>
    <w:p w14:paraId="72E5D37B">
      <w:pPr>
        <w:pStyle w:val="5"/>
        <w:pageBreakBefore w:val="0"/>
        <w:widowControl/>
        <w:kinsoku/>
        <w:wordWrap/>
        <w:overflowPunct/>
        <w:topLinePunct w:val="0"/>
        <w:autoSpaceDE/>
        <w:autoSpaceDN/>
        <w:bidi w:val="0"/>
        <w:adjustRightInd/>
        <w:snapToGrid/>
        <w:jc w:val="both"/>
        <w:rPr>
          <w:rFonts w:hint="eastAsia" w:ascii="微软雅黑" w:eastAsia="微软雅黑"/>
          <w:color w:val="auto"/>
          <w:sz w:val="24"/>
          <w:szCs w:val="24"/>
          <w:lang w:val="zh-CN" w:eastAsia="zh-CN"/>
        </w:rPr>
      </w:pPr>
      <w:bookmarkStart w:id="23" w:name="_Toc11733"/>
      <w:r>
        <w:rPr>
          <w:rFonts w:hint="eastAsia" w:ascii="微软雅黑" w:hAnsi="微软雅黑" w:eastAsia="微软雅黑"/>
          <w:color w:val="auto"/>
          <w:lang w:val="en-US" w:eastAsia="zh-CN"/>
        </w:rPr>
        <w:t>3</w:t>
      </w:r>
      <w:r>
        <w:rPr>
          <w:rFonts w:ascii="微软雅黑" w:hAnsi="微软雅黑" w:eastAsia="微软雅黑"/>
          <w:color w:val="auto"/>
          <w:lang w:val="zh-CN" w:eastAsia="zh-CN"/>
        </w:rPr>
        <w:t>.</w:t>
      </w:r>
      <w:r>
        <w:rPr>
          <w:rFonts w:hint="eastAsia" w:ascii="微软雅黑" w:hAnsi="微软雅黑" w:eastAsia="微软雅黑"/>
          <w:color w:val="auto"/>
          <w:lang w:val="en-US" w:eastAsia="zh-CN"/>
        </w:rPr>
        <w:t>3</w:t>
      </w:r>
      <w:r>
        <w:rPr>
          <w:rFonts w:ascii="微软雅黑" w:hAnsi="微软雅黑" w:eastAsia="微软雅黑"/>
          <w:color w:val="auto"/>
          <w:lang w:val="zh-CN" w:eastAsia="zh-CN"/>
        </w:rPr>
        <w:t>.</w:t>
      </w:r>
      <w:r>
        <w:rPr>
          <w:rFonts w:hint="eastAsia" w:ascii="微软雅黑" w:hAnsi="微软雅黑" w:eastAsia="微软雅黑"/>
          <w:color w:val="auto"/>
          <w:lang w:val="en-US" w:eastAsia="zh-CN"/>
        </w:rPr>
        <w:t>1</w:t>
      </w:r>
      <w:r>
        <w:rPr>
          <w:rFonts w:ascii="微软雅黑" w:hAnsi="微软雅黑" w:eastAsia="微软雅黑"/>
          <w:color w:val="auto"/>
          <w:lang w:val="zh-CN" w:eastAsia="zh-CN"/>
        </w:rPr>
        <w:t xml:space="preserve">  </w:t>
      </w:r>
      <w:r>
        <w:rPr>
          <w:rFonts w:hint="eastAsia" w:ascii="微软雅黑" w:hAnsi="微软雅黑" w:eastAsia="微软雅黑"/>
          <w:color w:val="auto"/>
          <w:lang w:val="zh-CN" w:eastAsia="zh-CN"/>
        </w:rPr>
        <w:t>汇率风险</w:t>
      </w:r>
      <w:bookmarkEnd w:id="23"/>
    </w:p>
    <w:p w14:paraId="3D8C37F2">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ascii="微软雅黑" w:eastAsia="微软雅黑"/>
          <w:color w:val="auto"/>
          <w:sz w:val="24"/>
          <w:szCs w:val="24"/>
          <w:lang w:val="zh-CN" w:eastAsia="zh-CN"/>
        </w:rPr>
      </w:pPr>
      <w:r>
        <w:rPr>
          <w:rFonts w:hint="eastAsia" w:ascii="微软雅黑" w:eastAsia="微软雅黑"/>
          <w:color w:val="auto"/>
          <w:sz w:val="24"/>
          <w:szCs w:val="24"/>
          <w:lang w:val="zh-CN" w:eastAsia="zh-CN"/>
        </w:rPr>
        <w:t>汇率形成机制：</w:t>
      </w:r>
      <w:r>
        <w:rPr>
          <w:rFonts w:hint="eastAsia"/>
          <w:color w:val="auto"/>
          <w:sz w:val="24"/>
          <w:szCs w:val="24"/>
          <w:lang w:val="zh-CN" w:eastAsia="zh-CN"/>
        </w:rPr>
        <w:t>阿联酋</w:t>
      </w:r>
      <w:r>
        <w:rPr>
          <w:rFonts w:hint="eastAsia" w:ascii="微软雅黑" w:eastAsia="微软雅黑"/>
          <w:color w:val="auto"/>
          <w:sz w:val="24"/>
          <w:szCs w:val="24"/>
          <w:lang w:val="zh-CN" w:eastAsia="zh-CN"/>
        </w:rPr>
        <w:t>实行</w:t>
      </w:r>
      <w:r>
        <w:rPr>
          <w:rFonts w:hint="eastAsia"/>
          <w:color w:val="auto"/>
          <w:sz w:val="24"/>
          <w:szCs w:val="24"/>
          <w:lang w:val="zh-CN" w:eastAsia="zh-CN"/>
        </w:rPr>
        <w:t>迪拉姆</w:t>
      </w:r>
      <w:r>
        <w:rPr>
          <w:rFonts w:hint="eastAsia" w:ascii="微软雅黑" w:eastAsia="微软雅黑"/>
          <w:color w:val="auto"/>
          <w:sz w:val="24"/>
          <w:szCs w:val="24"/>
          <w:lang w:val="zh-CN" w:eastAsia="zh-CN"/>
        </w:rPr>
        <w:t>与美元固定挂钩制度，官方汇率：1 USD =3.6725 AED，阿联酋央行长期维持该汇率不变，市场汇率常年仅在3.6720～3.6730极小区间小幅波动，几乎无大涨大跌。</w:t>
      </w:r>
    </w:p>
    <w:p w14:paraId="00D3902F">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ascii="微软雅黑" w:eastAsia="微软雅黑"/>
          <w:color w:val="auto"/>
          <w:sz w:val="24"/>
          <w:szCs w:val="24"/>
          <w:lang w:val="zh-CN" w:eastAsia="zh-CN"/>
        </w:rPr>
      </w:pPr>
      <w:r>
        <w:rPr>
          <w:rFonts w:hint="eastAsia" w:ascii="微软雅黑" w:eastAsia="微软雅黑"/>
          <w:color w:val="auto"/>
          <w:sz w:val="24"/>
          <w:szCs w:val="24"/>
          <w:lang w:val="zh-CN" w:eastAsia="zh-CN"/>
        </w:rPr>
        <w:t>迪拉姆兑人民币：跟随人民币兑美元汇率波动，近年人民币整体呈升值趋势，预计短期内会继续温和升值，但美元可能会出现阶段性反弹，中长期双向波动</w:t>
      </w:r>
      <w:r>
        <w:rPr>
          <w:rFonts w:hint="eastAsia"/>
          <w:color w:val="auto"/>
          <w:sz w:val="24"/>
          <w:szCs w:val="24"/>
          <w:lang w:val="zh-CN" w:eastAsia="zh-CN"/>
        </w:rPr>
        <w:t>，会对项目收入成本产生一定影响</w:t>
      </w:r>
      <w:r>
        <w:rPr>
          <w:rFonts w:hint="eastAsia" w:ascii="微软雅黑" w:eastAsia="微软雅黑"/>
          <w:color w:val="auto"/>
          <w:sz w:val="24"/>
          <w:szCs w:val="24"/>
          <w:lang w:val="zh-CN" w:eastAsia="zh-CN"/>
        </w:rPr>
        <w:t>。</w:t>
      </w:r>
    </w:p>
    <w:p w14:paraId="6C764F0B">
      <w:pPr>
        <w:pStyle w:val="5"/>
        <w:pageBreakBefore w:val="0"/>
        <w:widowControl/>
        <w:kinsoku/>
        <w:wordWrap/>
        <w:overflowPunct/>
        <w:topLinePunct w:val="0"/>
        <w:autoSpaceDE/>
        <w:autoSpaceDN/>
        <w:bidi w:val="0"/>
        <w:adjustRightInd/>
        <w:snapToGrid/>
        <w:jc w:val="both"/>
        <w:rPr>
          <w:rFonts w:hint="eastAsia" w:ascii="微软雅黑" w:eastAsia="微软雅黑"/>
          <w:color w:val="auto"/>
          <w:sz w:val="24"/>
          <w:szCs w:val="24"/>
          <w:lang w:val="zh-CN" w:eastAsia="zh-CN"/>
        </w:rPr>
      </w:pPr>
      <w:bookmarkStart w:id="24" w:name="_Toc16733"/>
      <w:r>
        <w:rPr>
          <w:rFonts w:hint="eastAsia" w:ascii="微软雅黑" w:hAnsi="微软雅黑" w:eastAsia="微软雅黑"/>
          <w:color w:val="auto"/>
          <w:lang w:val="en-US" w:eastAsia="zh-CN"/>
        </w:rPr>
        <w:t>3</w:t>
      </w:r>
      <w:r>
        <w:rPr>
          <w:rFonts w:ascii="微软雅黑" w:hAnsi="微软雅黑" w:eastAsia="微软雅黑"/>
          <w:color w:val="auto"/>
          <w:lang w:val="zh-CN" w:eastAsia="zh-CN"/>
        </w:rPr>
        <w:t>.</w:t>
      </w:r>
      <w:r>
        <w:rPr>
          <w:rFonts w:hint="eastAsia" w:ascii="微软雅黑" w:hAnsi="微软雅黑" w:eastAsia="微软雅黑"/>
          <w:color w:val="auto"/>
          <w:lang w:val="en-US" w:eastAsia="zh-CN"/>
        </w:rPr>
        <w:t>3</w:t>
      </w:r>
      <w:r>
        <w:rPr>
          <w:rFonts w:ascii="微软雅黑" w:hAnsi="微软雅黑" w:eastAsia="微软雅黑"/>
          <w:color w:val="auto"/>
          <w:lang w:val="zh-CN" w:eastAsia="zh-CN"/>
        </w:rPr>
        <w:t>.</w:t>
      </w:r>
      <w:r>
        <w:rPr>
          <w:rFonts w:hint="eastAsia" w:ascii="微软雅黑" w:hAnsi="微软雅黑" w:eastAsia="微软雅黑"/>
          <w:color w:val="auto"/>
          <w:lang w:val="en-US" w:eastAsia="zh-CN"/>
        </w:rPr>
        <w:t>2</w:t>
      </w:r>
      <w:r>
        <w:rPr>
          <w:rFonts w:ascii="微软雅黑" w:hAnsi="微软雅黑" w:eastAsia="微软雅黑"/>
          <w:color w:val="auto"/>
          <w:lang w:val="zh-CN" w:eastAsia="zh-CN"/>
        </w:rPr>
        <w:t xml:space="preserve">  </w:t>
      </w:r>
      <w:r>
        <w:rPr>
          <w:rFonts w:hint="eastAsia" w:ascii="微软雅黑" w:hAnsi="微软雅黑" w:eastAsia="微软雅黑"/>
          <w:color w:val="auto"/>
          <w:lang w:val="zh-CN" w:eastAsia="zh-CN"/>
        </w:rPr>
        <w:t>政治风险</w:t>
      </w:r>
      <w:bookmarkEnd w:id="24"/>
    </w:p>
    <w:p w14:paraId="5D1372F2">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ascii="微软雅黑" w:eastAsia="微软雅黑"/>
          <w:color w:val="auto"/>
          <w:sz w:val="24"/>
          <w:szCs w:val="24"/>
          <w:lang w:val="zh-CN" w:eastAsia="zh-CN"/>
        </w:rPr>
      </w:pPr>
      <w:r>
        <w:rPr>
          <w:rFonts w:hint="eastAsia" w:ascii="微软雅黑" w:eastAsia="微软雅黑"/>
          <w:color w:val="auto"/>
          <w:sz w:val="24"/>
          <w:szCs w:val="24"/>
          <w:lang w:val="zh-CN" w:eastAsia="zh-CN"/>
        </w:rPr>
        <w:t>阿联酋政局稳定，</w:t>
      </w:r>
      <w:r>
        <w:rPr>
          <w:rFonts w:hint="eastAsia"/>
          <w:color w:val="auto"/>
          <w:sz w:val="24"/>
          <w:szCs w:val="24"/>
          <w:lang w:val="zh-CN" w:eastAsia="zh-CN"/>
        </w:rPr>
        <w:t>但在一定程度上受中东政局影响，中东政局动荡会对阿联酋当地的日常经营管理不利，甚至会出现人员难以撤离的风险。从目前对阿联酋市场环境调研的情况看，整体政治风险可控。</w:t>
      </w:r>
    </w:p>
    <w:p w14:paraId="4A8A1306">
      <w:pPr>
        <w:pStyle w:val="5"/>
        <w:pageBreakBefore w:val="0"/>
        <w:widowControl/>
        <w:kinsoku/>
        <w:wordWrap/>
        <w:overflowPunct/>
        <w:topLinePunct w:val="0"/>
        <w:autoSpaceDE/>
        <w:autoSpaceDN/>
        <w:bidi w:val="0"/>
        <w:adjustRightInd/>
        <w:snapToGrid/>
        <w:jc w:val="both"/>
        <w:rPr>
          <w:rFonts w:hint="eastAsia" w:ascii="微软雅黑" w:eastAsia="微软雅黑"/>
          <w:color w:val="auto"/>
          <w:sz w:val="24"/>
          <w:szCs w:val="24"/>
          <w:lang w:val="zh-CN" w:eastAsia="zh-CN"/>
        </w:rPr>
      </w:pPr>
      <w:bookmarkStart w:id="25" w:name="_Toc20445"/>
      <w:r>
        <w:rPr>
          <w:rFonts w:hint="eastAsia" w:ascii="微软雅黑" w:hAnsi="微软雅黑" w:eastAsia="微软雅黑"/>
          <w:color w:val="auto"/>
          <w:lang w:val="en-US" w:eastAsia="zh-CN"/>
        </w:rPr>
        <w:t>3</w:t>
      </w:r>
      <w:r>
        <w:rPr>
          <w:rFonts w:ascii="微软雅黑" w:hAnsi="微软雅黑" w:eastAsia="微软雅黑"/>
          <w:color w:val="auto"/>
          <w:lang w:val="zh-CN" w:eastAsia="zh-CN"/>
        </w:rPr>
        <w:t>.</w:t>
      </w:r>
      <w:r>
        <w:rPr>
          <w:rFonts w:hint="eastAsia" w:ascii="微软雅黑" w:hAnsi="微软雅黑" w:eastAsia="微软雅黑"/>
          <w:color w:val="auto"/>
          <w:lang w:val="en-US" w:eastAsia="zh-CN"/>
        </w:rPr>
        <w:t>3</w:t>
      </w:r>
      <w:r>
        <w:rPr>
          <w:rFonts w:ascii="微软雅黑" w:hAnsi="微软雅黑" w:eastAsia="微软雅黑"/>
          <w:color w:val="auto"/>
          <w:lang w:val="zh-CN" w:eastAsia="zh-CN"/>
        </w:rPr>
        <w:t>.</w:t>
      </w:r>
      <w:r>
        <w:rPr>
          <w:rFonts w:hint="eastAsia" w:ascii="微软雅黑" w:hAnsi="微软雅黑" w:eastAsia="微软雅黑"/>
          <w:color w:val="auto"/>
          <w:lang w:val="en-US" w:eastAsia="zh-CN"/>
        </w:rPr>
        <w:t>3</w:t>
      </w:r>
      <w:r>
        <w:rPr>
          <w:rFonts w:ascii="微软雅黑" w:hAnsi="微软雅黑" w:eastAsia="微软雅黑"/>
          <w:color w:val="auto"/>
          <w:lang w:val="zh-CN" w:eastAsia="zh-CN"/>
        </w:rPr>
        <w:t xml:space="preserve">  </w:t>
      </w:r>
      <w:r>
        <w:rPr>
          <w:rFonts w:hint="eastAsia" w:ascii="微软雅黑" w:hAnsi="微软雅黑" w:eastAsia="微软雅黑"/>
          <w:color w:val="auto"/>
          <w:lang w:val="zh-CN" w:eastAsia="zh-CN"/>
        </w:rPr>
        <w:t>安全风险</w:t>
      </w:r>
      <w:bookmarkEnd w:id="25"/>
    </w:p>
    <w:p w14:paraId="7DE014B7">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color w:val="auto"/>
          <w:sz w:val="24"/>
          <w:szCs w:val="24"/>
          <w:lang w:val="zh-CN" w:eastAsia="zh-CN"/>
        </w:rPr>
      </w:pPr>
      <w:r>
        <w:rPr>
          <w:rFonts w:hint="eastAsia" w:ascii="微软雅黑" w:eastAsia="微软雅黑"/>
          <w:color w:val="auto"/>
          <w:sz w:val="24"/>
          <w:szCs w:val="24"/>
          <w:lang w:val="zh-CN" w:eastAsia="zh-CN"/>
        </w:rPr>
        <w:t>阿联酋属热带沙漠气候，全年分为两季，5月至10月为热季（夏季），天气炎热潮湿，气温超过40℃，沿海地区白天气温最高达45℃以上；11月至次年4月为凉季（冬季），气温一般为15-35℃</w:t>
      </w:r>
      <w:r>
        <w:rPr>
          <w:rFonts w:hint="eastAsia"/>
          <w:color w:val="auto"/>
          <w:sz w:val="24"/>
          <w:szCs w:val="24"/>
          <w:lang w:val="zh-CN" w:eastAsia="zh-CN"/>
        </w:rPr>
        <w:t>，应注意防范高温、沙尘、极端天气带来的安全风险。此外，还应注意防范因人文与宗教冲突导致的安全风险。</w:t>
      </w:r>
    </w:p>
    <w:p w14:paraId="70CB0E6B">
      <w:pPr>
        <w:pStyle w:val="5"/>
        <w:pageBreakBefore w:val="0"/>
        <w:widowControl/>
        <w:kinsoku/>
        <w:wordWrap/>
        <w:overflowPunct/>
        <w:topLinePunct w:val="0"/>
        <w:autoSpaceDE/>
        <w:autoSpaceDN/>
        <w:bidi w:val="0"/>
        <w:adjustRightInd/>
        <w:snapToGrid/>
        <w:jc w:val="both"/>
        <w:rPr>
          <w:rFonts w:hint="eastAsia" w:ascii="微软雅黑" w:eastAsia="微软雅黑"/>
          <w:color w:val="auto"/>
          <w:sz w:val="24"/>
          <w:szCs w:val="24"/>
          <w:lang w:val="zh-CN" w:eastAsia="zh-CN"/>
        </w:rPr>
      </w:pPr>
      <w:bookmarkStart w:id="26" w:name="_Toc23880"/>
      <w:r>
        <w:rPr>
          <w:rFonts w:hint="eastAsia" w:ascii="微软雅黑" w:hAnsi="微软雅黑" w:eastAsia="微软雅黑"/>
          <w:color w:val="auto"/>
          <w:lang w:val="en-US" w:eastAsia="zh-CN"/>
        </w:rPr>
        <w:t>3</w:t>
      </w:r>
      <w:r>
        <w:rPr>
          <w:rFonts w:ascii="微软雅黑" w:hAnsi="微软雅黑" w:eastAsia="微软雅黑"/>
          <w:color w:val="auto"/>
          <w:lang w:val="zh-CN" w:eastAsia="zh-CN"/>
        </w:rPr>
        <w:t>.</w:t>
      </w:r>
      <w:r>
        <w:rPr>
          <w:rFonts w:hint="eastAsia" w:ascii="微软雅黑" w:hAnsi="微软雅黑" w:eastAsia="微软雅黑"/>
          <w:color w:val="auto"/>
          <w:lang w:val="en-US" w:eastAsia="zh-CN"/>
        </w:rPr>
        <w:t>3</w:t>
      </w:r>
      <w:r>
        <w:rPr>
          <w:rFonts w:ascii="微软雅黑" w:hAnsi="微软雅黑" w:eastAsia="微软雅黑"/>
          <w:color w:val="auto"/>
          <w:lang w:val="zh-CN" w:eastAsia="zh-CN"/>
        </w:rPr>
        <w:t>.</w:t>
      </w:r>
      <w:r>
        <w:rPr>
          <w:rFonts w:hint="eastAsia" w:ascii="微软雅黑" w:hAnsi="微软雅黑" w:eastAsia="微软雅黑"/>
          <w:color w:val="auto"/>
          <w:lang w:val="en-US" w:eastAsia="zh-CN"/>
        </w:rPr>
        <w:t>4</w:t>
      </w:r>
      <w:r>
        <w:rPr>
          <w:rFonts w:ascii="微软雅黑" w:hAnsi="微软雅黑" w:eastAsia="微软雅黑"/>
          <w:color w:val="auto"/>
          <w:lang w:val="zh-CN" w:eastAsia="zh-CN"/>
        </w:rPr>
        <w:t xml:space="preserve">  </w:t>
      </w:r>
      <w:r>
        <w:rPr>
          <w:rFonts w:hint="eastAsia" w:ascii="微软雅黑" w:hAnsi="微软雅黑" w:eastAsia="微软雅黑"/>
          <w:color w:val="auto"/>
          <w:lang w:val="en-US" w:eastAsia="zh-CN"/>
        </w:rPr>
        <w:t>劳工</w:t>
      </w:r>
      <w:r>
        <w:rPr>
          <w:rFonts w:hint="eastAsia" w:ascii="微软雅黑" w:hAnsi="微软雅黑" w:eastAsia="微软雅黑"/>
          <w:color w:val="auto"/>
          <w:lang w:val="zh-CN" w:eastAsia="zh-CN"/>
        </w:rPr>
        <w:t>风险</w:t>
      </w:r>
      <w:bookmarkEnd w:id="26"/>
    </w:p>
    <w:p w14:paraId="3F76BE6C">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阿联酋执行卡法拉担保制度，2026 年企业需完成 Emiratisation 本地用工配额，缺岗单岗最高年罚 10.8 万迪拉姆。薪资必须经 WPS 系统发放，拖欠薪资会罚款、冻结账户甚至移送公诉。离职需按标准支付EOSG补偿金，未办理NOC放行会限制法人出境。合同需阿英双语，工地 HSE 违规最高罚100万迪拉姆，出现安全事故还会追究负责人刑事责任。</w:t>
      </w:r>
    </w:p>
    <w:p w14:paraId="3A484F73">
      <w:pPr>
        <w:pStyle w:val="5"/>
        <w:pageBreakBefore w:val="0"/>
        <w:widowControl/>
        <w:kinsoku/>
        <w:wordWrap/>
        <w:overflowPunct/>
        <w:topLinePunct w:val="0"/>
        <w:autoSpaceDE/>
        <w:autoSpaceDN/>
        <w:bidi w:val="0"/>
        <w:adjustRightInd/>
        <w:snapToGrid/>
        <w:jc w:val="both"/>
        <w:rPr>
          <w:rFonts w:hint="eastAsia" w:ascii="微软雅黑" w:eastAsia="微软雅黑"/>
          <w:color w:val="auto"/>
          <w:sz w:val="24"/>
          <w:szCs w:val="24"/>
          <w:lang w:val="zh-CN" w:eastAsia="zh-CN"/>
        </w:rPr>
      </w:pPr>
      <w:bookmarkStart w:id="27" w:name="_Toc3512"/>
      <w:r>
        <w:rPr>
          <w:rFonts w:hint="eastAsia" w:ascii="微软雅黑" w:hAnsi="微软雅黑" w:eastAsia="微软雅黑"/>
          <w:color w:val="auto"/>
          <w:lang w:val="en-US" w:eastAsia="zh-CN"/>
        </w:rPr>
        <w:t>3</w:t>
      </w:r>
      <w:r>
        <w:rPr>
          <w:rFonts w:ascii="微软雅黑" w:hAnsi="微软雅黑" w:eastAsia="微软雅黑"/>
          <w:color w:val="auto"/>
          <w:lang w:val="zh-CN" w:eastAsia="zh-CN"/>
        </w:rPr>
        <w:t>.</w:t>
      </w:r>
      <w:r>
        <w:rPr>
          <w:rFonts w:hint="eastAsia" w:ascii="微软雅黑" w:hAnsi="微软雅黑" w:eastAsia="微软雅黑"/>
          <w:color w:val="auto"/>
          <w:lang w:val="en-US" w:eastAsia="zh-CN"/>
        </w:rPr>
        <w:t>3</w:t>
      </w:r>
      <w:r>
        <w:rPr>
          <w:rFonts w:ascii="微软雅黑" w:hAnsi="微软雅黑" w:eastAsia="微软雅黑"/>
          <w:color w:val="auto"/>
          <w:lang w:val="zh-CN" w:eastAsia="zh-CN"/>
        </w:rPr>
        <w:t>.</w:t>
      </w:r>
      <w:r>
        <w:rPr>
          <w:rFonts w:hint="eastAsia" w:ascii="微软雅黑" w:hAnsi="微软雅黑" w:eastAsia="微软雅黑"/>
          <w:color w:val="auto"/>
          <w:lang w:val="en-US" w:eastAsia="zh-CN"/>
        </w:rPr>
        <w:t>5</w:t>
      </w:r>
      <w:r>
        <w:rPr>
          <w:rFonts w:ascii="微软雅黑" w:hAnsi="微软雅黑" w:eastAsia="微软雅黑"/>
          <w:color w:val="auto"/>
          <w:lang w:val="zh-CN" w:eastAsia="zh-CN"/>
        </w:rPr>
        <w:t xml:space="preserve">  </w:t>
      </w:r>
      <w:r>
        <w:rPr>
          <w:rFonts w:hint="eastAsia" w:ascii="微软雅黑" w:hAnsi="微软雅黑" w:eastAsia="微软雅黑"/>
          <w:color w:val="auto"/>
          <w:lang w:val="en-US" w:eastAsia="zh-CN"/>
        </w:rPr>
        <w:t>技术</w:t>
      </w:r>
      <w:r>
        <w:rPr>
          <w:rFonts w:hint="eastAsia" w:ascii="微软雅黑" w:hAnsi="微软雅黑" w:eastAsia="微软雅黑"/>
          <w:color w:val="auto"/>
          <w:lang w:val="zh-CN" w:eastAsia="zh-CN"/>
        </w:rPr>
        <w:t>风险</w:t>
      </w:r>
      <w:bookmarkEnd w:id="27"/>
    </w:p>
    <w:p w14:paraId="3FCA4E85">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lang w:eastAsia="zh-CN"/>
        </w:rPr>
      </w:pPr>
      <w:r>
        <w:rPr>
          <w:rFonts w:hint="eastAsia"/>
          <w:sz w:val="24"/>
          <w:szCs w:val="28"/>
          <w:lang w:val="zh-CN" w:eastAsia="zh-CN"/>
        </w:rPr>
        <w:t>工程建材、设备需持有 ESMA、DCL、QCC强制认证，无证产品清关扣押并处1万-50万迪拉姆罚款。施工要遵守阿布扎比 OSHAD、迪拜市政绿色建筑及高温、消防本地技术规范，非标材料会勒令停工拆除。油气、新能源项目另有业主专项检测标准，无合规认证将无法通过验收，造成大额停工损失。</w:t>
      </w:r>
      <w:r>
        <w:rPr>
          <w:lang w:val="zh-CN" w:eastAsia="zh-CN"/>
        </w:rPr>
        <w:br w:type="page"/>
      </w:r>
    </w:p>
    <w:p w14:paraId="4F330DAC">
      <w:pPr>
        <w:pStyle w:val="3"/>
        <w:pageBreakBefore w:val="0"/>
        <w:widowControl/>
        <w:kinsoku/>
        <w:wordWrap/>
        <w:overflowPunct/>
        <w:topLinePunct w:val="0"/>
        <w:autoSpaceDE/>
        <w:autoSpaceDN/>
        <w:bidi w:val="0"/>
        <w:adjustRightInd/>
        <w:snapToGrid/>
        <w:jc w:val="both"/>
        <w:rPr>
          <w:rFonts w:ascii="微软雅黑" w:hAnsi="微软雅黑" w:eastAsia="微软雅黑"/>
          <w:color w:val="auto"/>
          <w:lang w:eastAsia="zh-CN"/>
        </w:rPr>
      </w:pPr>
      <w:bookmarkStart w:id="28" w:name="_Toc10243"/>
      <w:r>
        <w:rPr>
          <w:rFonts w:ascii="微软雅黑" w:hAnsi="微软雅黑" w:eastAsia="微软雅黑"/>
          <w:color w:val="auto"/>
          <w:lang w:val="zh-CN" w:eastAsia="zh-CN"/>
        </w:rPr>
        <w:t>第四章  国别财税与外汇监管环境</w:t>
      </w:r>
      <w:bookmarkEnd w:id="28"/>
    </w:p>
    <w:p w14:paraId="458FC256">
      <w:pPr>
        <w:pStyle w:val="4"/>
        <w:pageBreakBefore w:val="0"/>
        <w:widowControl/>
        <w:kinsoku/>
        <w:wordWrap/>
        <w:overflowPunct/>
        <w:topLinePunct w:val="0"/>
        <w:autoSpaceDE/>
        <w:autoSpaceDN/>
        <w:bidi w:val="0"/>
        <w:adjustRightInd/>
        <w:snapToGrid/>
        <w:jc w:val="both"/>
        <w:rPr>
          <w:rFonts w:ascii="微软雅黑" w:hAnsi="微软雅黑" w:eastAsia="微软雅黑"/>
          <w:color w:val="auto"/>
          <w:lang w:eastAsia="zh-CN"/>
        </w:rPr>
      </w:pPr>
      <w:bookmarkStart w:id="29" w:name="_Toc30016"/>
      <w:r>
        <w:rPr>
          <w:rFonts w:ascii="微软雅黑" w:hAnsi="微软雅黑" w:eastAsia="微软雅黑"/>
          <w:color w:val="auto"/>
          <w:lang w:val="zh-CN" w:eastAsia="zh-CN"/>
        </w:rPr>
        <w:t>4.1  属地监管体系</w:t>
      </w:r>
      <w:bookmarkEnd w:id="29"/>
    </w:p>
    <w:p w14:paraId="630B955E">
      <w:pPr>
        <w:pStyle w:val="5"/>
        <w:pageBreakBefore w:val="0"/>
        <w:widowControl/>
        <w:kinsoku/>
        <w:wordWrap/>
        <w:overflowPunct/>
        <w:topLinePunct w:val="0"/>
        <w:autoSpaceDE/>
        <w:autoSpaceDN/>
        <w:bidi w:val="0"/>
        <w:adjustRightInd/>
        <w:snapToGrid/>
        <w:jc w:val="both"/>
        <w:rPr>
          <w:rFonts w:hint="eastAsia"/>
          <w:sz w:val="24"/>
          <w:szCs w:val="28"/>
          <w:lang w:val="zh-CN" w:eastAsia="zh-CN"/>
        </w:rPr>
      </w:pPr>
      <w:bookmarkStart w:id="30" w:name="_Toc7261"/>
      <w:r>
        <w:rPr>
          <w:rFonts w:hint="eastAsia" w:ascii="微软雅黑" w:hAnsi="微软雅黑" w:eastAsia="微软雅黑"/>
          <w:color w:val="auto"/>
          <w:lang w:val="en-US" w:eastAsia="zh-CN"/>
        </w:rPr>
        <w:t>4</w:t>
      </w:r>
      <w:r>
        <w:rPr>
          <w:rFonts w:ascii="微软雅黑" w:hAnsi="微软雅黑" w:eastAsia="微软雅黑"/>
          <w:color w:val="auto"/>
          <w:lang w:val="zh-CN" w:eastAsia="zh-CN"/>
        </w:rPr>
        <w:t>.</w:t>
      </w:r>
      <w:r>
        <w:rPr>
          <w:rFonts w:hint="eastAsia" w:ascii="微软雅黑" w:hAnsi="微软雅黑" w:eastAsia="微软雅黑"/>
          <w:color w:val="auto"/>
          <w:lang w:val="en-US" w:eastAsia="zh-CN"/>
        </w:rPr>
        <w:t>1</w:t>
      </w:r>
      <w:r>
        <w:rPr>
          <w:rFonts w:ascii="微软雅黑" w:hAnsi="微软雅黑" w:eastAsia="微软雅黑"/>
          <w:color w:val="auto"/>
          <w:lang w:val="zh-CN" w:eastAsia="zh-CN"/>
        </w:rPr>
        <w:t>.</w:t>
      </w:r>
      <w:r>
        <w:rPr>
          <w:rFonts w:hint="eastAsia" w:ascii="微软雅黑" w:hAnsi="微软雅黑" w:eastAsia="微软雅黑"/>
          <w:color w:val="auto"/>
          <w:lang w:val="en-US" w:eastAsia="zh-CN"/>
        </w:rPr>
        <w:t>1</w:t>
      </w:r>
      <w:r>
        <w:rPr>
          <w:rFonts w:ascii="微软雅黑" w:hAnsi="微软雅黑" w:eastAsia="微软雅黑"/>
          <w:color w:val="auto"/>
          <w:lang w:val="zh-CN" w:eastAsia="zh-CN"/>
        </w:rPr>
        <w:t xml:space="preserve">  </w:t>
      </w:r>
      <w:r>
        <w:rPr>
          <w:rFonts w:hint="eastAsia" w:ascii="微软雅黑" w:hAnsi="微软雅黑" w:eastAsia="微软雅黑"/>
          <w:color w:val="auto"/>
          <w:lang w:val="zh-CN" w:eastAsia="zh-CN"/>
        </w:rPr>
        <w:t>税务管理机构</w:t>
      </w:r>
      <w:bookmarkEnd w:id="30"/>
    </w:p>
    <w:p w14:paraId="648208C7">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阿联酋</w:t>
      </w:r>
      <w:r>
        <w:rPr>
          <w:rFonts w:hint="eastAsia"/>
          <w:sz w:val="24"/>
          <w:szCs w:val="28"/>
          <w:lang w:val="en-US" w:eastAsia="zh-CN"/>
        </w:rPr>
        <w:t>境内</w:t>
      </w:r>
      <w:r>
        <w:rPr>
          <w:rFonts w:hint="eastAsia"/>
          <w:sz w:val="24"/>
          <w:szCs w:val="28"/>
          <w:lang w:val="zh-CN" w:eastAsia="zh-CN"/>
        </w:rPr>
        <w:t>实行联邦统一税制+各酋长国属地管理的二元架构，受阿联酋联邦政府及所在酋长国政府双重监管，核心税种（企业所得税、增值税、消费税）由联邦统一立法征管，石油天然气等资源税由各酋长国自行规定。财务合规需遵循联邦法律、联邦税务局（FTA）规定及当地商业注册部门要求。纳税义务人按要求强制进行税务登记、按期申报纳税，接受联邦税务局（FTA）的税务稽查。</w:t>
      </w:r>
    </w:p>
    <w:p w14:paraId="6EC94C18">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联邦税务局 FTA</w:t>
      </w:r>
      <w:r>
        <w:rPr>
          <w:rFonts w:hint="eastAsia"/>
          <w:sz w:val="24"/>
          <w:szCs w:val="28"/>
          <w:lang w:val="en-US" w:eastAsia="zh-CN"/>
        </w:rPr>
        <w:t>为</w:t>
      </w:r>
      <w:r>
        <w:rPr>
          <w:rFonts w:hint="eastAsia"/>
          <w:sz w:val="24"/>
          <w:szCs w:val="28"/>
          <w:lang w:val="zh-CN" w:eastAsia="zh-CN"/>
        </w:rPr>
        <w:t>核心主管机构，统一管理增值税、企业所得税、消费税，负责税务登记、申报征收、税务稽查、罚款处置、出具税号 TRN。财政部 MoF</w:t>
      </w:r>
      <w:r>
        <w:rPr>
          <w:rFonts w:hint="eastAsia"/>
          <w:sz w:val="24"/>
          <w:szCs w:val="28"/>
          <w:lang w:val="en-US" w:eastAsia="zh-CN"/>
        </w:rPr>
        <w:t>为</w:t>
      </w:r>
      <w:r>
        <w:rPr>
          <w:rFonts w:hint="eastAsia"/>
          <w:sz w:val="24"/>
          <w:szCs w:val="28"/>
          <w:lang w:val="zh-CN" w:eastAsia="zh-CN"/>
        </w:rPr>
        <w:t>税收政策制定、双边税收协定、国际税务规则落地。各酋长国海关</w:t>
      </w:r>
      <w:r>
        <w:rPr>
          <w:rFonts w:hint="eastAsia"/>
          <w:sz w:val="24"/>
          <w:szCs w:val="28"/>
          <w:lang w:val="en-US" w:eastAsia="zh-CN"/>
        </w:rPr>
        <w:t>负责</w:t>
      </w:r>
      <w:r>
        <w:rPr>
          <w:rFonts w:hint="eastAsia"/>
          <w:sz w:val="24"/>
          <w:szCs w:val="28"/>
          <w:lang w:val="zh-CN" w:eastAsia="zh-CN"/>
        </w:rPr>
        <w:t>进出口关税、消费税通关核验。自贸区管理局/大陆区经济部 DED</w:t>
      </w:r>
      <w:r>
        <w:rPr>
          <w:rFonts w:hint="eastAsia"/>
          <w:sz w:val="24"/>
          <w:szCs w:val="28"/>
          <w:lang w:val="en-US" w:eastAsia="zh-CN"/>
        </w:rPr>
        <w:t>负责</w:t>
      </w:r>
      <w:r>
        <w:rPr>
          <w:rFonts w:hint="eastAsia"/>
          <w:sz w:val="24"/>
          <w:szCs w:val="28"/>
          <w:lang w:val="zh-CN" w:eastAsia="zh-CN"/>
        </w:rPr>
        <w:t>核发商业执照，为税务登记前置条件，配合 FTA 交叉核验企业经营实质。</w:t>
      </w:r>
    </w:p>
    <w:p w14:paraId="1CF163E6">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default"/>
          <w:sz w:val="24"/>
          <w:szCs w:val="28"/>
          <w:lang w:val="en-US" w:eastAsia="zh-CN"/>
        </w:rPr>
      </w:pPr>
      <w:r>
        <w:rPr>
          <w:rFonts w:hint="eastAsia"/>
          <w:sz w:val="24"/>
          <w:szCs w:val="28"/>
          <w:lang w:val="zh-CN" w:eastAsia="zh-CN"/>
        </w:rPr>
        <w:t>企业所得税</w:t>
      </w:r>
      <w:r>
        <w:rPr>
          <w:rFonts w:hint="eastAsia"/>
          <w:sz w:val="24"/>
          <w:szCs w:val="28"/>
          <w:lang w:val="en-US" w:eastAsia="zh-CN"/>
        </w:rPr>
        <w:t>登记方面：</w:t>
      </w:r>
      <w:r>
        <w:rPr>
          <w:rFonts w:hint="eastAsia"/>
          <w:sz w:val="24"/>
          <w:szCs w:val="28"/>
          <w:lang w:val="zh-CN" w:eastAsia="zh-CN"/>
        </w:rPr>
        <w:t>所有大陆外资公司、自贸区外资企业、境外企业在阿常设机构，</w:t>
      </w:r>
      <w:r>
        <w:rPr>
          <w:rFonts w:hint="eastAsia"/>
          <w:sz w:val="24"/>
          <w:szCs w:val="28"/>
          <w:lang w:val="en-US" w:eastAsia="zh-CN"/>
        </w:rPr>
        <w:t>均需</w:t>
      </w:r>
      <w:r>
        <w:rPr>
          <w:rFonts w:hint="eastAsia"/>
          <w:sz w:val="24"/>
          <w:szCs w:val="28"/>
          <w:lang w:val="zh-CN" w:eastAsia="zh-CN"/>
        </w:rPr>
        <w:t>通过EmaraTax 完成登记、申领TRN；即便自贸区适用 0% 税率也必须登记并年度申报，逾期高额罚款。</w:t>
      </w:r>
      <w:r>
        <w:rPr>
          <w:rFonts w:hint="eastAsia"/>
          <w:sz w:val="24"/>
          <w:szCs w:val="28"/>
          <w:lang w:val="en-US" w:eastAsia="zh-CN"/>
        </w:rPr>
        <w:t>增值税登记方面：连续 12 个月营业额≥37.5 万迪拉姆强制登记；18.75 万–37.5 万迪拉姆可自愿登记；外资工程、贸易企业发生本地应税销售均需注册，发票必须标注 15 位 TRN 税号。所有税务登记无线下纸质登记渠道，大陆与自贸区共用一套税务系统，外资分公司、项目常设机构单独办理税务登记，独立报税。</w:t>
      </w:r>
    </w:p>
    <w:p w14:paraId="3A6D5348">
      <w:pPr>
        <w:pStyle w:val="5"/>
        <w:pageBreakBefore w:val="0"/>
        <w:widowControl/>
        <w:kinsoku/>
        <w:wordWrap/>
        <w:overflowPunct/>
        <w:topLinePunct w:val="0"/>
        <w:autoSpaceDE/>
        <w:autoSpaceDN/>
        <w:bidi w:val="0"/>
        <w:adjustRightInd/>
        <w:snapToGrid/>
        <w:jc w:val="both"/>
        <w:rPr>
          <w:rFonts w:hint="eastAsia"/>
          <w:sz w:val="24"/>
          <w:szCs w:val="28"/>
          <w:lang w:val="zh-CN" w:eastAsia="zh-CN"/>
        </w:rPr>
      </w:pPr>
      <w:bookmarkStart w:id="31" w:name="_Toc4348"/>
      <w:r>
        <w:rPr>
          <w:rFonts w:hint="eastAsia" w:ascii="微软雅黑" w:hAnsi="微软雅黑" w:eastAsia="微软雅黑"/>
          <w:color w:val="auto"/>
          <w:lang w:val="en-US" w:eastAsia="zh-CN"/>
        </w:rPr>
        <w:t>4</w:t>
      </w:r>
      <w:r>
        <w:rPr>
          <w:rFonts w:ascii="微软雅黑" w:hAnsi="微软雅黑" w:eastAsia="微软雅黑"/>
          <w:color w:val="auto"/>
          <w:lang w:val="zh-CN" w:eastAsia="zh-CN"/>
        </w:rPr>
        <w:t>.</w:t>
      </w:r>
      <w:r>
        <w:rPr>
          <w:rFonts w:hint="eastAsia" w:ascii="微软雅黑" w:hAnsi="微软雅黑" w:eastAsia="微软雅黑"/>
          <w:color w:val="auto"/>
          <w:lang w:val="en-US" w:eastAsia="zh-CN"/>
        </w:rPr>
        <w:t>1</w:t>
      </w:r>
      <w:r>
        <w:rPr>
          <w:rFonts w:ascii="微软雅黑" w:hAnsi="微软雅黑" w:eastAsia="微软雅黑"/>
          <w:color w:val="auto"/>
          <w:lang w:val="zh-CN" w:eastAsia="zh-CN"/>
        </w:rPr>
        <w:t>.</w:t>
      </w:r>
      <w:r>
        <w:rPr>
          <w:rFonts w:hint="eastAsia" w:ascii="微软雅黑" w:hAnsi="微软雅黑" w:eastAsia="微软雅黑"/>
          <w:color w:val="auto"/>
          <w:lang w:val="en-US" w:eastAsia="zh-CN"/>
        </w:rPr>
        <w:t>2</w:t>
      </w:r>
      <w:r>
        <w:rPr>
          <w:rFonts w:ascii="微软雅黑" w:hAnsi="微软雅黑" w:eastAsia="微软雅黑"/>
          <w:color w:val="auto"/>
          <w:lang w:val="zh-CN" w:eastAsia="zh-CN"/>
        </w:rPr>
        <w:t xml:space="preserve">  </w:t>
      </w:r>
      <w:r>
        <w:rPr>
          <w:rFonts w:hint="eastAsia" w:ascii="微软雅黑" w:hAnsi="微软雅黑" w:eastAsia="微软雅黑"/>
          <w:color w:val="auto"/>
          <w:lang w:val="zh-CN" w:eastAsia="zh-CN"/>
        </w:rPr>
        <w:t>会计与审计监管</w:t>
      </w:r>
      <w:bookmarkEnd w:id="31"/>
    </w:p>
    <w:p w14:paraId="4C3B51EE">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default"/>
          <w:sz w:val="24"/>
          <w:szCs w:val="28"/>
          <w:lang w:val="en-US" w:eastAsia="zh-CN"/>
        </w:rPr>
      </w:pPr>
      <w:r>
        <w:rPr>
          <w:rFonts w:hint="eastAsia"/>
          <w:sz w:val="24"/>
          <w:szCs w:val="28"/>
          <w:lang w:val="zh-CN" w:eastAsia="zh-CN"/>
        </w:rPr>
        <w:t>会计核算需符合国际财务报告准则（IFRS），财务报表需经当地法定审计机构审计。联邦公司法（联邦第 32/2021 号法令）</w:t>
      </w:r>
      <w:r>
        <w:rPr>
          <w:rFonts w:hint="eastAsia"/>
          <w:sz w:val="24"/>
          <w:szCs w:val="28"/>
          <w:lang w:val="en-US" w:eastAsia="zh-CN"/>
        </w:rPr>
        <w:t>要求本土有限责任公司 LLC、股份公司（上市 / 非上市）、外国公司分支机构无论规模/收入，必须年度法定审计；企业所得税法（联邦第 47/2022 号法令）及财政部决议（第 84/2025 号）要求年收入≥5,000万迪拉姆必须提交审计财报用于企业所得税申报，自贸区合格企业 QFZP（享0%企业所得税）必须审计，否则取消免税资格、按 9% 计税。</w:t>
      </w:r>
    </w:p>
    <w:p w14:paraId="2183C759">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en-US" w:eastAsia="zh-CN"/>
        </w:rPr>
        <w:t>此外，在阿联酋开展经营活动还</w:t>
      </w:r>
      <w:r>
        <w:rPr>
          <w:rFonts w:hint="eastAsia"/>
          <w:sz w:val="24"/>
          <w:szCs w:val="28"/>
          <w:lang w:val="zh-CN" w:eastAsia="zh-CN"/>
        </w:rPr>
        <w:t>需严格遵守经济实质法（ESR）、最终受益人（UBO）申报及反洗钱（AML）等相关合规要求，按规定提交相关申报资料。</w:t>
      </w:r>
    </w:p>
    <w:p w14:paraId="10A97093">
      <w:pPr>
        <w:keepNext w:val="0"/>
        <w:keepLines w:val="0"/>
        <w:pageBreakBefore w:val="0"/>
        <w:widowControl/>
        <w:numPr>
          <w:ilvl w:val="0"/>
          <w:numId w:val="8"/>
        </w:numPr>
        <w:kinsoku/>
        <w:wordWrap/>
        <w:overflowPunct/>
        <w:topLinePunct w:val="0"/>
        <w:autoSpaceDE/>
        <w:autoSpaceDN/>
        <w:bidi w:val="0"/>
        <w:adjustRightInd/>
        <w:snapToGrid/>
        <w:spacing w:before="40" w:after="40"/>
        <w:ind w:firstLine="480" w:firstLineChars="200"/>
        <w:jc w:val="both"/>
        <w:textAlignment w:val="auto"/>
        <w:rPr>
          <w:rFonts w:hint="default"/>
          <w:sz w:val="24"/>
          <w:szCs w:val="28"/>
          <w:lang w:val="en-US" w:eastAsia="zh-CN"/>
        </w:rPr>
      </w:pPr>
      <w:r>
        <w:rPr>
          <w:rFonts w:hint="eastAsia"/>
          <w:sz w:val="24"/>
          <w:szCs w:val="28"/>
          <w:lang w:val="en-US" w:eastAsia="zh-CN"/>
        </w:rPr>
        <w:t>经济实质法（ESR）</w:t>
      </w:r>
    </w:p>
    <w:p w14:paraId="3D4B2B29">
      <w:pPr>
        <w:keepNext w:val="0"/>
        <w:keepLines w:val="0"/>
        <w:pageBreakBefore w:val="0"/>
        <w:widowControl/>
        <w:numPr>
          <w:ilvl w:val="0"/>
          <w:numId w:val="0"/>
        </w:numPr>
        <w:kinsoku/>
        <w:wordWrap/>
        <w:overflowPunct/>
        <w:topLinePunct w:val="0"/>
        <w:autoSpaceDE/>
        <w:autoSpaceDN/>
        <w:bidi w:val="0"/>
        <w:adjustRightInd/>
        <w:snapToGrid/>
        <w:spacing w:before="40" w:after="40" w:line="276" w:lineRule="auto"/>
        <w:ind w:firstLine="480" w:firstLineChars="200"/>
        <w:jc w:val="both"/>
        <w:textAlignment w:val="auto"/>
        <w:rPr>
          <w:rFonts w:hint="default"/>
          <w:sz w:val="24"/>
          <w:szCs w:val="28"/>
          <w:lang w:val="en-US" w:eastAsia="zh-CN"/>
        </w:rPr>
      </w:pPr>
      <w:r>
        <w:rPr>
          <w:rFonts w:hint="default"/>
          <w:sz w:val="24"/>
          <w:szCs w:val="28"/>
          <w:lang w:val="en-US" w:eastAsia="zh-CN"/>
        </w:rPr>
        <w:t>立法沿革：初代《内阁决议31/2019》（2019年4月落地）→修订《内阁决议57/2020》（现行ESR本体法规+财政部100/2020实施指引）→内阁98/2024（2024年9月2日生效）终止独立申报制。</w:t>
      </w:r>
    </w:p>
    <w:p w14:paraId="1C95E2D0">
      <w:pPr>
        <w:keepNext w:val="0"/>
        <w:keepLines w:val="0"/>
        <w:pageBreakBefore w:val="0"/>
        <w:widowControl/>
        <w:numPr>
          <w:ilvl w:val="0"/>
          <w:numId w:val="0"/>
        </w:numPr>
        <w:kinsoku/>
        <w:wordWrap/>
        <w:overflowPunct/>
        <w:topLinePunct w:val="0"/>
        <w:autoSpaceDE/>
        <w:autoSpaceDN/>
        <w:bidi w:val="0"/>
        <w:adjustRightInd/>
        <w:snapToGrid/>
        <w:spacing w:before="40" w:after="40" w:line="276" w:lineRule="auto"/>
        <w:ind w:firstLine="480" w:firstLineChars="200"/>
        <w:jc w:val="both"/>
        <w:textAlignment w:val="auto"/>
        <w:rPr>
          <w:rFonts w:hint="default"/>
          <w:sz w:val="24"/>
          <w:szCs w:val="28"/>
          <w:lang w:val="en-US" w:eastAsia="zh-CN"/>
        </w:rPr>
      </w:pPr>
      <w:r>
        <w:rPr>
          <w:rFonts w:hint="default"/>
          <w:sz w:val="24"/>
          <w:szCs w:val="28"/>
          <w:lang w:val="en-US" w:eastAsia="zh-CN"/>
        </w:rPr>
        <w:t>银行、保险、投资基金管理、融资租赁/信贷、总部管理、国际海运、控股公司、知识产权、分销与服务中心等9类应税相关活动适用经济实质法（ESR）， 阿联酋本土、各自贸区企业取得对应业务收入需进行年度申报。2023年1月1日起新财年取消独立申报，实质义务并入《企业所得税法》，监管由联邦税务局（FTA）落地执行。</w:t>
      </w:r>
    </w:p>
    <w:p w14:paraId="17FAB6D4">
      <w:pPr>
        <w:keepNext w:val="0"/>
        <w:keepLines w:val="0"/>
        <w:pageBreakBefore w:val="0"/>
        <w:widowControl/>
        <w:numPr>
          <w:ilvl w:val="0"/>
          <w:numId w:val="0"/>
        </w:numPr>
        <w:kinsoku/>
        <w:wordWrap/>
        <w:overflowPunct/>
        <w:topLinePunct w:val="0"/>
        <w:autoSpaceDE/>
        <w:autoSpaceDN/>
        <w:bidi w:val="0"/>
        <w:adjustRightInd/>
        <w:snapToGrid/>
        <w:spacing w:before="40" w:after="40" w:line="276" w:lineRule="auto"/>
        <w:ind w:firstLine="480" w:firstLineChars="200"/>
        <w:jc w:val="both"/>
        <w:textAlignment w:val="auto"/>
        <w:rPr>
          <w:rFonts w:hint="eastAsia"/>
          <w:sz w:val="24"/>
          <w:szCs w:val="28"/>
          <w:lang w:val="en-US" w:eastAsia="zh-CN"/>
        </w:rPr>
      </w:pPr>
      <w:r>
        <w:rPr>
          <w:rFonts w:hint="eastAsia"/>
          <w:sz w:val="24"/>
          <w:szCs w:val="28"/>
          <w:lang w:val="en-US" w:eastAsia="zh-CN"/>
        </w:rPr>
        <w:t>2、最终受益人（UBO）申报</w:t>
      </w:r>
    </w:p>
    <w:p w14:paraId="54227846">
      <w:pPr>
        <w:keepNext w:val="0"/>
        <w:keepLines w:val="0"/>
        <w:pageBreakBefore w:val="0"/>
        <w:widowControl/>
        <w:numPr>
          <w:ilvl w:val="0"/>
          <w:numId w:val="0"/>
        </w:numPr>
        <w:kinsoku/>
        <w:wordWrap/>
        <w:overflowPunct/>
        <w:topLinePunct w:val="0"/>
        <w:autoSpaceDE/>
        <w:autoSpaceDN/>
        <w:bidi w:val="0"/>
        <w:adjustRightInd/>
        <w:snapToGrid/>
        <w:spacing w:before="40" w:after="40" w:line="276" w:lineRule="auto"/>
        <w:ind w:firstLine="480" w:firstLineChars="200"/>
        <w:jc w:val="both"/>
        <w:textAlignment w:val="auto"/>
        <w:rPr>
          <w:rFonts w:hint="default"/>
          <w:sz w:val="24"/>
          <w:szCs w:val="28"/>
          <w:lang w:val="en-US" w:eastAsia="zh-CN"/>
        </w:rPr>
      </w:pPr>
      <w:r>
        <w:rPr>
          <w:rFonts w:hint="default"/>
          <w:sz w:val="24"/>
          <w:szCs w:val="28"/>
          <w:lang w:val="en-US" w:eastAsia="zh-CN"/>
        </w:rPr>
        <w:t>根据阿联酋内阁决议109/2023，配套132/2023（处罚）、71/2024（监管）法规，境外分支机构需进行最终受益人（UBO）申报披露。</w:t>
      </w:r>
    </w:p>
    <w:tbl>
      <w:tblPr>
        <w:tblStyle w:val="36"/>
        <w:tblW w:w="8100" w:type="dxa"/>
        <w:tblInd w:w="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305"/>
        <w:gridCol w:w="2265"/>
        <w:gridCol w:w="2265"/>
        <w:gridCol w:w="2265"/>
      </w:tblGrid>
      <w:tr w14:paraId="4203C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3" w:hRule="atLeast"/>
          <w:tblHeader/>
        </w:trPr>
        <w:tc>
          <w:tcPr>
            <w:tcW w:w="1305" w:type="dxa"/>
            <w:shd w:val="clear" w:color="auto" w:fill="366091" w:themeFill="accent1" w:themeFillShade="BF"/>
            <w:vAlign w:val="center"/>
          </w:tcPr>
          <w:p w14:paraId="3FEEF458">
            <w:pPr>
              <w:keepNext w:val="0"/>
              <w:keepLines w:val="0"/>
              <w:pageBreakBefore w:val="0"/>
              <w:widowControl/>
              <w:suppressLineNumbers w:val="0"/>
              <w:kinsoku/>
              <w:wordWrap/>
              <w:overflowPunct/>
              <w:topLinePunct w:val="0"/>
              <w:autoSpaceDE/>
              <w:autoSpaceDN/>
              <w:bidi w:val="0"/>
              <w:adjustRightInd/>
              <w:snapToGrid/>
              <w:spacing w:after="0" w:line="240" w:lineRule="auto"/>
              <w:jc w:val="center"/>
              <w:textAlignment w:val="center"/>
              <w:rPr>
                <w:rFonts w:hint="eastAsia" w:ascii="微软雅黑" w:hAnsi="微软雅黑" w:eastAsia="微软雅黑" w:cs="微软雅黑"/>
                <w:b/>
                <w:bCs/>
                <w:i w:val="0"/>
                <w:iCs w:val="0"/>
                <w:color w:val="FFFFFF" w:themeColor="background1"/>
                <w:kern w:val="2"/>
                <w:sz w:val="21"/>
                <w:szCs w:val="21"/>
                <w:u w:val="none"/>
                <w:lang w:eastAsia="zh-CN"/>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维度</w:t>
            </w:r>
          </w:p>
        </w:tc>
        <w:tc>
          <w:tcPr>
            <w:tcW w:w="2265" w:type="dxa"/>
            <w:shd w:val="clear" w:color="auto" w:fill="366091" w:themeFill="accent1" w:themeFillShade="BF"/>
            <w:vAlign w:val="center"/>
          </w:tcPr>
          <w:p w14:paraId="366B1925">
            <w:pPr>
              <w:keepNext w:val="0"/>
              <w:keepLines w:val="0"/>
              <w:pageBreakBefore w:val="0"/>
              <w:widowControl/>
              <w:suppressLineNumbers w:val="0"/>
              <w:kinsoku/>
              <w:wordWrap/>
              <w:overflowPunct/>
              <w:topLinePunct w:val="0"/>
              <w:autoSpaceDE/>
              <w:autoSpaceDN/>
              <w:bidi w:val="0"/>
              <w:adjustRightInd/>
              <w:snapToGrid/>
              <w:spacing w:after="0" w:line="240" w:lineRule="auto"/>
              <w:jc w:val="center"/>
              <w:textAlignment w:val="center"/>
              <w:rPr>
                <w:rFonts w:hint="eastAsia" w:ascii="微软雅黑" w:hAnsi="微软雅黑" w:eastAsia="微软雅黑" w:cs="微软雅黑"/>
                <w:b/>
                <w:bCs/>
                <w:i w:val="0"/>
                <w:iCs w:val="0"/>
                <w:color w:val="FFFFFF" w:themeColor="background1"/>
                <w:kern w:val="2"/>
                <w:sz w:val="21"/>
                <w:szCs w:val="21"/>
                <w:u w:val="none"/>
                <w:lang w:eastAsia="zh-CN"/>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子公司</w:t>
            </w:r>
          </w:p>
        </w:tc>
        <w:tc>
          <w:tcPr>
            <w:tcW w:w="2265" w:type="dxa"/>
            <w:shd w:val="clear" w:color="auto" w:fill="366091" w:themeFill="accent1" w:themeFillShade="BF"/>
            <w:vAlign w:val="center"/>
          </w:tcPr>
          <w:p w14:paraId="4500047A">
            <w:pPr>
              <w:keepNext w:val="0"/>
              <w:keepLines w:val="0"/>
              <w:pageBreakBefore w:val="0"/>
              <w:widowControl/>
              <w:suppressLineNumbers w:val="0"/>
              <w:kinsoku/>
              <w:wordWrap/>
              <w:overflowPunct/>
              <w:topLinePunct w:val="0"/>
              <w:autoSpaceDE/>
              <w:autoSpaceDN/>
              <w:bidi w:val="0"/>
              <w:adjustRightInd/>
              <w:snapToGrid/>
              <w:spacing w:after="0" w:line="240" w:lineRule="auto"/>
              <w:jc w:val="center"/>
              <w:textAlignment w:val="center"/>
              <w:rPr>
                <w:rFonts w:hint="eastAsia" w:ascii="微软雅黑" w:hAnsi="微软雅黑" w:eastAsia="微软雅黑" w:cs="微软雅黑"/>
                <w:b/>
                <w:bCs/>
                <w:i w:val="0"/>
                <w:iCs w:val="0"/>
                <w:color w:val="FFFFFF" w:themeColor="background1"/>
                <w:kern w:val="2"/>
                <w:sz w:val="21"/>
                <w:szCs w:val="21"/>
                <w:u w:val="none"/>
                <w:lang w:eastAsia="zh-CN"/>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分公司</w:t>
            </w:r>
          </w:p>
        </w:tc>
        <w:tc>
          <w:tcPr>
            <w:tcW w:w="2265" w:type="dxa"/>
            <w:shd w:val="clear" w:color="auto" w:fill="366091" w:themeFill="accent1" w:themeFillShade="BF"/>
            <w:vAlign w:val="center"/>
          </w:tcPr>
          <w:p w14:paraId="210E96DD">
            <w:pPr>
              <w:keepNext w:val="0"/>
              <w:keepLines w:val="0"/>
              <w:pageBreakBefore w:val="0"/>
              <w:widowControl/>
              <w:suppressLineNumbers w:val="0"/>
              <w:kinsoku/>
              <w:wordWrap/>
              <w:overflowPunct/>
              <w:topLinePunct w:val="0"/>
              <w:autoSpaceDE/>
              <w:autoSpaceDN/>
              <w:bidi w:val="0"/>
              <w:adjustRightInd/>
              <w:snapToGrid/>
              <w:spacing w:after="0" w:line="240" w:lineRule="auto"/>
              <w:jc w:val="center"/>
              <w:textAlignment w:val="center"/>
              <w:rPr>
                <w:rFonts w:hint="eastAsia" w:ascii="微软雅黑" w:hAnsi="微软雅黑" w:eastAsia="微软雅黑" w:cs="微软雅黑"/>
                <w:b/>
                <w:bCs/>
                <w:i w:val="0"/>
                <w:iCs w:val="0"/>
                <w:color w:val="FFFFFF" w:themeColor="background1"/>
                <w:kern w:val="2"/>
                <w:sz w:val="21"/>
                <w:szCs w:val="21"/>
                <w:u w:val="none"/>
                <w:lang w:eastAsia="zh-CN"/>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项目部</w:t>
            </w:r>
          </w:p>
        </w:tc>
      </w:tr>
      <w:tr w14:paraId="4739A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5" w:hRule="atLeast"/>
        </w:trPr>
        <w:tc>
          <w:tcPr>
            <w:tcW w:w="1305" w:type="dxa"/>
            <w:shd w:val="clear" w:color="auto" w:fill="auto"/>
            <w:vAlign w:val="center"/>
          </w:tcPr>
          <w:p w14:paraId="02BFF6F2">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eastAsia" w:ascii="微软雅黑" w:hAnsi="微软雅黑" w:eastAsia="微软雅黑" w:cs="微软雅黑"/>
                <w:b w:val="0"/>
                <w:bCs w:val="0"/>
                <w:i w:val="0"/>
                <w:iCs w:val="0"/>
                <w:color w:val="000000"/>
                <w:kern w:val="2"/>
                <w:sz w:val="21"/>
                <w:szCs w:val="21"/>
                <w:u w:val="none"/>
                <w:lang w:eastAsia="zh-CN"/>
              </w:rPr>
            </w:pPr>
            <w:r>
              <w:rPr>
                <w:rFonts w:hint="eastAsia" w:ascii="微软雅黑" w:hAnsi="微软雅黑" w:eastAsia="微软雅黑" w:cs="微软雅黑"/>
                <w:b w:val="0"/>
                <w:bCs w:val="0"/>
                <w:i w:val="0"/>
                <w:iCs w:val="0"/>
                <w:color w:val="000000"/>
                <w:kern w:val="0"/>
                <w:sz w:val="21"/>
                <w:szCs w:val="21"/>
                <w:u w:val="none"/>
                <w:lang w:val="en-US" w:eastAsia="zh-CN" w:bidi="ar"/>
              </w:rPr>
              <w:t>申报主体</w:t>
            </w:r>
          </w:p>
        </w:tc>
        <w:tc>
          <w:tcPr>
            <w:tcW w:w="2265" w:type="dxa"/>
            <w:shd w:val="clear" w:color="auto" w:fill="auto"/>
            <w:vAlign w:val="center"/>
          </w:tcPr>
          <w:p w14:paraId="2EC6FCE2">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eastAsia" w:ascii="微软雅黑" w:hAnsi="微软雅黑" w:eastAsia="微软雅黑" w:cs="微软雅黑"/>
                <w:i w:val="0"/>
                <w:iCs w:val="0"/>
                <w:color w:val="000000"/>
                <w:kern w:val="2"/>
                <w:sz w:val="21"/>
                <w:szCs w:val="21"/>
                <w:u w:val="none"/>
                <w:lang w:eastAsia="zh-CN"/>
              </w:rPr>
            </w:pPr>
            <w:r>
              <w:rPr>
                <w:rFonts w:hint="eastAsia" w:ascii="微软雅黑" w:hAnsi="微软雅黑" w:eastAsia="微软雅黑" w:cs="微软雅黑"/>
                <w:i w:val="0"/>
                <w:iCs w:val="0"/>
                <w:color w:val="000000"/>
                <w:kern w:val="0"/>
                <w:sz w:val="21"/>
                <w:szCs w:val="21"/>
                <w:u w:val="none"/>
                <w:lang w:val="en-US" w:eastAsia="zh-CN" w:bidi="ar"/>
              </w:rPr>
              <w:t>子公司独立申报</w:t>
            </w:r>
          </w:p>
        </w:tc>
        <w:tc>
          <w:tcPr>
            <w:tcW w:w="2265" w:type="dxa"/>
            <w:shd w:val="clear" w:color="auto" w:fill="auto"/>
            <w:vAlign w:val="center"/>
          </w:tcPr>
          <w:p w14:paraId="7F4CCA2C">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eastAsia" w:ascii="微软雅黑" w:hAnsi="微软雅黑" w:eastAsia="微软雅黑" w:cs="微软雅黑"/>
                <w:i w:val="0"/>
                <w:iCs w:val="0"/>
                <w:color w:val="000000"/>
                <w:kern w:val="2"/>
                <w:sz w:val="21"/>
                <w:szCs w:val="21"/>
                <w:u w:val="none"/>
                <w:lang w:eastAsia="zh-CN"/>
              </w:rPr>
            </w:pPr>
            <w:r>
              <w:rPr>
                <w:rFonts w:hint="eastAsia" w:ascii="微软雅黑" w:hAnsi="微软雅黑" w:eastAsia="微软雅黑" w:cs="微软雅黑"/>
                <w:i w:val="0"/>
                <w:iCs w:val="0"/>
                <w:color w:val="000000"/>
                <w:kern w:val="0"/>
                <w:sz w:val="21"/>
                <w:szCs w:val="21"/>
                <w:u w:val="none"/>
                <w:lang w:val="en-US" w:eastAsia="zh-CN" w:bidi="ar"/>
              </w:rPr>
              <w:t>分公司披露母公司最终受益人（UBO）</w:t>
            </w:r>
          </w:p>
        </w:tc>
        <w:tc>
          <w:tcPr>
            <w:tcW w:w="2265" w:type="dxa"/>
            <w:shd w:val="clear" w:color="auto" w:fill="auto"/>
            <w:vAlign w:val="center"/>
          </w:tcPr>
          <w:p w14:paraId="63E23655">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eastAsia" w:ascii="微软雅黑" w:hAnsi="微软雅黑" w:eastAsia="微软雅黑" w:cs="微软雅黑"/>
                <w:i w:val="0"/>
                <w:iCs w:val="0"/>
                <w:color w:val="000000"/>
                <w:kern w:val="2"/>
                <w:sz w:val="21"/>
                <w:szCs w:val="21"/>
                <w:u w:val="none"/>
                <w:lang w:eastAsia="zh-CN"/>
              </w:rPr>
            </w:pPr>
            <w:r>
              <w:rPr>
                <w:rFonts w:hint="eastAsia" w:ascii="微软雅黑" w:hAnsi="微软雅黑" w:eastAsia="微软雅黑" w:cs="微软雅黑"/>
                <w:i w:val="0"/>
                <w:iCs w:val="0"/>
                <w:color w:val="000000"/>
                <w:kern w:val="0"/>
                <w:sz w:val="21"/>
                <w:szCs w:val="21"/>
                <w:u w:val="none"/>
                <w:lang w:val="en-US" w:eastAsia="zh-CN" w:bidi="ar"/>
              </w:rPr>
              <w:t>由母公司/分公司统一申报</w:t>
            </w:r>
          </w:p>
        </w:tc>
      </w:tr>
      <w:tr w14:paraId="1D6D7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25" w:hRule="atLeast"/>
        </w:trPr>
        <w:tc>
          <w:tcPr>
            <w:tcW w:w="1305" w:type="dxa"/>
            <w:shd w:val="clear" w:color="auto" w:fill="auto"/>
            <w:vAlign w:val="center"/>
          </w:tcPr>
          <w:p w14:paraId="746E223A">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eastAsia" w:ascii="微软雅黑" w:hAnsi="微软雅黑" w:eastAsia="微软雅黑" w:cs="微软雅黑"/>
                <w:b w:val="0"/>
                <w:bCs w:val="0"/>
                <w:i w:val="0"/>
                <w:iCs w:val="0"/>
                <w:color w:val="000000"/>
                <w:kern w:val="2"/>
                <w:sz w:val="21"/>
                <w:szCs w:val="21"/>
                <w:u w:val="none"/>
                <w:lang w:eastAsia="zh-CN"/>
              </w:rPr>
            </w:pPr>
            <w:r>
              <w:rPr>
                <w:rFonts w:hint="eastAsia" w:ascii="微软雅黑" w:hAnsi="微软雅黑" w:eastAsia="微软雅黑" w:cs="微软雅黑"/>
                <w:b w:val="0"/>
                <w:bCs w:val="0"/>
                <w:i w:val="0"/>
                <w:iCs w:val="0"/>
                <w:color w:val="000000"/>
                <w:kern w:val="0"/>
                <w:sz w:val="21"/>
                <w:szCs w:val="21"/>
                <w:u w:val="none"/>
                <w:lang w:val="en-US" w:eastAsia="zh-CN" w:bidi="ar"/>
              </w:rPr>
              <w:t>UBO判定</w:t>
            </w:r>
          </w:p>
        </w:tc>
        <w:tc>
          <w:tcPr>
            <w:tcW w:w="2265" w:type="dxa"/>
            <w:shd w:val="clear" w:color="auto" w:fill="auto"/>
            <w:vAlign w:val="center"/>
          </w:tcPr>
          <w:p w14:paraId="7F92778D">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eastAsia" w:ascii="微软雅黑" w:hAnsi="微软雅黑" w:eastAsia="微软雅黑" w:cs="微软雅黑"/>
                <w:i w:val="0"/>
                <w:iCs w:val="0"/>
                <w:color w:val="000000"/>
                <w:kern w:val="2"/>
                <w:sz w:val="21"/>
                <w:szCs w:val="21"/>
                <w:u w:val="none"/>
                <w:lang w:eastAsia="zh-CN"/>
              </w:rPr>
            </w:pPr>
            <w:r>
              <w:rPr>
                <w:rFonts w:hint="eastAsia" w:ascii="微软雅黑" w:hAnsi="微软雅黑" w:eastAsia="微软雅黑" w:cs="微软雅黑"/>
                <w:i w:val="0"/>
                <w:iCs w:val="0"/>
                <w:color w:val="000000"/>
                <w:kern w:val="0"/>
                <w:sz w:val="21"/>
                <w:szCs w:val="21"/>
                <w:u w:val="none"/>
                <w:lang w:val="en-US" w:eastAsia="zh-CN" w:bidi="ar"/>
              </w:rPr>
              <w:t>穿透到最终层级，直接/间接持股≥25%或实际控制；无则为高级管理人</w:t>
            </w:r>
          </w:p>
        </w:tc>
        <w:tc>
          <w:tcPr>
            <w:tcW w:w="2265" w:type="dxa"/>
            <w:shd w:val="clear" w:color="auto" w:fill="auto"/>
            <w:vAlign w:val="center"/>
          </w:tcPr>
          <w:p w14:paraId="7CD33A9F">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eastAsia" w:ascii="微软雅黑" w:hAnsi="微软雅黑" w:eastAsia="微软雅黑" w:cs="微软雅黑"/>
                <w:i w:val="0"/>
                <w:iCs w:val="0"/>
                <w:color w:val="000000"/>
                <w:kern w:val="2"/>
                <w:sz w:val="21"/>
                <w:szCs w:val="21"/>
                <w:u w:val="none"/>
                <w:lang w:eastAsia="zh-CN"/>
              </w:rPr>
            </w:pPr>
            <w:r>
              <w:rPr>
                <w:rFonts w:hint="eastAsia" w:ascii="微软雅黑" w:hAnsi="微软雅黑" w:eastAsia="微软雅黑" w:cs="微软雅黑"/>
                <w:i w:val="0"/>
                <w:iCs w:val="0"/>
                <w:color w:val="000000"/>
                <w:kern w:val="0"/>
                <w:sz w:val="21"/>
                <w:szCs w:val="21"/>
                <w:u w:val="none"/>
                <w:lang w:val="en-US" w:eastAsia="zh-CN" w:bidi="ar"/>
              </w:rPr>
              <w:t>穿透到最终层级，直接/间接持股≥25%或实际控制；无则为高级管理人</w:t>
            </w:r>
          </w:p>
        </w:tc>
        <w:tc>
          <w:tcPr>
            <w:tcW w:w="2265" w:type="dxa"/>
            <w:shd w:val="clear" w:color="auto" w:fill="auto"/>
            <w:vAlign w:val="center"/>
          </w:tcPr>
          <w:p w14:paraId="32769C03">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eastAsia" w:ascii="微软雅黑" w:hAnsi="微软雅黑" w:eastAsia="微软雅黑" w:cs="微软雅黑"/>
                <w:i w:val="0"/>
                <w:iCs w:val="0"/>
                <w:color w:val="000000"/>
                <w:kern w:val="2"/>
                <w:sz w:val="21"/>
                <w:szCs w:val="21"/>
                <w:u w:val="none"/>
                <w:lang w:eastAsia="zh-CN"/>
              </w:rPr>
            </w:pPr>
            <w:r>
              <w:rPr>
                <w:rFonts w:hint="eastAsia" w:ascii="微软雅黑" w:hAnsi="微软雅黑" w:eastAsia="微软雅黑" w:cs="微软雅黑"/>
                <w:i w:val="0"/>
                <w:iCs w:val="0"/>
                <w:color w:val="000000"/>
                <w:kern w:val="0"/>
                <w:sz w:val="21"/>
                <w:szCs w:val="21"/>
                <w:u w:val="none"/>
                <w:lang w:val="en-US" w:eastAsia="zh-CN" w:bidi="ar"/>
              </w:rPr>
              <w:t>穿透到最终层级，直接/间接持股≥25%或实际控制；无则为高级管理人</w:t>
            </w:r>
          </w:p>
        </w:tc>
      </w:tr>
      <w:tr w14:paraId="2CCFA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5" w:hRule="atLeast"/>
        </w:trPr>
        <w:tc>
          <w:tcPr>
            <w:tcW w:w="1305" w:type="dxa"/>
            <w:shd w:val="clear" w:color="auto" w:fill="auto"/>
            <w:vAlign w:val="center"/>
          </w:tcPr>
          <w:p w14:paraId="087BBDD4">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eastAsia" w:ascii="微软雅黑" w:hAnsi="微软雅黑" w:eastAsia="微软雅黑" w:cs="微软雅黑"/>
                <w:b w:val="0"/>
                <w:bCs w:val="0"/>
                <w:i w:val="0"/>
                <w:iCs w:val="0"/>
                <w:color w:val="000000"/>
                <w:kern w:val="2"/>
                <w:sz w:val="21"/>
                <w:szCs w:val="21"/>
                <w:u w:val="none"/>
                <w:lang w:eastAsia="zh-CN"/>
              </w:rPr>
            </w:pPr>
            <w:r>
              <w:rPr>
                <w:rFonts w:hint="eastAsia" w:ascii="微软雅黑" w:hAnsi="微软雅黑" w:eastAsia="微软雅黑" w:cs="微软雅黑"/>
                <w:b w:val="0"/>
                <w:bCs w:val="0"/>
                <w:i w:val="0"/>
                <w:iCs w:val="0"/>
                <w:color w:val="000000"/>
                <w:kern w:val="0"/>
                <w:sz w:val="21"/>
                <w:szCs w:val="21"/>
                <w:u w:val="none"/>
                <w:lang w:val="en-US" w:eastAsia="zh-CN" w:bidi="ar"/>
              </w:rPr>
              <w:t>首次申报</w:t>
            </w:r>
          </w:p>
        </w:tc>
        <w:tc>
          <w:tcPr>
            <w:tcW w:w="2265" w:type="dxa"/>
            <w:shd w:val="clear" w:color="auto" w:fill="auto"/>
            <w:vAlign w:val="center"/>
          </w:tcPr>
          <w:p w14:paraId="135741ED">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eastAsia" w:ascii="微软雅黑" w:hAnsi="微软雅黑" w:eastAsia="微软雅黑" w:cs="微软雅黑"/>
                <w:i w:val="0"/>
                <w:iCs w:val="0"/>
                <w:color w:val="000000"/>
                <w:kern w:val="2"/>
                <w:sz w:val="21"/>
                <w:szCs w:val="21"/>
                <w:u w:val="none"/>
                <w:lang w:eastAsia="zh-CN"/>
              </w:rPr>
            </w:pPr>
            <w:r>
              <w:rPr>
                <w:rFonts w:hint="eastAsia" w:ascii="微软雅黑" w:hAnsi="微软雅黑" w:eastAsia="微软雅黑" w:cs="微软雅黑"/>
                <w:i w:val="0"/>
                <w:iCs w:val="0"/>
                <w:color w:val="000000"/>
                <w:kern w:val="0"/>
                <w:sz w:val="21"/>
                <w:szCs w:val="21"/>
                <w:u w:val="none"/>
                <w:lang w:val="en-US" w:eastAsia="zh-CN" w:bidi="ar"/>
              </w:rPr>
              <w:t>获照后60天内</w:t>
            </w:r>
          </w:p>
        </w:tc>
        <w:tc>
          <w:tcPr>
            <w:tcW w:w="2265" w:type="dxa"/>
            <w:shd w:val="clear" w:color="auto" w:fill="auto"/>
            <w:vAlign w:val="center"/>
          </w:tcPr>
          <w:p w14:paraId="3443F749">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eastAsia" w:ascii="微软雅黑" w:hAnsi="微软雅黑" w:eastAsia="微软雅黑" w:cs="微软雅黑"/>
                <w:i w:val="0"/>
                <w:iCs w:val="0"/>
                <w:color w:val="000000"/>
                <w:kern w:val="2"/>
                <w:sz w:val="21"/>
                <w:szCs w:val="21"/>
                <w:u w:val="none"/>
                <w:lang w:eastAsia="zh-CN"/>
              </w:rPr>
            </w:pPr>
            <w:r>
              <w:rPr>
                <w:rFonts w:hint="eastAsia" w:ascii="微软雅黑" w:hAnsi="微软雅黑" w:eastAsia="微软雅黑" w:cs="微软雅黑"/>
                <w:i w:val="0"/>
                <w:iCs w:val="0"/>
                <w:color w:val="000000"/>
                <w:kern w:val="0"/>
                <w:sz w:val="21"/>
                <w:szCs w:val="21"/>
                <w:u w:val="none"/>
                <w:lang w:val="en-US" w:eastAsia="zh-CN" w:bidi="ar"/>
              </w:rPr>
              <w:t>获照后60天内</w:t>
            </w:r>
          </w:p>
        </w:tc>
        <w:tc>
          <w:tcPr>
            <w:tcW w:w="2265" w:type="dxa"/>
            <w:shd w:val="clear" w:color="auto" w:fill="auto"/>
            <w:vAlign w:val="center"/>
          </w:tcPr>
          <w:p w14:paraId="4988C1A7">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eastAsia" w:ascii="微软雅黑" w:hAnsi="微软雅黑" w:eastAsia="微软雅黑" w:cs="微软雅黑"/>
                <w:i w:val="0"/>
                <w:iCs w:val="0"/>
                <w:color w:val="000000"/>
                <w:kern w:val="2"/>
                <w:sz w:val="21"/>
                <w:szCs w:val="21"/>
                <w:u w:val="none"/>
                <w:lang w:eastAsia="zh-CN"/>
              </w:rPr>
            </w:pPr>
            <w:r>
              <w:rPr>
                <w:rFonts w:hint="eastAsia" w:ascii="微软雅黑" w:hAnsi="微软雅黑" w:eastAsia="微软雅黑" w:cs="微软雅黑"/>
                <w:i w:val="0"/>
                <w:iCs w:val="0"/>
                <w:color w:val="000000"/>
                <w:kern w:val="0"/>
                <w:sz w:val="21"/>
                <w:szCs w:val="21"/>
                <w:u w:val="none"/>
                <w:lang w:val="en-US" w:eastAsia="zh-CN" w:bidi="ar"/>
              </w:rPr>
              <w:t>项目备案后1个月内</w:t>
            </w:r>
          </w:p>
        </w:tc>
      </w:tr>
      <w:tr w14:paraId="51FBB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5" w:hRule="atLeast"/>
        </w:trPr>
        <w:tc>
          <w:tcPr>
            <w:tcW w:w="1305" w:type="dxa"/>
            <w:shd w:val="clear" w:color="auto" w:fill="auto"/>
            <w:vAlign w:val="center"/>
          </w:tcPr>
          <w:p w14:paraId="6481455C">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eastAsia" w:ascii="微软雅黑" w:hAnsi="微软雅黑" w:eastAsia="微软雅黑" w:cs="微软雅黑"/>
                <w:b w:val="0"/>
                <w:bCs w:val="0"/>
                <w:i w:val="0"/>
                <w:iCs w:val="0"/>
                <w:color w:val="000000"/>
                <w:kern w:val="2"/>
                <w:sz w:val="21"/>
                <w:szCs w:val="21"/>
                <w:u w:val="none"/>
                <w:lang w:eastAsia="zh-CN"/>
              </w:rPr>
            </w:pPr>
            <w:r>
              <w:rPr>
                <w:rFonts w:hint="eastAsia" w:ascii="微软雅黑" w:hAnsi="微软雅黑" w:eastAsia="微软雅黑" w:cs="微软雅黑"/>
                <w:b w:val="0"/>
                <w:bCs w:val="0"/>
                <w:i w:val="0"/>
                <w:iCs w:val="0"/>
                <w:color w:val="000000"/>
                <w:kern w:val="0"/>
                <w:sz w:val="21"/>
                <w:szCs w:val="21"/>
                <w:u w:val="none"/>
                <w:lang w:val="en-US" w:eastAsia="zh-CN" w:bidi="ar"/>
              </w:rPr>
              <w:t>变更更新</w:t>
            </w:r>
          </w:p>
        </w:tc>
        <w:tc>
          <w:tcPr>
            <w:tcW w:w="2265" w:type="dxa"/>
            <w:shd w:val="clear" w:color="auto" w:fill="auto"/>
            <w:vAlign w:val="center"/>
          </w:tcPr>
          <w:p w14:paraId="7AD7B5F1">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eastAsia" w:ascii="微软雅黑" w:hAnsi="微软雅黑" w:eastAsia="微软雅黑" w:cs="微软雅黑"/>
                <w:i w:val="0"/>
                <w:iCs w:val="0"/>
                <w:color w:val="000000"/>
                <w:kern w:val="2"/>
                <w:sz w:val="21"/>
                <w:szCs w:val="21"/>
                <w:u w:val="none"/>
                <w:lang w:eastAsia="zh-CN"/>
              </w:rPr>
            </w:pPr>
            <w:r>
              <w:rPr>
                <w:rFonts w:hint="eastAsia" w:ascii="微软雅黑" w:hAnsi="微软雅黑" w:eastAsia="微软雅黑" w:cs="微软雅黑"/>
                <w:i w:val="0"/>
                <w:iCs w:val="0"/>
                <w:color w:val="000000"/>
                <w:kern w:val="0"/>
                <w:sz w:val="21"/>
                <w:szCs w:val="21"/>
                <w:u w:val="none"/>
                <w:lang w:val="en-US" w:eastAsia="zh-CN" w:bidi="ar"/>
              </w:rPr>
              <w:t>股权/控制人变更15天内更新</w:t>
            </w:r>
          </w:p>
        </w:tc>
        <w:tc>
          <w:tcPr>
            <w:tcW w:w="2265" w:type="dxa"/>
            <w:shd w:val="clear" w:color="auto" w:fill="auto"/>
            <w:vAlign w:val="center"/>
          </w:tcPr>
          <w:p w14:paraId="341E6353">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eastAsia" w:ascii="微软雅黑" w:hAnsi="微软雅黑" w:eastAsia="微软雅黑" w:cs="微软雅黑"/>
                <w:i w:val="0"/>
                <w:iCs w:val="0"/>
                <w:color w:val="000000"/>
                <w:kern w:val="2"/>
                <w:sz w:val="21"/>
                <w:szCs w:val="21"/>
                <w:u w:val="none"/>
                <w:lang w:eastAsia="zh-CN"/>
              </w:rPr>
            </w:pPr>
            <w:r>
              <w:rPr>
                <w:rFonts w:hint="eastAsia" w:ascii="微软雅黑" w:hAnsi="微软雅黑" w:eastAsia="微软雅黑" w:cs="微软雅黑"/>
                <w:i w:val="0"/>
                <w:iCs w:val="0"/>
                <w:color w:val="000000"/>
                <w:kern w:val="0"/>
                <w:sz w:val="21"/>
                <w:szCs w:val="21"/>
                <w:u w:val="none"/>
                <w:lang w:val="en-US" w:eastAsia="zh-CN" w:bidi="ar"/>
              </w:rPr>
              <w:t>母公司变更15天内同步</w:t>
            </w:r>
          </w:p>
        </w:tc>
        <w:tc>
          <w:tcPr>
            <w:tcW w:w="2265" w:type="dxa"/>
            <w:shd w:val="clear" w:color="auto" w:fill="auto"/>
            <w:vAlign w:val="center"/>
          </w:tcPr>
          <w:p w14:paraId="21F4534F">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eastAsia" w:ascii="微软雅黑" w:hAnsi="微软雅黑" w:eastAsia="微软雅黑" w:cs="微软雅黑"/>
                <w:i w:val="0"/>
                <w:iCs w:val="0"/>
                <w:color w:val="000000"/>
                <w:kern w:val="2"/>
                <w:sz w:val="21"/>
                <w:szCs w:val="21"/>
                <w:u w:val="none"/>
                <w:lang w:eastAsia="zh-CN"/>
              </w:rPr>
            </w:pPr>
            <w:r>
              <w:rPr>
                <w:rFonts w:hint="eastAsia" w:ascii="微软雅黑" w:hAnsi="微软雅黑" w:eastAsia="微软雅黑" w:cs="微软雅黑"/>
                <w:i w:val="0"/>
                <w:iCs w:val="0"/>
                <w:color w:val="000000"/>
                <w:kern w:val="0"/>
                <w:sz w:val="21"/>
                <w:szCs w:val="21"/>
                <w:u w:val="none"/>
                <w:lang w:val="en-US" w:eastAsia="zh-CN" w:bidi="ar"/>
              </w:rPr>
              <w:t>随母公司UBO更新</w:t>
            </w:r>
          </w:p>
        </w:tc>
      </w:tr>
      <w:tr w14:paraId="6E4DB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55" w:hRule="atLeast"/>
        </w:trPr>
        <w:tc>
          <w:tcPr>
            <w:tcW w:w="1305" w:type="dxa"/>
            <w:shd w:val="clear" w:color="auto" w:fill="auto"/>
            <w:vAlign w:val="center"/>
          </w:tcPr>
          <w:p w14:paraId="77758912">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eastAsia" w:ascii="微软雅黑" w:hAnsi="微软雅黑" w:eastAsia="微软雅黑" w:cs="微软雅黑"/>
                <w:b w:val="0"/>
                <w:bCs w:val="0"/>
                <w:i w:val="0"/>
                <w:iCs w:val="0"/>
                <w:color w:val="000000"/>
                <w:kern w:val="2"/>
                <w:sz w:val="21"/>
                <w:szCs w:val="21"/>
                <w:u w:val="none"/>
                <w:lang w:eastAsia="zh-CN"/>
              </w:rPr>
            </w:pPr>
            <w:r>
              <w:rPr>
                <w:rFonts w:hint="eastAsia" w:ascii="微软雅黑" w:hAnsi="微软雅黑" w:eastAsia="微软雅黑" w:cs="微软雅黑"/>
                <w:b w:val="0"/>
                <w:bCs w:val="0"/>
                <w:i w:val="0"/>
                <w:iCs w:val="0"/>
                <w:color w:val="000000"/>
                <w:kern w:val="0"/>
                <w:sz w:val="21"/>
                <w:szCs w:val="21"/>
                <w:u w:val="none"/>
                <w:lang w:val="en-US" w:eastAsia="zh-CN" w:bidi="ar"/>
              </w:rPr>
              <w:t>核心材料</w:t>
            </w:r>
          </w:p>
        </w:tc>
        <w:tc>
          <w:tcPr>
            <w:tcW w:w="2265" w:type="dxa"/>
            <w:shd w:val="clear" w:color="auto" w:fill="auto"/>
            <w:vAlign w:val="center"/>
          </w:tcPr>
          <w:p w14:paraId="0B380FCE">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eastAsia" w:ascii="微软雅黑" w:hAnsi="微软雅黑" w:eastAsia="微软雅黑" w:cs="微软雅黑"/>
                <w:i w:val="0"/>
                <w:iCs w:val="0"/>
                <w:color w:val="000000"/>
                <w:kern w:val="2"/>
                <w:sz w:val="21"/>
                <w:szCs w:val="21"/>
                <w:u w:val="none"/>
                <w:lang w:eastAsia="zh-CN"/>
              </w:rPr>
            </w:pPr>
            <w:r>
              <w:rPr>
                <w:rFonts w:hint="eastAsia" w:ascii="微软雅黑" w:hAnsi="微软雅黑" w:eastAsia="微软雅黑" w:cs="微软雅黑"/>
                <w:i w:val="0"/>
                <w:iCs w:val="0"/>
                <w:color w:val="000000"/>
                <w:kern w:val="0"/>
                <w:sz w:val="21"/>
                <w:szCs w:val="21"/>
                <w:u w:val="none"/>
                <w:lang w:val="en-US" w:eastAsia="zh-CN" w:bidi="ar"/>
              </w:rPr>
              <w:t>最终受益人（UBO）登记册、股权链、护照/公证件、地址证明</w:t>
            </w:r>
          </w:p>
        </w:tc>
        <w:tc>
          <w:tcPr>
            <w:tcW w:w="2265" w:type="dxa"/>
            <w:shd w:val="clear" w:color="auto" w:fill="auto"/>
            <w:vAlign w:val="center"/>
          </w:tcPr>
          <w:p w14:paraId="48E6E655">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eastAsia" w:ascii="微软雅黑" w:hAnsi="微软雅黑" w:eastAsia="微软雅黑" w:cs="微软雅黑"/>
                <w:i w:val="0"/>
                <w:iCs w:val="0"/>
                <w:color w:val="000000"/>
                <w:kern w:val="2"/>
                <w:sz w:val="21"/>
                <w:szCs w:val="21"/>
                <w:u w:val="none"/>
                <w:lang w:eastAsia="zh-CN"/>
              </w:rPr>
            </w:pPr>
            <w:r>
              <w:rPr>
                <w:rFonts w:hint="eastAsia" w:ascii="微软雅黑" w:hAnsi="微软雅黑" w:eastAsia="微软雅黑" w:cs="微软雅黑"/>
                <w:i w:val="0"/>
                <w:iCs w:val="0"/>
                <w:color w:val="000000"/>
                <w:kern w:val="0"/>
                <w:sz w:val="21"/>
                <w:szCs w:val="21"/>
                <w:u w:val="none"/>
                <w:lang w:val="en-US" w:eastAsia="zh-CN" w:bidi="ar"/>
              </w:rPr>
              <w:t>母公司执照/章程/UBO文件、公证件、授权书</w:t>
            </w:r>
          </w:p>
        </w:tc>
        <w:tc>
          <w:tcPr>
            <w:tcW w:w="2265" w:type="dxa"/>
            <w:shd w:val="clear" w:color="auto" w:fill="auto"/>
            <w:vAlign w:val="center"/>
          </w:tcPr>
          <w:p w14:paraId="267ADB51">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eastAsia" w:ascii="微软雅黑" w:hAnsi="微软雅黑" w:eastAsia="微软雅黑" w:cs="微软雅黑"/>
                <w:i w:val="0"/>
                <w:iCs w:val="0"/>
                <w:color w:val="000000"/>
                <w:kern w:val="2"/>
                <w:sz w:val="21"/>
                <w:szCs w:val="21"/>
                <w:u w:val="none"/>
                <w:lang w:eastAsia="zh-CN"/>
              </w:rPr>
            </w:pPr>
            <w:r>
              <w:rPr>
                <w:rFonts w:hint="eastAsia" w:ascii="微软雅黑" w:hAnsi="微软雅黑" w:eastAsia="微软雅黑" w:cs="微软雅黑"/>
                <w:i w:val="0"/>
                <w:iCs w:val="0"/>
                <w:color w:val="000000"/>
                <w:kern w:val="0"/>
                <w:sz w:val="21"/>
                <w:szCs w:val="21"/>
                <w:u w:val="none"/>
                <w:lang w:val="en-US" w:eastAsia="zh-CN" w:bidi="ar"/>
              </w:rPr>
              <w:t>母公司最终受益人（UBO）资料、负责人授权书、项目备案文件</w:t>
            </w:r>
          </w:p>
        </w:tc>
      </w:tr>
      <w:tr w14:paraId="4CE12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25" w:hRule="atLeast"/>
        </w:trPr>
        <w:tc>
          <w:tcPr>
            <w:tcW w:w="1305" w:type="dxa"/>
            <w:shd w:val="clear" w:color="auto" w:fill="auto"/>
            <w:vAlign w:val="center"/>
          </w:tcPr>
          <w:p w14:paraId="4BBB1C82">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eastAsia" w:ascii="微软雅黑" w:hAnsi="微软雅黑" w:eastAsia="微软雅黑" w:cs="微软雅黑"/>
                <w:b w:val="0"/>
                <w:bCs w:val="0"/>
                <w:i w:val="0"/>
                <w:iCs w:val="0"/>
                <w:color w:val="000000"/>
                <w:kern w:val="2"/>
                <w:sz w:val="21"/>
                <w:szCs w:val="21"/>
                <w:u w:val="none"/>
                <w:lang w:eastAsia="zh-CN"/>
              </w:rPr>
            </w:pPr>
            <w:r>
              <w:rPr>
                <w:rFonts w:hint="eastAsia" w:ascii="微软雅黑" w:hAnsi="微软雅黑" w:eastAsia="微软雅黑" w:cs="微软雅黑"/>
                <w:b w:val="0"/>
                <w:bCs w:val="0"/>
                <w:i w:val="0"/>
                <w:iCs w:val="0"/>
                <w:color w:val="000000"/>
                <w:kern w:val="0"/>
                <w:sz w:val="21"/>
                <w:szCs w:val="21"/>
                <w:u w:val="none"/>
                <w:lang w:val="en-US" w:eastAsia="zh-CN" w:bidi="ar"/>
              </w:rPr>
              <w:t>违规后果</w:t>
            </w:r>
          </w:p>
        </w:tc>
        <w:tc>
          <w:tcPr>
            <w:tcW w:w="2265" w:type="dxa"/>
            <w:shd w:val="clear" w:color="auto" w:fill="auto"/>
            <w:vAlign w:val="center"/>
          </w:tcPr>
          <w:p w14:paraId="3DD40CA8">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eastAsia" w:ascii="微软雅黑" w:hAnsi="微软雅黑" w:eastAsia="微软雅黑" w:cs="微软雅黑"/>
                <w:i w:val="0"/>
                <w:iCs w:val="0"/>
                <w:color w:val="000000"/>
                <w:kern w:val="2"/>
                <w:sz w:val="21"/>
                <w:szCs w:val="21"/>
                <w:u w:val="none"/>
                <w:lang w:eastAsia="zh-CN"/>
              </w:rPr>
            </w:pPr>
            <w:r>
              <w:rPr>
                <w:rFonts w:hint="eastAsia" w:ascii="微软雅黑" w:hAnsi="微软雅黑" w:eastAsia="微软雅黑" w:cs="微软雅黑"/>
                <w:i w:val="0"/>
                <w:iCs w:val="0"/>
                <w:color w:val="000000"/>
                <w:kern w:val="0"/>
                <w:sz w:val="21"/>
                <w:szCs w:val="21"/>
                <w:u w:val="none"/>
                <w:lang w:val="en-US" w:eastAsia="zh-CN" w:bidi="ar"/>
              </w:rPr>
              <w:t>罚款2–10万迪拉姆、吊销执照、账户冻结</w:t>
            </w:r>
          </w:p>
        </w:tc>
        <w:tc>
          <w:tcPr>
            <w:tcW w:w="2265" w:type="dxa"/>
            <w:shd w:val="clear" w:color="auto" w:fill="auto"/>
            <w:vAlign w:val="center"/>
          </w:tcPr>
          <w:p w14:paraId="4F8845E7">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eastAsia" w:ascii="微软雅黑" w:hAnsi="微软雅黑" w:eastAsia="微软雅黑" w:cs="微软雅黑"/>
                <w:i w:val="0"/>
                <w:iCs w:val="0"/>
                <w:color w:val="000000"/>
                <w:kern w:val="2"/>
                <w:sz w:val="21"/>
                <w:szCs w:val="21"/>
                <w:u w:val="none"/>
                <w:lang w:eastAsia="zh-CN"/>
              </w:rPr>
            </w:pPr>
            <w:r>
              <w:rPr>
                <w:rFonts w:hint="eastAsia" w:ascii="微软雅黑" w:hAnsi="微软雅黑" w:eastAsia="微软雅黑" w:cs="微软雅黑"/>
                <w:i w:val="0"/>
                <w:iCs w:val="0"/>
                <w:color w:val="000000"/>
                <w:kern w:val="0"/>
                <w:sz w:val="21"/>
                <w:szCs w:val="21"/>
                <w:u w:val="none"/>
                <w:lang w:val="en-US" w:eastAsia="zh-CN" w:bidi="ar"/>
              </w:rPr>
              <w:t>罚款2–10万迪拉姆、吊销执照、账户冻结，连带母公司责任</w:t>
            </w:r>
          </w:p>
        </w:tc>
        <w:tc>
          <w:tcPr>
            <w:tcW w:w="2265" w:type="dxa"/>
            <w:shd w:val="clear" w:color="auto" w:fill="auto"/>
            <w:vAlign w:val="center"/>
          </w:tcPr>
          <w:p w14:paraId="23E5BC2F">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eastAsia" w:ascii="微软雅黑" w:hAnsi="微软雅黑" w:eastAsia="微软雅黑" w:cs="微软雅黑"/>
                <w:i w:val="0"/>
                <w:iCs w:val="0"/>
                <w:color w:val="000000"/>
                <w:kern w:val="2"/>
                <w:sz w:val="21"/>
                <w:szCs w:val="21"/>
                <w:u w:val="none"/>
                <w:lang w:eastAsia="zh-CN"/>
              </w:rPr>
            </w:pPr>
            <w:r>
              <w:rPr>
                <w:rFonts w:hint="eastAsia" w:ascii="微软雅黑" w:hAnsi="微软雅黑" w:eastAsia="微软雅黑" w:cs="微软雅黑"/>
                <w:i w:val="0"/>
                <w:iCs w:val="0"/>
                <w:color w:val="000000"/>
                <w:kern w:val="0"/>
                <w:sz w:val="21"/>
                <w:szCs w:val="21"/>
                <w:u w:val="none"/>
                <w:lang w:val="en-US" w:eastAsia="zh-CN" w:bidi="ar"/>
              </w:rPr>
              <w:t>由母公司承担同等级处罚</w:t>
            </w:r>
          </w:p>
        </w:tc>
      </w:tr>
    </w:tbl>
    <w:p w14:paraId="05516FFE">
      <w:pPr>
        <w:keepNext w:val="0"/>
        <w:keepLines w:val="0"/>
        <w:pageBreakBefore w:val="0"/>
        <w:widowControl/>
        <w:numPr>
          <w:ilvl w:val="0"/>
          <w:numId w:val="0"/>
        </w:numPr>
        <w:kinsoku/>
        <w:wordWrap/>
        <w:overflowPunct/>
        <w:topLinePunct w:val="0"/>
        <w:autoSpaceDE/>
        <w:autoSpaceDN/>
        <w:bidi w:val="0"/>
        <w:adjustRightInd/>
        <w:snapToGrid/>
        <w:spacing w:before="40" w:after="40" w:line="276" w:lineRule="auto"/>
        <w:ind w:firstLine="480" w:firstLineChars="200"/>
        <w:jc w:val="both"/>
        <w:textAlignment w:val="auto"/>
        <w:rPr>
          <w:rFonts w:hint="eastAsia"/>
          <w:sz w:val="24"/>
          <w:szCs w:val="28"/>
          <w:lang w:val="en-US" w:eastAsia="zh-CN"/>
        </w:rPr>
      </w:pPr>
      <w:r>
        <w:rPr>
          <w:rFonts w:hint="eastAsia"/>
          <w:sz w:val="24"/>
          <w:szCs w:val="28"/>
          <w:lang w:val="en-US" w:eastAsia="zh-CN"/>
        </w:rPr>
        <w:t>3、反洗钱（AML）规定</w:t>
      </w:r>
    </w:p>
    <w:p w14:paraId="4B909B05">
      <w:pPr>
        <w:keepNext w:val="0"/>
        <w:keepLines w:val="0"/>
        <w:pageBreakBefore w:val="0"/>
        <w:widowControl/>
        <w:numPr>
          <w:ilvl w:val="0"/>
          <w:numId w:val="0"/>
        </w:numPr>
        <w:kinsoku/>
        <w:wordWrap/>
        <w:overflowPunct/>
        <w:topLinePunct w:val="0"/>
        <w:autoSpaceDE/>
        <w:autoSpaceDN/>
        <w:bidi w:val="0"/>
        <w:adjustRightInd/>
        <w:snapToGrid/>
        <w:spacing w:before="40" w:after="40" w:line="276" w:lineRule="auto"/>
        <w:ind w:firstLine="480" w:firstLineChars="200"/>
        <w:jc w:val="both"/>
        <w:textAlignment w:val="auto"/>
        <w:rPr>
          <w:rFonts w:hint="default"/>
          <w:sz w:val="24"/>
          <w:szCs w:val="28"/>
          <w:lang w:val="en-US" w:eastAsia="zh-CN"/>
        </w:rPr>
      </w:pPr>
      <w:r>
        <w:rPr>
          <w:rFonts w:hint="default"/>
          <w:sz w:val="24"/>
          <w:szCs w:val="28"/>
          <w:lang w:val="en-US" w:eastAsia="zh-CN"/>
        </w:rPr>
        <w:t>金融企业、指定非金融企业（不动产类、贵金属珠宝、专业服务业、工程建筑及博彩娱乐、高端奢侈品大额贸易商）、虚拟资产服务商等应遵循阿联酋反洗钱（AML）规定，法定强制goAML注册。</w:t>
      </w:r>
    </w:p>
    <w:p w14:paraId="4B97FC06">
      <w:pPr>
        <w:keepNext w:val="0"/>
        <w:keepLines w:val="0"/>
        <w:pageBreakBefore w:val="0"/>
        <w:widowControl/>
        <w:numPr>
          <w:ilvl w:val="0"/>
          <w:numId w:val="0"/>
        </w:numPr>
        <w:kinsoku/>
        <w:wordWrap/>
        <w:overflowPunct/>
        <w:topLinePunct w:val="0"/>
        <w:autoSpaceDE/>
        <w:autoSpaceDN/>
        <w:bidi w:val="0"/>
        <w:adjustRightInd/>
        <w:snapToGrid/>
        <w:spacing w:before="40" w:after="40" w:line="276" w:lineRule="auto"/>
        <w:ind w:firstLine="480" w:firstLineChars="200"/>
        <w:jc w:val="both"/>
        <w:textAlignment w:val="auto"/>
        <w:rPr>
          <w:rFonts w:hint="default"/>
          <w:sz w:val="24"/>
          <w:szCs w:val="28"/>
          <w:lang w:val="en-US" w:eastAsia="zh-CN"/>
        </w:rPr>
      </w:pPr>
      <w:r>
        <w:rPr>
          <w:rFonts w:hint="default"/>
          <w:sz w:val="24"/>
          <w:szCs w:val="28"/>
          <w:lang w:val="en-US" w:eastAsia="zh-CN"/>
        </w:rPr>
        <w:t>工程类境外分支机构（不涉及房产销售）不需要在反洗钱平台（goAML）注册，但需配合银行完成客户尽职调查（CDD），做好大额交易监控及可疑交易报告，按要求提供资料，违规可能导致账户冻结、罚款等后果。</w:t>
      </w:r>
    </w:p>
    <w:p w14:paraId="17692A83">
      <w:pPr>
        <w:pStyle w:val="4"/>
        <w:pageBreakBefore w:val="0"/>
        <w:widowControl/>
        <w:kinsoku/>
        <w:wordWrap/>
        <w:overflowPunct/>
        <w:topLinePunct w:val="0"/>
        <w:autoSpaceDE/>
        <w:autoSpaceDN/>
        <w:bidi w:val="0"/>
        <w:adjustRightInd/>
        <w:snapToGrid/>
        <w:jc w:val="both"/>
        <w:rPr>
          <w:rFonts w:ascii="微软雅黑" w:hAnsi="微软雅黑" w:eastAsia="微软雅黑"/>
          <w:color w:val="auto"/>
          <w:lang w:eastAsia="zh-CN"/>
        </w:rPr>
      </w:pPr>
      <w:bookmarkStart w:id="32" w:name="_Toc29160"/>
      <w:r>
        <w:rPr>
          <w:rFonts w:ascii="微软雅黑" w:hAnsi="微软雅黑" w:eastAsia="微软雅黑"/>
          <w:color w:val="auto"/>
          <w:lang w:val="zh-CN" w:eastAsia="zh-CN"/>
        </w:rPr>
        <w:t>4.2  核心税收制度</w:t>
      </w:r>
      <w:bookmarkEnd w:id="32"/>
    </w:p>
    <w:p w14:paraId="2547E0CA">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阿联酋是一个低税国家，2017年来，阿联酋相继颁布《增值税法》、《税收程序法》、《消费税法》等税务法案。2022年1月，阿联酋财政部宣布于2023年6月30日开征企业所得税。阿联酋无个人所得税，工程相关业务暂</w:t>
      </w:r>
      <w:r>
        <w:rPr>
          <w:rFonts w:hint="eastAsia"/>
          <w:sz w:val="24"/>
          <w:szCs w:val="28"/>
          <w:lang w:val="en-US" w:eastAsia="zh-CN"/>
        </w:rPr>
        <w:t>不涉及</w:t>
      </w:r>
      <w:r>
        <w:rPr>
          <w:rFonts w:hint="eastAsia"/>
          <w:sz w:val="24"/>
          <w:szCs w:val="28"/>
          <w:lang w:val="zh-CN" w:eastAsia="zh-CN"/>
        </w:rPr>
        <w:t>预提税、</w:t>
      </w:r>
      <w:r>
        <w:rPr>
          <w:rFonts w:hint="eastAsia"/>
          <w:sz w:val="24"/>
          <w:szCs w:val="28"/>
          <w:lang w:val="en-US" w:eastAsia="zh-CN"/>
        </w:rPr>
        <w:t>消费税</w:t>
      </w:r>
      <w:r>
        <w:rPr>
          <w:rFonts w:hint="eastAsia"/>
          <w:sz w:val="24"/>
          <w:szCs w:val="28"/>
          <w:lang w:val="zh-CN" w:eastAsia="zh-CN"/>
        </w:rPr>
        <w:t>。详情可</w:t>
      </w:r>
      <w:r>
        <w:rPr>
          <w:rFonts w:hint="eastAsia"/>
          <w:color w:val="auto"/>
          <w:sz w:val="24"/>
          <w:szCs w:val="28"/>
          <w:u w:val="single"/>
          <w:lang w:val="zh-CN" w:eastAsia="zh-CN"/>
        </w:rPr>
        <w:t>查询：</w:t>
      </w:r>
      <w:r>
        <w:rPr>
          <w:rFonts w:hint="eastAsia"/>
          <w:color w:val="auto"/>
          <w:sz w:val="24"/>
          <w:szCs w:val="28"/>
          <w:u w:val="single"/>
          <w:lang w:val="zh-CN" w:eastAsia="zh-CN"/>
        </w:rPr>
        <w:fldChar w:fldCharType="begin"/>
      </w:r>
      <w:r>
        <w:rPr>
          <w:rFonts w:hint="eastAsia"/>
          <w:color w:val="auto"/>
          <w:sz w:val="24"/>
          <w:szCs w:val="28"/>
          <w:u w:val="single"/>
          <w:lang w:val="zh-CN" w:eastAsia="zh-CN"/>
        </w:rPr>
        <w:instrText xml:space="preserve"> HYPERLINK "http://www.tax.gov.ae/en/" </w:instrText>
      </w:r>
      <w:r>
        <w:rPr>
          <w:rFonts w:hint="eastAsia"/>
          <w:color w:val="auto"/>
          <w:sz w:val="24"/>
          <w:szCs w:val="28"/>
          <w:u w:val="single"/>
          <w:lang w:val="zh-CN" w:eastAsia="zh-CN"/>
        </w:rPr>
        <w:fldChar w:fldCharType="separate"/>
      </w:r>
      <w:r>
        <w:rPr>
          <w:rStyle w:val="139"/>
          <w:rFonts w:hint="eastAsia"/>
          <w:color w:val="auto"/>
          <w:sz w:val="24"/>
          <w:szCs w:val="28"/>
          <w:u w:val="single"/>
          <w:lang w:val="zh-CN" w:eastAsia="zh-CN"/>
        </w:rPr>
        <w:t>www.tax.gov.ae/en/</w:t>
      </w:r>
      <w:r>
        <w:rPr>
          <w:rFonts w:hint="eastAsia"/>
          <w:color w:val="auto"/>
          <w:sz w:val="24"/>
          <w:szCs w:val="28"/>
          <w:u w:val="single"/>
          <w:lang w:val="zh-CN" w:eastAsia="zh-CN"/>
        </w:rPr>
        <w:fldChar w:fldCharType="end"/>
      </w:r>
    </w:p>
    <w:p w14:paraId="19566533">
      <w:pPr>
        <w:pStyle w:val="5"/>
        <w:pageBreakBefore w:val="0"/>
        <w:widowControl/>
        <w:kinsoku/>
        <w:wordWrap/>
        <w:overflowPunct/>
        <w:topLinePunct w:val="0"/>
        <w:autoSpaceDE/>
        <w:autoSpaceDN/>
        <w:bidi w:val="0"/>
        <w:adjustRightInd/>
        <w:snapToGrid/>
        <w:jc w:val="both"/>
        <w:rPr>
          <w:rFonts w:hint="eastAsia"/>
          <w:sz w:val="24"/>
          <w:szCs w:val="28"/>
          <w:lang w:val="zh-CN" w:eastAsia="zh-CN"/>
        </w:rPr>
      </w:pPr>
      <w:bookmarkStart w:id="33" w:name="_Toc23736"/>
      <w:r>
        <w:rPr>
          <w:rFonts w:hint="eastAsia" w:ascii="微软雅黑" w:hAnsi="微软雅黑" w:eastAsia="微软雅黑"/>
          <w:color w:val="auto"/>
          <w:lang w:val="en-US" w:eastAsia="zh-CN"/>
        </w:rPr>
        <w:t>4</w:t>
      </w:r>
      <w:r>
        <w:rPr>
          <w:rFonts w:ascii="微软雅黑" w:hAnsi="微软雅黑" w:eastAsia="微软雅黑"/>
          <w:color w:val="auto"/>
          <w:lang w:val="zh-CN" w:eastAsia="zh-CN"/>
        </w:rPr>
        <w:t>.</w:t>
      </w:r>
      <w:r>
        <w:rPr>
          <w:rFonts w:hint="eastAsia" w:ascii="微软雅黑" w:hAnsi="微软雅黑" w:eastAsia="微软雅黑"/>
          <w:color w:val="auto"/>
          <w:lang w:val="en-US" w:eastAsia="zh-CN"/>
        </w:rPr>
        <w:t>2</w:t>
      </w:r>
      <w:r>
        <w:rPr>
          <w:rFonts w:ascii="微软雅黑" w:hAnsi="微软雅黑" w:eastAsia="微软雅黑"/>
          <w:color w:val="auto"/>
          <w:lang w:val="zh-CN" w:eastAsia="zh-CN"/>
        </w:rPr>
        <w:t>.</w:t>
      </w:r>
      <w:r>
        <w:rPr>
          <w:rFonts w:hint="eastAsia" w:ascii="微软雅黑" w:hAnsi="微软雅黑" w:eastAsia="微软雅黑"/>
          <w:color w:val="auto"/>
          <w:lang w:val="en-US" w:eastAsia="zh-CN"/>
        </w:rPr>
        <w:t>1</w:t>
      </w:r>
      <w:r>
        <w:rPr>
          <w:rFonts w:ascii="微软雅黑" w:hAnsi="微软雅黑" w:eastAsia="微软雅黑"/>
          <w:color w:val="auto"/>
          <w:lang w:val="zh-CN" w:eastAsia="zh-CN"/>
        </w:rPr>
        <w:t xml:space="preserve">  </w:t>
      </w:r>
      <w:r>
        <w:rPr>
          <w:rFonts w:hint="eastAsia" w:ascii="微软雅黑" w:hAnsi="微软雅黑" w:eastAsia="微软雅黑"/>
          <w:color w:val="auto"/>
          <w:lang w:val="zh-CN" w:eastAsia="zh-CN"/>
        </w:rPr>
        <w:t>企业所得税</w:t>
      </w:r>
      <w:bookmarkEnd w:id="33"/>
    </w:p>
    <w:p w14:paraId="2D23F736">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标准税率：9%，2023年6月1日起生效。居民企业：利润≤37.5万迪拉姆，0%；利润&gt;37.5万迪拉姆（仅对超出部分征税），9%。非居民企业：对应纳税所得额全额计算缴纳所得税，9%税率，不适用小微豁免。</w:t>
      </w:r>
    </w:p>
    <w:p w14:paraId="3995F8C9">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highlight w:val="none"/>
          <w:lang w:val="en-US" w:eastAsia="zh-CN"/>
        </w:rPr>
      </w:pPr>
      <w:r>
        <w:rPr>
          <w:rFonts w:hint="eastAsia"/>
          <w:sz w:val="24"/>
          <w:szCs w:val="28"/>
          <w:highlight w:val="none"/>
          <w:lang w:val="en-US" w:eastAsia="zh-CN"/>
        </w:rPr>
        <w:t>自贸区企业所得税零税率需满足的条件（工程项目一般不满足合格收入条件，无法享受合格收入企业所得税税率0%的税收优惠）：</w:t>
      </w:r>
    </w:p>
    <w:p w14:paraId="79CF372F">
      <w:pPr>
        <w:keepNext w:val="0"/>
        <w:keepLines w:val="0"/>
        <w:pageBreakBefore w:val="0"/>
        <w:widowControl/>
        <w:numPr>
          <w:ilvl w:val="0"/>
          <w:numId w:val="9"/>
        </w:numPr>
        <w:kinsoku/>
        <w:wordWrap/>
        <w:overflowPunct/>
        <w:topLinePunct w:val="0"/>
        <w:autoSpaceDE/>
        <w:autoSpaceDN/>
        <w:bidi w:val="0"/>
        <w:adjustRightInd/>
        <w:snapToGrid/>
        <w:spacing w:before="40" w:after="40"/>
        <w:ind w:firstLine="480" w:firstLineChars="200"/>
        <w:jc w:val="both"/>
        <w:textAlignment w:val="auto"/>
        <w:rPr>
          <w:rFonts w:hint="default"/>
          <w:sz w:val="24"/>
          <w:szCs w:val="28"/>
          <w:highlight w:val="none"/>
          <w:lang w:val="en-US" w:eastAsia="zh-CN"/>
        </w:rPr>
      </w:pPr>
      <w:r>
        <w:rPr>
          <w:rFonts w:hint="default"/>
          <w:sz w:val="24"/>
          <w:szCs w:val="28"/>
          <w:highlight w:val="none"/>
          <w:lang w:val="en-US" w:eastAsia="zh-CN"/>
        </w:rPr>
        <w:t>适用零税率的经营活动范围：制造业、加工业、商品贸易、持股及证券持有、航运、飞机租赁与融资、基金管理、再保险、资产管理、总部服务、金融交易、物流服务以及指定区域内的货物分销等</w:t>
      </w:r>
      <w:r>
        <w:rPr>
          <w:rFonts w:hint="eastAsia"/>
          <w:sz w:val="24"/>
          <w:szCs w:val="28"/>
          <w:highlight w:val="none"/>
          <w:lang w:val="en-US" w:eastAsia="zh-CN"/>
        </w:rPr>
        <w:t>。</w:t>
      </w:r>
    </w:p>
    <w:p w14:paraId="69D253D8">
      <w:pPr>
        <w:keepNext w:val="0"/>
        <w:keepLines w:val="0"/>
        <w:pageBreakBefore w:val="0"/>
        <w:widowControl/>
        <w:numPr>
          <w:ilvl w:val="0"/>
          <w:numId w:val="9"/>
        </w:numPr>
        <w:kinsoku/>
        <w:wordWrap/>
        <w:overflowPunct/>
        <w:topLinePunct w:val="0"/>
        <w:autoSpaceDE/>
        <w:autoSpaceDN/>
        <w:bidi w:val="0"/>
        <w:adjustRightInd/>
        <w:snapToGrid/>
        <w:spacing w:before="40" w:after="40"/>
        <w:ind w:firstLine="480" w:firstLineChars="200"/>
        <w:jc w:val="both"/>
        <w:textAlignment w:val="auto"/>
        <w:rPr>
          <w:rFonts w:hint="default"/>
          <w:sz w:val="24"/>
          <w:szCs w:val="28"/>
          <w:highlight w:val="none"/>
          <w:lang w:val="en-US" w:eastAsia="zh-CN"/>
        </w:rPr>
      </w:pPr>
      <w:r>
        <w:rPr>
          <w:rFonts w:hint="default"/>
          <w:sz w:val="24"/>
          <w:szCs w:val="28"/>
          <w:highlight w:val="none"/>
          <w:lang w:val="en-US" w:eastAsia="zh-CN"/>
        </w:rPr>
        <w:t>不适用零税率的经营活动范围：与自然人的交易、银行业务、保险业务（再保险及总部服务除外）、特定金融及租赁活动以及位于自贸区以外的不动产交易</w:t>
      </w:r>
      <w:r>
        <w:rPr>
          <w:rFonts w:hint="eastAsia"/>
          <w:sz w:val="24"/>
          <w:szCs w:val="28"/>
          <w:highlight w:val="none"/>
          <w:lang w:val="en-US" w:eastAsia="zh-CN"/>
        </w:rPr>
        <w:t>。</w:t>
      </w:r>
    </w:p>
    <w:p w14:paraId="3D8EF1B0">
      <w:pPr>
        <w:keepNext w:val="0"/>
        <w:keepLines w:val="0"/>
        <w:pageBreakBefore w:val="0"/>
        <w:widowControl/>
        <w:numPr>
          <w:ilvl w:val="0"/>
          <w:numId w:val="9"/>
        </w:numPr>
        <w:kinsoku/>
        <w:wordWrap/>
        <w:overflowPunct/>
        <w:topLinePunct w:val="0"/>
        <w:autoSpaceDE/>
        <w:autoSpaceDN/>
        <w:bidi w:val="0"/>
        <w:adjustRightInd/>
        <w:snapToGrid/>
        <w:spacing w:before="40" w:after="40"/>
        <w:ind w:firstLine="480" w:firstLineChars="200"/>
        <w:jc w:val="both"/>
        <w:textAlignment w:val="auto"/>
        <w:rPr>
          <w:rFonts w:hint="default"/>
          <w:sz w:val="24"/>
          <w:szCs w:val="28"/>
          <w:highlight w:val="none"/>
          <w:lang w:val="en-US" w:eastAsia="zh-CN"/>
        </w:rPr>
      </w:pPr>
      <w:r>
        <w:rPr>
          <w:rFonts w:hint="default"/>
          <w:sz w:val="24"/>
          <w:szCs w:val="28"/>
          <w:highlight w:val="none"/>
          <w:lang w:val="en-US" w:eastAsia="zh-CN"/>
        </w:rPr>
        <w:t>设立非合格收入限额标准：企业不适用零税率经营范围产生的收入不得超过总收入的5%或500万迪拉姆（以较低者为准），否则其原本适用零税率的相关收入不得适用零税率</w:t>
      </w:r>
      <w:r>
        <w:rPr>
          <w:rFonts w:hint="eastAsia"/>
          <w:sz w:val="24"/>
          <w:szCs w:val="28"/>
          <w:highlight w:val="none"/>
          <w:lang w:val="en-US" w:eastAsia="zh-CN"/>
        </w:rPr>
        <w:t>。</w:t>
      </w:r>
    </w:p>
    <w:p w14:paraId="64073BA0">
      <w:pPr>
        <w:keepNext w:val="0"/>
        <w:keepLines w:val="0"/>
        <w:pageBreakBefore w:val="0"/>
        <w:widowControl/>
        <w:numPr>
          <w:ilvl w:val="0"/>
          <w:numId w:val="9"/>
        </w:numPr>
        <w:kinsoku/>
        <w:wordWrap/>
        <w:overflowPunct/>
        <w:topLinePunct w:val="0"/>
        <w:autoSpaceDE/>
        <w:autoSpaceDN/>
        <w:bidi w:val="0"/>
        <w:adjustRightInd/>
        <w:snapToGrid/>
        <w:spacing w:before="40" w:after="40"/>
        <w:ind w:firstLine="480" w:firstLineChars="200"/>
        <w:jc w:val="both"/>
        <w:textAlignment w:val="auto"/>
        <w:rPr>
          <w:rFonts w:hint="default"/>
          <w:sz w:val="24"/>
          <w:szCs w:val="28"/>
          <w:highlight w:val="none"/>
          <w:lang w:val="en-US" w:eastAsia="zh-CN"/>
        </w:rPr>
      </w:pPr>
      <w:r>
        <w:rPr>
          <w:rFonts w:hint="default"/>
          <w:sz w:val="24"/>
          <w:szCs w:val="28"/>
          <w:highlight w:val="none"/>
          <w:lang w:val="en-US" w:eastAsia="zh-CN"/>
        </w:rPr>
        <w:t>合规要求：自贸区企业需按规定编制财务报表，若报表不符合规定，企业当年及后续四个纳税年度不得享受自贸区税收优惠</w:t>
      </w:r>
      <w:r>
        <w:rPr>
          <w:rFonts w:hint="eastAsia"/>
          <w:sz w:val="24"/>
          <w:szCs w:val="28"/>
          <w:highlight w:val="none"/>
          <w:lang w:val="en-US" w:eastAsia="zh-CN"/>
        </w:rPr>
        <w:t>。</w:t>
      </w:r>
    </w:p>
    <w:p w14:paraId="758546F9">
      <w:pPr>
        <w:keepNext w:val="0"/>
        <w:keepLines w:val="0"/>
        <w:pageBreakBefore w:val="0"/>
        <w:widowControl/>
        <w:numPr>
          <w:ilvl w:val="0"/>
          <w:numId w:val="9"/>
        </w:numPr>
        <w:kinsoku/>
        <w:wordWrap/>
        <w:overflowPunct/>
        <w:topLinePunct w:val="0"/>
        <w:autoSpaceDE/>
        <w:autoSpaceDN/>
        <w:bidi w:val="0"/>
        <w:adjustRightInd/>
        <w:snapToGrid/>
        <w:spacing w:before="40" w:after="40"/>
        <w:ind w:firstLine="480" w:firstLineChars="200"/>
        <w:jc w:val="both"/>
        <w:textAlignment w:val="auto"/>
        <w:rPr>
          <w:rFonts w:hint="default"/>
          <w:sz w:val="24"/>
          <w:szCs w:val="28"/>
          <w:highlight w:val="none"/>
          <w:lang w:val="en-US" w:eastAsia="zh-CN"/>
        </w:rPr>
      </w:pPr>
      <w:r>
        <w:rPr>
          <w:rFonts w:hint="default"/>
          <w:sz w:val="24"/>
          <w:szCs w:val="28"/>
          <w:highlight w:val="none"/>
          <w:lang w:val="en-US" w:eastAsia="zh-CN"/>
        </w:rPr>
        <w:t>地域规则</w:t>
      </w:r>
      <w:r>
        <w:rPr>
          <w:rFonts w:hint="eastAsia"/>
          <w:sz w:val="24"/>
          <w:szCs w:val="28"/>
          <w:highlight w:val="none"/>
          <w:lang w:val="en-US" w:eastAsia="zh-CN"/>
        </w:rPr>
        <w:t>：自由区与境外，自由区与自由区（同区 / 跨区），自由区与指定区。</w:t>
      </w:r>
    </w:p>
    <w:p w14:paraId="159555BA">
      <w:pPr>
        <w:keepNext w:val="0"/>
        <w:keepLines w:val="0"/>
        <w:pageBreakBefore w:val="0"/>
        <w:widowControl/>
        <w:numPr>
          <w:ilvl w:val="0"/>
          <w:numId w:val="9"/>
        </w:numPr>
        <w:kinsoku/>
        <w:wordWrap/>
        <w:overflowPunct/>
        <w:topLinePunct w:val="0"/>
        <w:autoSpaceDE/>
        <w:autoSpaceDN/>
        <w:bidi w:val="0"/>
        <w:adjustRightInd/>
        <w:snapToGrid/>
        <w:spacing w:before="40" w:after="40"/>
        <w:ind w:firstLine="480" w:firstLineChars="200"/>
        <w:jc w:val="both"/>
        <w:textAlignment w:val="auto"/>
        <w:rPr>
          <w:rFonts w:hint="default"/>
          <w:sz w:val="24"/>
          <w:szCs w:val="28"/>
          <w:highlight w:val="none"/>
          <w:lang w:val="en-US" w:eastAsia="zh-CN"/>
        </w:rPr>
      </w:pPr>
      <w:r>
        <w:rPr>
          <w:rFonts w:hint="default"/>
          <w:sz w:val="24"/>
          <w:szCs w:val="28"/>
          <w:highlight w:val="none"/>
          <w:lang w:val="en-US" w:eastAsia="zh-CN"/>
        </w:rPr>
        <w:t>交易对象规则</w:t>
      </w:r>
      <w:r>
        <w:rPr>
          <w:rFonts w:hint="eastAsia"/>
          <w:sz w:val="24"/>
          <w:szCs w:val="28"/>
          <w:highlight w:val="none"/>
          <w:lang w:val="en-US" w:eastAsia="zh-CN"/>
        </w:rPr>
        <w:t>：交易对象需为自由区主体（FZP）、境外法人、关联方、指定区合格买家。</w:t>
      </w:r>
    </w:p>
    <w:p w14:paraId="06C73945">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应税主体：在阿联酋境内和自贸区设立的法律实体、实际控制人及日常管理在阿联酋的非阿联酋企业以及在阿联酋境内从事商业服务的自然人作为居民纳税人并对其在全球的所有收入征收所得税；未存在常设机构但有来自阿联酋的收入的企业（如租金、特许权使用费、服务费）以及与阿联酋产生经济联系的企业（内阁规定）作为非居民纳税人，只针对其在阿联酋的收入或与阿联酋产生联系的部分征收所得税。根据中阿税收协定，不构成常设机构的项目部，无需在阿联酋缴纳企业所得税。</w:t>
      </w:r>
    </w:p>
    <w:p w14:paraId="2E997F15">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EPC项目部常设机构的判定：根据中阿税收协定，施工与设计/服务分别判定、合并计算，任一环节≥24个月即构成常设机构。</w:t>
      </w:r>
    </w:p>
    <w:p w14:paraId="7F2D5B05">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计税基数：应税利润=会计利润±税法调整项</w:t>
      </w:r>
    </w:p>
    <w:p w14:paraId="36DFF819">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可扣除费用需要满足业务相关、合理、合规，如员工薪酬、租金、水电、办公费、差旅费、专业服务费等支出，利息支出扣除限额为税息折旧摊销前利润（EBITDA）的30%（超额可结转10年），娱乐费50%可扣除（客户类，如招待费）。</w:t>
      </w:r>
    </w:p>
    <w:p w14:paraId="13C60D93">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不可扣除费用一般包括个人开支、罚款、滞纳金、非批准捐赠、股息分配等。</w:t>
      </w:r>
    </w:p>
    <w:p w14:paraId="53D4E657">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免税收入不计入应税利润，如阿联酋居民企业股息、外国常设机构利润（符合豁免条件）、国际运输（飞机/船舶）收入。</w:t>
      </w:r>
    </w:p>
    <w:p w14:paraId="34444CFD">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申报周期：按年度申报，申报期限为财年结束后9个月内。纳税申报时需提供财务报表和附注，如年营业收入&gt;5,000万迪拉姆，必须提供全套财务报表（利润表+资产负债表+现金流量表+权益变动表+附注）和外部审计报告（由阿联酋注册审计师出具），财务报表需遵循国际财务报告准则。</w:t>
      </w:r>
    </w:p>
    <w:p w14:paraId="4BC2B6C3">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亏损弥补政策：税务亏损可无限期向后结转，每年度可弥补亏损限额为当期应税所得额的75%。</w:t>
      </w:r>
    </w:p>
    <w:p w14:paraId="42CBB52D">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此外，阿联酋宣布从2025年1月1日起征收国内最低补</w:t>
      </w:r>
      <w:r>
        <w:rPr>
          <w:rFonts w:hint="eastAsia"/>
          <w:sz w:val="24"/>
          <w:szCs w:val="28"/>
          <w:lang w:val="en-US" w:eastAsia="zh-CN"/>
        </w:rPr>
        <w:t>足</w:t>
      </w:r>
      <w:r>
        <w:rPr>
          <w:rFonts w:hint="eastAsia"/>
          <w:sz w:val="24"/>
          <w:szCs w:val="28"/>
          <w:lang w:val="zh-CN" w:eastAsia="zh-CN"/>
        </w:rPr>
        <w:t>税（DMTT），全球营业收入7.5亿欧元（约合8.5亿美元）以上的大型跨国公司需缴纳的税款至少占其在阿联酋经营所得利润的15%。</w:t>
      </w:r>
    </w:p>
    <w:p w14:paraId="421E6EB1">
      <w:pPr>
        <w:pStyle w:val="5"/>
        <w:pageBreakBefore w:val="0"/>
        <w:widowControl/>
        <w:kinsoku/>
        <w:wordWrap/>
        <w:overflowPunct/>
        <w:topLinePunct w:val="0"/>
        <w:autoSpaceDE/>
        <w:autoSpaceDN/>
        <w:bidi w:val="0"/>
        <w:adjustRightInd/>
        <w:snapToGrid/>
        <w:jc w:val="both"/>
        <w:rPr>
          <w:rFonts w:hint="eastAsia"/>
          <w:sz w:val="24"/>
          <w:szCs w:val="28"/>
          <w:lang w:val="zh-CN" w:eastAsia="zh-CN"/>
        </w:rPr>
      </w:pPr>
      <w:bookmarkStart w:id="34" w:name="_Toc21953"/>
      <w:r>
        <w:rPr>
          <w:rFonts w:hint="eastAsia" w:ascii="微软雅黑" w:hAnsi="微软雅黑" w:eastAsia="微软雅黑"/>
          <w:color w:val="auto"/>
          <w:lang w:val="en-US" w:eastAsia="zh-CN"/>
        </w:rPr>
        <w:t>4</w:t>
      </w:r>
      <w:r>
        <w:rPr>
          <w:rFonts w:ascii="微软雅黑" w:hAnsi="微软雅黑" w:eastAsia="微软雅黑"/>
          <w:color w:val="auto"/>
          <w:lang w:val="zh-CN" w:eastAsia="zh-CN"/>
        </w:rPr>
        <w:t>.</w:t>
      </w:r>
      <w:r>
        <w:rPr>
          <w:rFonts w:hint="eastAsia" w:ascii="微软雅黑" w:hAnsi="微软雅黑" w:eastAsia="微软雅黑"/>
          <w:color w:val="auto"/>
          <w:lang w:val="en-US" w:eastAsia="zh-CN"/>
        </w:rPr>
        <w:t>2</w:t>
      </w:r>
      <w:r>
        <w:rPr>
          <w:rFonts w:ascii="微软雅黑" w:hAnsi="微软雅黑" w:eastAsia="微软雅黑"/>
          <w:color w:val="auto"/>
          <w:lang w:val="zh-CN" w:eastAsia="zh-CN"/>
        </w:rPr>
        <w:t>.</w:t>
      </w:r>
      <w:r>
        <w:rPr>
          <w:rFonts w:hint="eastAsia" w:ascii="微软雅黑" w:hAnsi="微软雅黑" w:eastAsia="微软雅黑"/>
          <w:color w:val="auto"/>
          <w:lang w:val="en-US" w:eastAsia="zh-CN"/>
        </w:rPr>
        <w:t>2</w:t>
      </w:r>
      <w:r>
        <w:rPr>
          <w:rFonts w:ascii="微软雅黑" w:hAnsi="微软雅黑" w:eastAsia="微软雅黑"/>
          <w:color w:val="auto"/>
          <w:lang w:val="zh-CN" w:eastAsia="zh-CN"/>
        </w:rPr>
        <w:t xml:space="preserve">  </w:t>
      </w:r>
      <w:r>
        <w:rPr>
          <w:rFonts w:hint="eastAsia" w:ascii="微软雅黑" w:hAnsi="微软雅黑" w:eastAsia="微软雅黑"/>
          <w:color w:val="auto"/>
          <w:lang w:val="zh-CN" w:eastAsia="zh-CN"/>
        </w:rPr>
        <w:t>增值税</w:t>
      </w:r>
      <w:bookmarkEnd w:id="34"/>
    </w:p>
    <w:p w14:paraId="771F6181">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标准税率：根据《增值税法》（2017年联邦第8号法令），自2018年1月1日起，阿联酋开始征收增值税，标准税率5%。</w:t>
      </w:r>
    </w:p>
    <w:p w14:paraId="2AF0C76C">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default"/>
          <w:sz w:val="24"/>
          <w:szCs w:val="28"/>
          <w:lang w:val="en-US" w:eastAsia="zh-CN"/>
        </w:rPr>
      </w:pPr>
      <w:r>
        <w:rPr>
          <w:rFonts w:hint="eastAsia"/>
          <w:sz w:val="24"/>
          <w:szCs w:val="28"/>
          <w:lang w:val="zh-CN" w:eastAsia="zh-CN"/>
        </w:rPr>
        <w:t>应税行为：在阿联酋境内提供应税货物及劳务或进口应税货物及劳务。出口商品和服务、教育、医疗、石油天然气、国际旅客和货物运输、符合条件的运输工具及相关服务、新建或改建的住宅、慈善机构使用的建筑物、投资贵金属增值税税率为零。符合条件的金融服务业、本地客运业、住宅建筑和裸地供应免于征收增值税。2018年5月3日，阿联酋内阁批准对批发环节的钻石饰品和黄金、铂金和银饰品免征5%的增值税。此外，</w:t>
      </w:r>
      <w:r>
        <w:rPr>
          <w:rFonts w:hint="eastAsia"/>
          <w:sz w:val="24"/>
          <w:szCs w:val="28"/>
          <w:lang w:val="en-US" w:eastAsia="zh-CN"/>
        </w:rPr>
        <w:t>23个指定自贸区内或自贸区间的货物交易免增值税，服务交易统一征收5%增值税。</w:t>
      </w:r>
    </w:p>
    <w:p w14:paraId="47DB24D3">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纳税义务发生时间：货物交付/服务完成日、开票日、收款日（孰先原则）</w:t>
      </w:r>
    </w:p>
    <w:p w14:paraId="4E6DCC6B">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销项税计税基数：不含税销售额</w:t>
      </w:r>
    </w:p>
    <w:p w14:paraId="7316EB33">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进项税抵扣：凭票抵扣，替代凭证仅限进口服务、进口货物、特殊服务（再保险、金融等）。目前，阿联酋当地使用线下形式发票，无统一格式，但税务局要求发票上必须载明税号、增值税金额等有效信息，企业开具和收到发票的明细信息不会记录于税务局系统，也没有发票认证环节。2026年开始逐步推行电子发票，采用官方电子发票标准（XML/JSON两种格式，优先选XML格式，兼容性、合规、审计最优），</w:t>
      </w:r>
      <w:r>
        <w:rPr>
          <w:rFonts w:hint="eastAsia"/>
          <w:sz w:val="24"/>
          <w:szCs w:val="28"/>
          <w:lang w:val="en-US" w:eastAsia="zh-CN"/>
        </w:rPr>
        <w:t>需</w:t>
      </w:r>
      <w:r>
        <w:rPr>
          <w:rFonts w:hint="eastAsia"/>
          <w:sz w:val="24"/>
          <w:szCs w:val="28"/>
          <w:lang w:val="zh-CN" w:eastAsia="zh-CN"/>
        </w:rPr>
        <w:t>通过阿联酋财政部与联邦税务局官方认证的服务商（ASP）开具，全程实时上报税局。2026年7月1日起B2B/B2G交易强制实施，B2C暂不强制。申请进项税额抵扣的纳税人应开具电子发票，并保留通过电子发票系统生成的税收发票。</w:t>
      </w:r>
    </w:p>
    <w:p w14:paraId="4BD3500E">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申报周期：年应税营业额&lt;1.5亿迪拉姆，按季度申报，申报期限为季度结束后28天内；年应税营业额≥1.5亿迪拉姆，按月申报，申报期限为月度结束后28天内。企业在申报期内进入系统将开具和收到的发票总金额及相应的销项税额和进项税额填入系统即可计算出应缴税额。期末进项大于销项产生的差额可留抵下期，对于部分不会产生销项的免税企业可申请进项税额退回。</w:t>
      </w:r>
    </w:p>
    <w:p w14:paraId="6473CCF9">
      <w:pPr>
        <w:pStyle w:val="5"/>
        <w:pageBreakBefore w:val="0"/>
        <w:widowControl/>
        <w:kinsoku/>
        <w:wordWrap/>
        <w:overflowPunct/>
        <w:topLinePunct w:val="0"/>
        <w:autoSpaceDE/>
        <w:autoSpaceDN/>
        <w:bidi w:val="0"/>
        <w:adjustRightInd/>
        <w:snapToGrid/>
        <w:jc w:val="both"/>
        <w:rPr>
          <w:rFonts w:hint="eastAsia"/>
          <w:sz w:val="24"/>
          <w:szCs w:val="28"/>
          <w:lang w:val="zh-CN" w:eastAsia="zh-CN"/>
        </w:rPr>
      </w:pPr>
      <w:bookmarkStart w:id="35" w:name="_Toc22446"/>
      <w:r>
        <w:rPr>
          <w:rFonts w:hint="eastAsia" w:ascii="微软雅黑" w:hAnsi="微软雅黑" w:eastAsia="微软雅黑"/>
          <w:color w:val="auto"/>
          <w:lang w:val="en-US" w:eastAsia="zh-CN"/>
        </w:rPr>
        <w:t>4</w:t>
      </w:r>
      <w:r>
        <w:rPr>
          <w:rFonts w:ascii="微软雅黑" w:hAnsi="微软雅黑" w:eastAsia="微软雅黑"/>
          <w:color w:val="auto"/>
          <w:lang w:val="zh-CN" w:eastAsia="zh-CN"/>
        </w:rPr>
        <w:t>.</w:t>
      </w:r>
      <w:r>
        <w:rPr>
          <w:rFonts w:hint="eastAsia" w:ascii="微软雅黑" w:hAnsi="微软雅黑" w:eastAsia="微软雅黑"/>
          <w:color w:val="auto"/>
          <w:lang w:val="en-US" w:eastAsia="zh-CN"/>
        </w:rPr>
        <w:t>2</w:t>
      </w:r>
      <w:r>
        <w:rPr>
          <w:rFonts w:ascii="微软雅黑" w:hAnsi="微软雅黑" w:eastAsia="微软雅黑"/>
          <w:color w:val="auto"/>
          <w:lang w:val="zh-CN" w:eastAsia="zh-CN"/>
        </w:rPr>
        <w:t>.</w:t>
      </w:r>
      <w:r>
        <w:rPr>
          <w:rFonts w:hint="eastAsia" w:ascii="微软雅黑" w:hAnsi="微软雅黑" w:eastAsia="微软雅黑"/>
          <w:color w:val="auto"/>
          <w:lang w:val="en-US" w:eastAsia="zh-CN"/>
        </w:rPr>
        <w:t>3</w:t>
      </w:r>
      <w:r>
        <w:rPr>
          <w:rFonts w:ascii="微软雅黑" w:hAnsi="微软雅黑" w:eastAsia="微软雅黑"/>
          <w:color w:val="auto"/>
          <w:lang w:val="zh-CN" w:eastAsia="zh-CN"/>
        </w:rPr>
        <w:t xml:space="preserve">  </w:t>
      </w:r>
      <w:r>
        <w:rPr>
          <w:rFonts w:hint="eastAsia" w:ascii="微软雅黑" w:hAnsi="微软雅黑" w:eastAsia="微软雅黑"/>
          <w:color w:val="auto"/>
          <w:lang w:val="zh-CN" w:eastAsia="zh-CN"/>
        </w:rPr>
        <w:t>社保</w:t>
      </w:r>
      <w:bookmarkEnd w:id="35"/>
    </w:p>
    <w:p w14:paraId="0A5D38BD">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阿联酋社保缴费基数均为员工月基本工资，对于阿联酋本地与外籍适用不同规定：</w:t>
      </w:r>
    </w:p>
    <w:tbl>
      <w:tblPr>
        <w:tblStyle w:val="36"/>
        <w:tblW w:w="4934" w:type="pct"/>
        <w:tblInd w:w="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43"/>
        <w:gridCol w:w="1384"/>
        <w:gridCol w:w="883"/>
        <w:gridCol w:w="900"/>
        <w:gridCol w:w="902"/>
        <w:gridCol w:w="3445"/>
      </w:tblGrid>
      <w:tr w14:paraId="153A5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64" w:hRule="atLeast"/>
          <w:tblHeader/>
        </w:trPr>
        <w:tc>
          <w:tcPr>
            <w:tcW w:w="709" w:type="pct"/>
            <w:vMerge w:val="restart"/>
            <w:shd w:val="clear" w:color="auto" w:fill="366091" w:themeFill="accent1" w:themeFillShade="BF"/>
            <w:tcMar>
              <w:top w:w="60" w:type="dxa"/>
              <w:left w:w="120" w:type="dxa"/>
              <w:bottom w:w="30" w:type="dxa"/>
              <w:right w:w="120" w:type="dxa"/>
            </w:tcMar>
            <w:vAlign w:val="center"/>
          </w:tcPr>
          <w:p w14:paraId="1EF497F2">
            <w:pPr>
              <w:keepNext w:val="0"/>
              <w:keepLines w:val="0"/>
              <w:pageBreakBefore w:val="0"/>
              <w:widowControl/>
              <w:suppressLineNumbers w:val="0"/>
              <w:kinsoku/>
              <w:wordWrap/>
              <w:overflowPunct/>
              <w:topLinePunct w:val="0"/>
              <w:autoSpaceDE/>
              <w:autoSpaceDN/>
              <w:bidi w:val="0"/>
              <w:adjustRightInd/>
              <w:snapToGrid/>
              <w:spacing w:after="0" w:line="240" w:lineRule="auto"/>
              <w:jc w:val="center"/>
              <w:textAlignment w:val="center"/>
              <w:rPr>
                <w:rFonts w:hint="default"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pPr>
            <w:r>
              <w:rPr>
                <w:rFonts w:hint="default"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缴费项目</w:t>
            </w:r>
          </w:p>
        </w:tc>
        <w:tc>
          <w:tcPr>
            <w:tcW w:w="1294" w:type="pct"/>
            <w:gridSpan w:val="2"/>
            <w:shd w:val="clear" w:color="auto" w:fill="366091" w:themeFill="accent1" w:themeFillShade="BF"/>
            <w:tcMar>
              <w:top w:w="60" w:type="dxa"/>
              <w:left w:w="120" w:type="dxa"/>
              <w:bottom w:w="30" w:type="dxa"/>
              <w:right w:w="120" w:type="dxa"/>
            </w:tcMar>
            <w:vAlign w:val="center"/>
          </w:tcPr>
          <w:p w14:paraId="2DC03340">
            <w:pPr>
              <w:keepNext w:val="0"/>
              <w:keepLines w:val="0"/>
              <w:pageBreakBefore w:val="0"/>
              <w:widowControl/>
              <w:suppressLineNumbers w:val="0"/>
              <w:kinsoku/>
              <w:wordWrap/>
              <w:overflowPunct/>
              <w:topLinePunct w:val="0"/>
              <w:autoSpaceDE/>
              <w:autoSpaceDN/>
              <w:bidi w:val="0"/>
              <w:adjustRightInd/>
              <w:snapToGrid/>
              <w:spacing w:after="0" w:line="240" w:lineRule="auto"/>
              <w:jc w:val="center"/>
              <w:textAlignment w:val="center"/>
              <w:rPr>
                <w:rFonts w:hint="default"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pPr>
            <w:r>
              <w:rPr>
                <w:rFonts w:hint="default"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本地员工（阿联酋/GCC国籍）</w:t>
            </w:r>
          </w:p>
        </w:tc>
        <w:tc>
          <w:tcPr>
            <w:tcW w:w="1028" w:type="pct"/>
            <w:gridSpan w:val="2"/>
            <w:shd w:val="clear" w:color="auto" w:fill="366091" w:themeFill="accent1" w:themeFillShade="BF"/>
            <w:tcMar>
              <w:top w:w="60" w:type="dxa"/>
              <w:left w:w="120" w:type="dxa"/>
              <w:bottom w:w="30" w:type="dxa"/>
              <w:right w:w="120" w:type="dxa"/>
            </w:tcMar>
            <w:vAlign w:val="center"/>
          </w:tcPr>
          <w:p w14:paraId="481F2356">
            <w:pPr>
              <w:keepNext w:val="0"/>
              <w:keepLines w:val="0"/>
              <w:pageBreakBefore w:val="0"/>
              <w:widowControl/>
              <w:suppressLineNumbers w:val="0"/>
              <w:kinsoku/>
              <w:wordWrap/>
              <w:overflowPunct/>
              <w:topLinePunct w:val="0"/>
              <w:autoSpaceDE/>
              <w:autoSpaceDN/>
              <w:bidi w:val="0"/>
              <w:adjustRightInd/>
              <w:snapToGrid/>
              <w:spacing w:after="0" w:line="240" w:lineRule="auto"/>
              <w:jc w:val="center"/>
              <w:textAlignment w:val="center"/>
              <w:rPr>
                <w:rFonts w:hint="default"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pPr>
            <w:r>
              <w:rPr>
                <w:rFonts w:hint="default"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外籍员工（非GCC国籍）</w:t>
            </w:r>
          </w:p>
        </w:tc>
        <w:tc>
          <w:tcPr>
            <w:tcW w:w="1966" w:type="pct"/>
            <w:vMerge w:val="restart"/>
            <w:shd w:val="clear" w:color="auto" w:fill="366091" w:themeFill="accent1" w:themeFillShade="BF"/>
            <w:tcMar>
              <w:top w:w="60" w:type="dxa"/>
              <w:left w:w="120" w:type="dxa"/>
              <w:bottom w:w="30" w:type="dxa"/>
              <w:right w:w="120" w:type="dxa"/>
            </w:tcMar>
            <w:vAlign w:val="center"/>
          </w:tcPr>
          <w:p w14:paraId="0DF5A95B">
            <w:pPr>
              <w:keepNext w:val="0"/>
              <w:keepLines w:val="0"/>
              <w:pageBreakBefore w:val="0"/>
              <w:widowControl/>
              <w:suppressLineNumbers w:val="0"/>
              <w:kinsoku/>
              <w:wordWrap/>
              <w:overflowPunct/>
              <w:topLinePunct w:val="0"/>
              <w:autoSpaceDE/>
              <w:autoSpaceDN/>
              <w:bidi w:val="0"/>
              <w:adjustRightInd/>
              <w:snapToGrid/>
              <w:spacing w:after="0" w:line="240" w:lineRule="auto"/>
              <w:jc w:val="center"/>
              <w:textAlignment w:val="center"/>
              <w:rPr>
                <w:rFonts w:hint="default"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pPr>
            <w:r>
              <w:rPr>
                <w:rFonts w:hint="default"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备注</w:t>
            </w:r>
          </w:p>
        </w:tc>
      </w:tr>
      <w:tr w14:paraId="4F478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9" w:type="pct"/>
            <w:vMerge w:val="continue"/>
            <w:tcMar>
              <w:top w:w="60" w:type="dxa"/>
              <w:left w:w="120" w:type="dxa"/>
              <w:bottom w:w="30" w:type="dxa"/>
              <w:right w:w="120" w:type="dxa"/>
            </w:tcMar>
            <w:vAlign w:val="center"/>
          </w:tcPr>
          <w:p w14:paraId="3B423CBE">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p>
        </w:tc>
        <w:tc>
          <w:tcPr>
            <w:tcW w:w="790" w:type="pct"/>
            <w:shd w:val="clear" w:color="auto" w:fill="366091" w:themeFill="accent1" w:themeFillShade="BF"/>
            <w:tcMar>
              <w:top w:w="60" w:type="dxa"/>
              <w:left w:w="120" w:type="dxa"/>
              <w:bottom w:w="30" w:type="dxa"/>
              <w:right w:w="120" w:type="dxa"/>
            </w:tcMar>
            <w:vAlign w:val="center"/>
          </w:tcPr>
          <w:p w14:paraId="405CD7FE">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pPr>
            <w:r>
              <w:rPr>
                <w:rFonts w:hint="default"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雇主缴纳比例</w:t>
            </w:r>
          </w:p>
        </w:tc>
        <w:tc>
          <w:tcPr>
            <w:tcW w:w="504" w:type="pct"/>
            <w:shd w:val="clear" w:color="auto" w:fill="366091" w:themeFill="accent1" w:themeFillShade="BF"/>
            <w:tcMar>
              <w:top w:w="60" w:type="dxa"/>
              <w:left w:w="120" w:type="dxa"/>
              <w:bottom w:w="30" w:type="dxa"/>
              <w:right w:w="120" w:type="dxa"/>
            </w:tcMar>
            <w:vAlign w:val="center"/>
          </w:tcPr>
          <w:p w14:paraId="77431F3A">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pPr>
            <w:r>
              <w:rPr>
                <w:rFonts w:hint="default"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个人缴纳比例</w:t>
            </w:r>
          </w:p>
        </w:tc>
        <w:tc>
          <w:tcPr>
            <w:tcW w:w="513" w:type="pct"/>
            <w:shd w:val="clear" w:color="auto" w:fill="366091" w:themeFill="accent1" w:themeFillShade="BF"/>
            <w:tcMar>
              <w:top w:w="60" w:type="dxa"/>
              <w:left w:w="120" w:type="dxa"/>
              <w:bottom w:w="30" w:type="dxa"/>
              <w:right w:w="120" w:type="dxa"/>
            </w:tcMar>
            <w:vAlign w:val="center"/>
          </w:tcPr>
          <w:p w14:paraId="6266725C">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pPr>
            <w:r>
              <w:rPr>
                <w:rFonts w:hint="default"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雇主缴纳比例</w:t>
            </w:r>
          </w:p>
        </w:tc>
        <w:tc>
          <w:tcPr>
            <w:tcW w:w="515" w:type="pct"/>
            <w:shd w:val="clear" w:color="auto" w:fill="366091" w:themeFill="accent1" w:themeFillShade="BF"/>
            <w:tcMar>
              <w:top w:w="60" w:type="dxa"/>
              <w:left w:w="120" w:type="dxa"/>
              <w:bottom w:w="30" w:type="dxa"/>
              <w:right w:w="120" w:type="dxa"/>
            </w:tcMar>
            <w:vAlign w:val="center"/>
          </w:tcPr>
          <w:p w14:paraId="35FBBB9E">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pPr>
            <w:r>
              <w:rPr>
                <w:rFonts w:hint="default"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个人缴纳比例</w:t>
            </w:r>
          </w:p>
        </w:tc>
        <w:tc>
          <w:tcPr>
            <w:tcW w:w="1966" w:type="pct"/>
            <w:vMerge w:val="continue"/>
            <w:tcMar>
              <w:top w:w="60" w:type="dxa"/>
              <w:left w:w="120" w:type="dxa"/>
              <w:bottom w:w="30" w:type="dxa"/>
              <w:right w:w="120" w:type="dxa"/>
            </w:tcMar>
            <w:vAlign w:val="center"/>
          </w:tcPr>
          <w:p w14:paraId="22B0C833">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p>
        </w:tc>
      </w:tr>
      <w:tr w14:paraId="0C2D9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9" w:type="pct"/>
            <w:tcMar>
              <w:top w:w="60" w:type="dxa"/>
              <w:left w:w="120" w:type="dxa"/>
              <w:bottom w:w="30" w:type="dxa"/>
              <w:right w:w="120" w:type="dxa"/>
            </w:tcMar>
            <w:vAlign w:val="center"/>
          </w:tcPr>
          <w:p w14:paraId="7B33BFFD">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b w:val="0"/>
                <w:bCs w:val="0"/>
                <w:i w:val="0"/>
                <w:iCs w:val="0"/>
                <w:color w:val="000000"/>
                <w:kern w:val="0"/>
                <w:sz w:val="21"/>
                <w:szCs w:val="21"/>
                <w:u w:val="none"/>
                <w:lang w:val="en-US" w:eastAsia="zh-CN" w:bidi="ar"/>
              </w:rPr>
            </w:pPr>
            <w:r>
              <w:rPr>
                <w:rFonts w:hint="default" w:ascii="微软雅黑" w:hAnsi="微软雅黑" w:eastAsia="微软雅黑" w:cs="微软雅黑"/>
                <w:b w:val="0"/>
                <w:bCs w:val="0"/>
                <w:i w:val="0"/>
                <w:iCs w:val="0"/>
                <w:color w:val="000000"/>
                <w:kern w:val="0"/>
                <w:sz w:val="21"/>
                <w:szCs w:val="21"/>
                <w:u w:val="none"/>
                <w:lang w:val="en-US" w:eastAsia="zh-CN" w:bidi="ar"/>
              </w:rPr>
              <w:t>养老金</w:t>
            </w:r>
          </w:p>
        </w:tc>
        <w:tc>
          <w:tcPr>
            <w:tcW w:w="790" w:type="pct"/>
            <w:tcMar>
              <w:top w:w="60" w:type="dxa"/>
              <w:left w:w="120" w:type="dxa"/>
              <w:bottom w:w="30" w:type="dxa"/>
              <w:right w:w="120" w:type="dxa"/>
            </w:tcMar>
            <w:vAlign w:val="center"/>
          </w:tcPr>
          <w:p w14:paraId="744C83AA">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r>
              <w:rPr>
                <w:rFonts w:hint="default" w:ascii="微软雅黑" w:hAnsi="微软雅黑" w:eastAsia="微软雅黑" w:cs="微软雅黑"/>
                <w:i w:val="0"/>
                <w:iCs w:val="0"/>
                <w:color w:val="000000"/>
                <w:kern w:val="0"/>
                <w:sz w:val="21"/>
                <w:szCs w:val="21"/>
                <w:u w:val="none"/>
                <w:lang w:val="en-US" w:eastAsia="zh-CN" w:bidi="ar"/>
              </w:rPr>
              <w:t>12.5%（阿布扎比15%）</w:t>
            </w:r>
          </w:p>
        </w:tc>
        <w:tc>
          <w:tcPr>
            <w:tcW w:w="504" w:type="pct"/>
            <w:tcMar>
              <w:top w:w="60" w:type="dxa"/>
              <w:left w:w="120" w:type="dxa"/>
              <w:bottom w:w="30" w:type="dxa"/>
              <w:right w:w="120" w:type="dxa"/>
            </w:tcMar>
            <w:vAlign w:val="center"/>
          </w:tcPr>
          <w:p w14:paraId="7B831326">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r>
              <w:rPr>
                <w:rFonts w:hint="default" w:ascii="微软雅黑" w:hAnsi="微软雅黑" w:eastAsia="微软雅黑" w:cs="微软雅黑"/>
                <w:i w:val="0"/>
                <w:iCs w:val="0"/>
                <w:color w:val="000000"/>
                <w:kern w:val="0"/>
                <w:sz w:val="21"/>
                <w:szCs w:val="21"/>
                <w:u w:val="none"/>
                <w:lang w:val="en-US" w:eastAsia="zh-CN" w:bidi="ar"/>
              </w:rPr>
              <w:t>5%/11%</w:t>
            </w:r>
          </w:p>
        </w:tc>
        <w:tc>
          <w:tcPr>
            <w:tcW w:w="513" w:type="pct"/>
            <w:tcMar>
              <w:top w:w="60" w:type="dxa"/>
              <w:left w:w="120" w:type="dxa"/>
              <w:bottom w:w="30" w:type="dxa"/>
              <w:right w:w="120" w:type="dxa"/>
            </w:tcMar>
            <w:vAlign w:val="center"/>
          </w:tcPr>
          <w:p w14:paraId="13D9A2AD">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r>
              <w:rPr>
                <w:rFonts w:hint="default" w:ascii="微软雅黑" w:hAnsi="微软雅黑" w:eastAsia="微软雅黑" w:cs="微软雅黑"/>
                <w:i w:val="0"/>
                <w:iCs w:val="0"/>
                <w:color w:val="000000"/>
                <w:kern w:val="0"/>
                <w:sz w:val="21"/>
                <w:szCs w:val="21"/>
                <w:u w:val="none"/>
                <w:lang w:val="en-US" w:eastAsia="zh-CN" w:bidi="ar"/>
              </w:rPr>
              <w:t>0%</w:t>
            </w:r>
          </w:p>
        </w:tc>
        <w:tc>
          <w:tcPr>
            <w:tcW w:w="515" w:type="pct"/>
            <w:tcMar>
              <w:top w:w="60" w:type="dxa"/>
              <w:left w:w="120" w:type="dxa"/>
              <w:bottom w:w="30" w:type="dxa"/>
              <w:right w:w="120" w:type="dxa"/>
            </w:tcMar>
            <w:vAlign w:val="center"/>
          </w:tcPr>
          <w:p w14:paraId="2899B010">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r>
              <w:rPr>
                <w:rFonts w:hint="default" w:ascii="微软雅黑" w:hAnsi="微软雅黑" w:eastAsia="微软雅黑" w:cs="微软雅黑"/>
                <w:i w:val="0"/>
                <w:iCs w:val="0"/>
                <w:color w:val="000000"/>
                <w:kern w:val="0"/>
                <w:sz w:val="21"/>
                <w:szCs w:val="21"/>
                <w:u w:val="none"/>
                <w:lang w:val="en-US" w:eastAsia="zh-CN" w:bidi="ar"/>
              </w:rPr>
              <w:t>0%</w:t>
            </w:r>
          </w:p>
        </w:tc>
        <w:tc>
          <w:tcPr>
            <w:tcW w:w="1966" w:type="pct"/>
            <w:tcMar>
              <w:top w:w="60" w:type="dxa"/>
              <w:left w:w="120" w:type="dxa"/>
              <w:bottom w:w="30" w:type="dxa"/>
              <w:right w:w="120" w:type="dxa"/>
            </w:tcMar>
            <w:vAlign w:val="center"/>
          </w:tcPr>
          <w:p w14:paraId="2E9AF493">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default" w:ascii="微软雅黑" w:hAnsi="微软雅黑" w:eastAsia="微软雅黑" w:cs="微软雅黑"/>
                <w:i w:val="0"/>
                <w:iCs w:val="0"/>
                <w:color w:val="000000"/>
                <w:kern w:val="0"/>
                <w:sz w:val="21"/>
                <w:szCs w:val="21"/>
                <w:u w:val="none"/>
                <w:lang w:val="en-US" w:eastAsia="zh-CN" w:bidi="ar"/>
              </w:rPr>
              <w:t>本地员工强制参保</w:t>
            </w:r>
            <w:r>
              <w:rPr>
                <w:rFonts w:hint="eastAsia" w:ascii="微软雅黑" w:hAnsi="微软雅黑" w:eastAsia="微软雅黑" w:cs="微软雅黑"/>
                <w:i w:val="0"/>
                <w:iCs w:val="0"/>
                <w:color w:val="000000"/>
                <w:kern w:val="0"/>
                <w:sz w:val="21"/>
                <w:szCs w:val="21"/>
                <w:u w:val="none"/>
                <w:lang w:val="en-US" w:eastAsia="zh-CN" w:bidi="ar"/>
              </w:rPr>
              <w:t>，</w:t>
            </w:r>
            <w:r>
              <w:rPr>
                <w:rFonts w:hint="default" w:ascii="微软雅黑" w:hAnsi="微软雅黑" w:eastAsia="微软雅黑" w:cs="微软雅黑"/>
                <w:i w:val="0"/>
                <w:iCs w:val="0"/>
                <w:color w:val="000000"/>
                <w:kern w:val="0"/>
                <w:sz w:val="21"/>
                <w:szCs w:val="21"/>
                <w:u w:val="none"/>
                <w:lang w:val="en-US" w:eastAsia="zh-CN" w:bidi="ar"/>
              </w:rPr>
              <w:t>外籍员工无国家养老金</w:t>
            </w:r>
            <w:r>
              <w:rPr>
                <w:rFonts w:hint="eastAsia" w:ascii="微软雅黑" w:hAnsi="微软雅黑" w:eastAsia="微软雅黑" w:cs="微软雅黑"/>
                <w:i w:val="0"/>
                <w:iCs w:val="0"/>
                <w:color w:val="000000"/>
                <w:kern w:val="0"/>
                <w:sz w:val="21"/>
                <w:szCs w:val="21"/>
                <w:u w:val="none"/>
                <w:lang w:val="en-US" w:eastAsia="zh-CN" w:bidi="ar"/>
              </w:rPr>
              <w:t>，2023.10.31后新入职雇员11%，老雇员5%</w:t>
            </w:r>
          </w:p>
        </w:tc>
      </w:tr>
      <w:tr w14:paraId="342D0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9" w:type="pct"/>
            <w:tcMar>
              <w:top w:w="60" w:type="dxa"/>
              <w:left w:w="120" w:type="dxa"/>
              <w:bottom w:w="30" w:type="dxa"/>
              <w:right w:w="120" w:type="dxa"/>
            </w:tcMar>
            <w:vAlign w:val="center"/>
          </w:tcPr>
          <w:p w14:paraId="6FC0787A">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b w:val="0"/>
                <w:bCs w:val="0"/>
                <w:i w:val="0"/>
                <w:iCs w:val="0"/>
                <w:color w:val="000000"/>
                <w:kern w:val="0"/>
                <w:sz w:val="21"/>
                <w:szCs w:val="21"/>
                <w:u w:val="none"/>
                <w:lang w:val="en-US" w:eastAsia="zh-CN" w:bidi="ar"/>
              </w:rPr>
            </w:pPr>
            <w:r>
              <w:rPr>
                <w:rFonts w:hint="default" w:ascii="微软雅黑" w:hAnsi="微软雅黑" w:eastAsia="微软雅黑" w:cs="微软雅黑"/>
                <w:b w:val="0"/>
                <w:bCs w:val="0"/>
                <w:i w:val="0"/>
                <w:iCs w:val="0"/>
                <w:color w:val="000000"/>
                <w:kern w:val="0"/>
                <w:sz w:val="21"/>
                <w:szCs w:val="21"/>
                <w:u w:val="none"/>
                <w:lang w:val="en-US" w:eastAsia="zh-CN" w:bidi="ar"/>
              </w:rPr>
              <w:t>失业保险</w:t>
            </w:r>
          </w:p>
        </w:tc>
        <w:tc>
          <w:tcPr>
            <w:tcW w:w="790" w:type="pct"/>
            <w:tcMar>
              <w:top w:w="60" w:type="dxa"/>
              <w:left w:w="120" w:type="dxa"/>
              <w:bottom w:w="30" w:type="dxa"/>
              <w:right w:w="120" w:type="dxa"/>
            </w:tcMar>
            <w:vAlign w:val="center"/>
          </w:tcPr>
          <w:p w14:paraId="29C5C32E">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r>
              <w:rPr>
                <w:rFonts w:hint="default" w:ascii="微软雅黑" w:hAnsi="微软雅黑" w:eastAsia="微软雅黑" w:cs="微软雅黑"/>
                <w:i w:val="0"/>
                <w:iCs w:val="0"/>
                <w:color w:val="000000"/>
                <w:kern w:val="0"/>
                <w:sz w:val="21"/>
                <w:szCs w:val="21"/>
                <w:u w:val="none"/>
                <w:lang w:val="en-US" w:eastAsia="zh-CN" w:bidi="ar"/>
              </w:rPr>
              <w:t>无缴费义务</w:t>
            </w:r>
          </w:p>
        </w:tc>
        <w:tc>
          <w:tcPr>
            <w:tcW w:w="504" w:type="pct"/>
            <w:tcMar>
              <w:top w:w="60" w:type="dxa"/>
              <w:left w:w="120" w:type="dxa"/>
              <w:bottom w:w="30" w:type="dxa"/>
              <w:right w:w="120" w:type="dxa"/>
            </w:tcMar>
            <w:vAlign w:val="center"/>
          </w:tcPr>
          <w:p w14:paraId="0D3037D7">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r>
              <w:rPr>
                <w:rFonts w:hint="default" w:ascii="微软雅黑" w:hAnsi="微软雅黑" w:eastAsia="微软雅黑" w:cs="微软雅黑"/>
                <w:i w:val="0"/>
                <w:iCs w:val="0"/>
                <w:color w:val="000000"/>
                <w:kern w:val="0"/>
                <w:sz w:val="21"/>
                <w:szCs w:val="21"/>
                <w:u w:val="none"/>
                <w:lang w:val="en-US" w:eastAsia="zh-CN" w:bidi="ar"/>
              </w:rPr>
              <w:t>全额承担</w:t>
            </w:r>
          </w:p>
        </w:tc>
        <w:tc>
          <w:tcPr>
            <w:tcW w:w="513" w:type="pct"/>
            <w:tcMar>
              <w:top w:w="60" w:type="dxa"/>
              <w:left w:w="120" w:type="dxa"/>
              <w:bottom w:w="30" w:type="dxa"/>
              <w:right w:w="120" w:type="dxa"/>
            </w:tcMar>
            <w:vAlign w:val="center"/>
          </w:tcPr>
          <w:p w14:paraId="1B39D26A">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r>
              <w:rPr>
                <w:rFonts w:hint="default" w:ascii="微软雅黑" w:hAnsi="微软雅黑" w:eastAsia="微软雅黑" w:cs="微软雅黑"/>
                <w:i w:val="0"/>
                <w:iCs w:val="0"/>
                <w:color w:val="000000"/>
                <w:kern w:val="0"/>
                <w:sz w:val="21"/>
                <w:szCs w:val="21"/>
                <w:u w:val="none"/>
                <w:lang w:val="en-US" w:eastAsia="zh-CN" w:bidi="ar"/>
              </w:rPr>
              <w:t>无缴费义务</w:t>
            </w:r>
          </w:p>
        </w:tc>
        <w:tc>
          <w:tcPr>
            <w:tcW w:w="515" w:type="pct"/>
            <w:tcMar>
              <w:top w:w="60" w:type="dxa"/>
              <w:left w:w="120" w:type="dxa"/>
              <w:bottom w:w="30" w:type="dxa"/>
              <w:right w:w="120" w:type="dxa"/>
            </w:tcMar>
            <w:vAlign w:val="center"/>
          </w:tcPr>
          <w:p w14:paraId="48D207F7">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r>
              <w:rPr>
                <w:rFonts w:hint="default" w:ascii="微软雅黑" w:hAnsi="微软雅黑" w:eastAsia="微软雅黑" w:cs="微软雅黑"/>
                <w:i w:val="0"/>
                <w:iCs w:val="0"/>
                <w:color w:val="000000"/>
                <w:kern w:val="0"/>
                <w:sz w:val="21"/>
                <w:szCs w:val="21"/>
                <w:u w:val="none"/>
                <w:lang w:val="en-US" w:eastAsia="zh-CN" w:bidi="ar"/>
              </w:rPr>
              <w:t>全额承担</w:t>
            </w:r>
          </w:p>
        </w:tc>
        <w:tc>
          <w:tcPr>
            <w:tcW w:w="1966" w:type="pct"/>
            <w:tcMar>
              <w:top w:w="60" w:type="dxa"/>
              <w:left w:w="120" w:type="dxa"/>
              <w:bottom w:w="30" w:type="dxa"/>
              <w:right w:w="120" w:type="dxa"/>
            </w:tcMar>
            <w:vAlign w:val="center"/>
          </w:tcPr>
          <w:p w14:paraId="4D60DFBB">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r>
              <w:rPr>
                <w:rFonts w:hint="default" w:ascii="微软雅黑" w:hAnsi="微软雅黑" w:eastAsia="微软雅黑" w:cs="微软雅黑"/>
                <w:i w:val="0"/>
                <w:iCs w:val="0"/>
                <w:color w:val="000000"/>
                <w:kern w:val="0"/>
                <w:sz w:val="21"/>
                <w:szCs w:val="21"/>
                <w:u w:val="none"/>
                <w:lang w:val="en-US" w:eastAsia="zh-CN" w:bidi="ar"/>
              </w:rPr>
              <w:t>全阿联酋强制，按月缴纳，缴满12个月可领失业补助</w:t>
            </w:r>
          </w:p>
          <w:p w14:paraId="5A70B874">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r>
              <w:rPr>
                <w:rFonts w:hint="default" w:ascii="微软雅黑" w:hAnsi="微软雅黑" w:eastAsia="微软雅黑" w:cs="微软雅黑"/>
                <w:i w:val="0"/>
                <w:iCs w:val="0"/>
                <w:color w:val="000000"/>
                <w:kern w:val="0"/>
                <w:sz w:val="21"/>
                <w:szCs w:val="21"/>
                <w:u w:val="none"/>
                <w:lang w:val="en-US" w:eastAsia="zh-CN" w:bidi="ar"/>
              </w:rPr>
              <w:t>（月薪≤16,000AED</w:t>
            </w:r>
            <w:r>
              <w:rPr>
                <w:rFonts w:hint="eastAsia" w:cs="微软雅黑"/>
                <w:i w:val="0"/>
                <w:iCs w:val="0"/>
                <w:color w:val="000000"/>
                <w:kern w:val="0"/>
                <w:sz w:val="21"/>
                <w:szCs w:val="21"/>
                <w:u w:val="none"/>
                <w:lang w:val="en-US" w:eastAsia="zh-CN" w:bidi="ar"/>
              </w:rPr>
              <w:t>：</w:t>
            </w:r>
            <w:r>
              <w:rPr>
                <w:rFonts w:hint="default" w:ascii="微软雅黑" w:hAnsi="微软雅黑" w:eastAsia="微软雅黑" w:cs="微软雅黑"/>
                <w:i w:val="0"/>
                <w:iCs w:val="0"/>
                <w:color w:val="000000"/>
                <w:kern w:val="0"/>
                <w:sz w:val="21"/>
                <w:szCs w:val="21"/>
                <w:u w:val="none"/>
                <w:lang w:val="en-US" w:eastAsia="zh-CN" w:bidi="ar"/>
              </w:rPr>
              <w:t>5AED/月；</w:t>
            </w:r>
          </w:p>
          <w:p w14:paraId="65A415AE">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r>
              <w:rPr>
                <w:rFonts w:hint="default" w:ascii="微软雅黑" w:hAnsi="微软雅黑" w:eastAsia="微软雅黑" w:cs="微软雅黑"/>
                <w:i w:val="0"/>
                <w:iCs w:val="0"/>
                <w:color w:val="000000"/>
                <w:kern w:val="0"/>
                <w:sz w:val="21"/>
                <w:szCs w:val="21"/>
                <w:u w:val="none"/>
                <w:lang w:val="en-US" w:eastAsia="zh-CN" w:bidi="ar"/>
              </w:rPr>
              <w:t>月薪&gt;16,000AED：10AED/月）</w:t>
            </w:r>
          </w:p>
        </w:tc>
      </w:tr>
      <w:tr w14:paraId="1048F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9" w:type="pct"/>
            <w:tcMar>
              <w:top w:w="60" w:type="dxa"/>
              <w:left w:w="120" w:type="dxa"/>
              <w:bottom w:w="30" w:type="dxa"/>
              <w:right w:w="120" w:type="dxa"/>
            </w:tcMar>
            <w:vAlign w:val="center"/>
          </w:tcPr>
          <w:p w14:paraId="74C7D0D8">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b w:val="0"/>
                <w:bCs w:val="0"/>
                <w:i w:val="0"/>
                <w:iCs w:val="0"/>
                <w:color w:val="000000"/>
                <w:kern w:val="0"/>
                <w:sz w:val="21"/>
                <w:szCs w:val="21"/>
                <w:u w:val="none"/>
                <w:lang w:val="en-US" w:eastAsia="zh-CN" w:bidi="ar"/>
              </w:rPr>
            </w:pPr>
            <w:r>
              <w:rPr>
                <w:rFonts w:hint="default" w:ascii="微软雅黑" w:hAnsi="微软雅黑" w:eastAsia="微软雅黑" w:cs="微软雅黑"/>
                <w:b w:val="0"/>
                <w:bCs w:val="0"/>
                <w:i w:val="0"/>
                <w:iCs w:val="0"/>
                <w:color w:val="000000"/>
                <w:kern w:val="0"/>
                <w:sz w:val="21"/>
                <w:szCs w:val="21"/>
                <w:u w:val="none"/>
                <w:lang w:val="en-US" w:eastAsia="zh-CN" w:bidi="ar"/>
              </w:rPr>
              <w:t>工伤保险</w:t>
            </w:r>
          </w:p>
        </w:tc>
        <w:tc>
          <w:tcPr>
            <w:tcW w:w="790" w:type="pct"/>
            <w:tcMar>
              <w:top w:w="60" w:type="dxa"/>
              <w:left w:w="120" w:type="dxa"/>
              <w:bottom w:w="30" w:type="dxa"/>
              <w:right w:w="120" w:type="dxa"/>
            </w:tcMar>
            <w:vAlign w:val="center"/>
          </w:tcPr>
          <w:p w14:paraId="51AF732A">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r>
              <w:rPr>
                <w:rFonts w:hint="default" w:ascii="微软雅黑" w:hAnsi="微软雅黑" w:eastAsia="微软雅黑" w:cs="微软雅黑"/>
                <w:i w:val="0"/>
                <w:iCs w:val="0"/>
                <w:color w:val="000000"/>
                <w:kern w:val="0"/>
                <w:sz w:val="21"/>
                <w:szCs w:val="21"/>
                <w:u w:val="none"/>
                <w:lang w:val="en-US" w:eastAsia="zh-CN" w:bidi="ar"/>
              </w:rPr>
              <w:t>全额承担</w:t>
            </w:r>
          </w:p>
        </w:tc>
        <w:tc>
          <w:tcPr>
            <w:tcW w:w="504" w:type="pct"/>
            <w:tcMar>
              <w:top w:w="60" w:type="dxa"/>
              <w:left w:w="120" w:type="dxa"/>
              <w:bottom w:w="30" w:type="dxa"/>
              <w:right w:w="120" w:type="dxa"/>
            </w:tcMar>
            <w:vAlign w:val="center"/>
          </w:tcPr>
          <w:p w14:paraId="14D03857">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r>
              <w:rPr>
                <w:rFonts w:hint="default" w:ascii="微软雅黑" w:hAnsi="微软雅黑" w:eastAsia="微软雅黑" w:cs="微软雅黑"/>
                <w:i w:val="0"/>
                <w:iCs w:val="0"/>
                <w:color w:val="000000"/>
                <w:kern w:val="0"/>
                <w:sz w:val="21"/>
                <w:szCs w:val="21"/>
                <w:u w:val="none"/>
                <w:lang w:val="en-US" w:eastAsia="zh-CN" w:bidi="ar"/>
              </w:rPr>
              <w:t>0%</w:t>
            </w:r>
          </w:p>
        </w:tc>
        <w:tc>
          <w:tcPr>
            <w:tcW w:w="513" w:type="pct"/>
            <w:tcMar>
              <w:top w:w="60" w:type="dxa"/>
              <w:left w:w="120" w:type="dxa"/>
              <w:bottom w:w="30" w:type="dxa"/>
              <w:right w:w="120" w:type="dxa"/>
            </w:tcMar>
            <w:vAlign w:val="center"/>
          </w:tcPr>
          <w:p w14:paraId="5F05005C">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r>
              <w:rPr>
                <w:rFonts w:hint="default" w:ascii="微软雅黑" w:hAnsi="微软雅黑" w:eastAsia="微软雅黑" w:cs="微软雅黑"/>
                <w:i w:val="0"/>
                <w:iCs w:val="0"/>
                <w:color w:val="000000"/>
                <w:kern w:val="0"/>
                <w:sz w:val="21"/>
                <w:szCs w:val="21"/>
                <w:u w:val="none"/>
                <w:lang w:val="en-US" w:eastAsia="zh-CN" w:bidi="ar"/>
              </w:rPr>
              <w:t>全额承担</w:t>
            </w:r>
          </w:p>
        </w:tc>
        <w:tc>
          <w:tcPr>
            <w:tcW w:w="515" w:type="pct"/>
            <w:tcMar>
              <w:top w:w="60" w:type="dxa"/>
              <w:left w:w="120" w:type="dxa"/>
              <w:bottom w:w="30" w:type="dxa"/>
              <w:right w:w="120" w:type="dxa"/>
            </w:tcMar>
            <w:vAlign w:val="center"/>
          </w:tcPr>
          <w:p w14:paraId="32E96197">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r>
              <w:rPr>
                <w:rFonts w:hint="default" w:ascii="微软雅黑" w:hAnsi="微软雅黑" w:eastAsia="微软雅黑" w:cs="微软雅黑"/>
                <w:i w:val="0"/>
                <w:iCs w:val="0"/>
                <w:color w:val="000000"/>
                <w:kern w:val="0"/>
                <w:sz w:val="21"/>
                <w:szCs w:val="21"/>
                <w:u w:val="none"/>
                <w:lang w:val="en-US" w:eastAsia="zh-CN" w:bidi="ar"/>
              </w:rPr>
              <w:t>0%</w:t>
            </w:r>
          </w:p>
        </w:tc>
        <w:tc>
          <w:tcPr>
            <w:tcW w:w="1966" w:type="pct"/>
            <w:tcMar>
              <w:top w:w="60" w:type="dxa"/>
              <w:left w:w="120" w:type="dxa"/>
              <w:bottom w:w="30" w:type="dxa"/>
              <w:right w:w="120" w:type="dxa"/>
            </w:tcMar>
            <w:vAlign w:val="center"/>
          </w:tcPr>
          <w:p w14:paraId="7D18F247">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r>
              <w:rPr>
                <w:rFonts w:hint="default" w:ascii="微软雅黑" w:hAnsi="微软雅黑" w:eastAsia="微软雅黑" w:cs="微软雅黑"/>
                <w:i w:val="0"/>
                <w:iCs w:val="0"/>
                <w:color w:val="000000"/>
                <w:kern w:val="0"/>
                <w:sz w:val="21"/>
                <w:szCs w:val="21"/>
                <w:u w:val="none"/>
                <w:lang w:val="en-US" w:eastAsia="zh-CN" w:bidi="ar"/>
              </w:rPr>
              <w:t>雇主全额承担，覆盖工作期间意外及职业病</w:t>
            </w:r>
          </w:p>
        </w:tc>
      </w:tr>
      <w:tr w14:paraId="534E5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9" w:type="pct"/>
            <w:tcMar>
              <w:top w:w="60" w:type="dxa"/>
              <w:left w:w="120" w:type="dxa"/>
              <w:bottom w:w="30" w:type="dxa"/>
              <w:right w:w="120" w:type="dxa"/>
            </w:tcMar>
            <w:vAlign w:val="center"/>
          </w:tcPr>
          <w:p w14:paraId="4A00A9D8">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b w:val="0"/>
                <w:bCs w:val="0"/>
                <w:i w:val="0"/>
                <w:iCs w:val="0"/>
                <w:color w:val="000000"/>
                <w:kern w:val="0"/>
                <w:sz w:val="21"/>
                <w:szCs w:val="21"/>
                <w:u w:val="none"/>
                <w:lang w:val="en-US" w:eastAsia="zh-CN" w:bidi="ar"/>
              </w:rPr>
            </w:pPr>
            <w:r>
              <w:rPr>
                <w:rFonts w:hint="default" w:ascii="微软雅黑" w:hAnsi="微软雅黑" w:eastAsia="微软雅黑" w:cs="微软雅黑"/>
                <w:b w:val="0"/>
                <w:bCs w:val="0"/>
                <w:i w:val="0"/>
                <w:iCs w:val="0"/>
                <w:color w:val="000000"/>
                <w:kern w:val="0"/>
                <w:sz w:val="21"/>
                <w:szCs w:val="21"/>
                <w:u w:val="none"/>
                <w:lang w:val="en-US" w:eastAsia="zh-CN" w:bidi="ar"/>
              </w:rPr>
              <w:t>医疗保险</w:t>
            </w:r>
          </w:p>
        </w:tc>
        <w:tc>
          <w:tcPr>
            <w:tcW w:w="790" w:type="pct"/>
            <w:tcMar>
              <w:top w:w="60" w:type="dxa"/>
              <w:left w:w="120" w:type="dxa"/>
              <w:bottom w:w="30" w:type="dxa"/>
              <w:right w:w="120" w:type="dxa"/>
            </w:tcMar>
            <w:vAlign w:val="center"/>
          </w:tcPr>
          <w:p w14:paraId="3AF0CBD6">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r>
              <w:rPr>
                <w:rFonts w:hint="default" w:ascii="微软雅黑" w:hAnsi="微软雅黑" w:eastAsia="微软雅黑" w:cs="微软雅黑"/>
                <w:i w:val="0"/>
                <w:iCs w:val="0"/>
                <w:color w:val="000000"/>
                <w:kern w:val="0"/>
                <w:sz w:val="21"/>
                <w:szCs w:val="21"/>
                <w:u w:val="none"/>
                <w:lang w:val="en-US" w:eastAsia="zh-CN" w:bidi="ar"/>
              </w:rPr>
              <w:t>全额承担</w:t>
            </w:r>
          </w:p>
        </w:tc>
        <w:tc>
          <w:tcPr>
            <w:tcW w:w="504" w:type="pct"/>
            <w:tcMar>
              <w:top w:w="60" w:type="dxa"/>
              <w:left w:w="120" w:type="dxa"/>
              <w:bottom w:w="30" w:type="dxa"/>
              <w:right w:w="120" w:type="dxa"/>
            </w:tcMar>
            <w:vAlign w:val="center"/>
          </w:tcPr>
          <w:p w14:paraId="7C2064FB">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r>
              <w:rPr>
                <w:rFonts w:hint="default" w:ascii="微软雅黑" w:hAnsi="微软雅黑" w:eastAsia="微软雅黑" w:cs="微软雅黑"/>
                <w:i w:val="0"/>
                <w:iCs w:val="0"/>
                <w:color w:val="000000"/>
                <w:kern w:val="0"/>
                <w:sz w:val="21"/>
                <w:szCs w:val="21"/>
                <w:u w:val="none"/>
                <w:lang w:val="en-US" w:eastAsia="zh-CN" w:bidi="ar"/>
              </w:rPr>
              <w:t>0%</w:t>
            </w:r>
          </w:p>
        </w:tc>
        <w:tc>
          <w:tcPr>
            <w:tcW w:w="513" w:type="pct"/>
            <w:tcMar>
              <w:top w:w="60" w:type="dxa"/>
              <w:left w:w="120" w:type="dxa"/>
              <w:bottom w:w="30" w:type="dxa"/>
              <w:right w:w="120" w:type="dxa"/>
            </w:tcMar>
            <w:vAlign w:val="center"/>
          </w:tcPr>
          <w:p w14:paraId="66940BE0">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r>
              <w:rPr>
                <w:rFonts w:hint="default" w:ascii="微软雅黑" w:hAnsi="微软雅黑" w:eastAsia="微软雅黑" w:cs="微软雅黑"/>
                <w:i w:val="0"/>
                <w:iCs w:val="0"/>
                <w:color w:val="000000"/>
                <w:kern w:val="0"/>
                <w:sz w:val="21"/>
                <w:szCs w:val="21"/>
                <w:u w:val="none"/>
                <w:lang w:val="en-US" w:eastAsia="zh-CN" w:bidi="ar"/>
              </w:rPr>
              <w:t>全额承担</w:t>
            </w:r>
          </w:p>
        </w:tc>
        <w:tc>
          <w:tcPr>
            <w:tcW w:w="515" w:type="pct"/>
            <w:tcMar>
              <w:top w:w="60" w:type="dxa"/>
              <w:left w:w="120" w:type="dxa"/>
              <w:bottom w:w="30" w:type="dxa"/>
              <w:right w:w="120" w:type="dxa"/>
            </w:tcMar>
            <w:vAlign w:val="center"/>
          </w:tcPr>
          <w:p w14:paraId="6197C12E">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r>
              <w:rPr>
                <w:rFonts w:hint="default" w:ascii="微软雅黑" w:hAnsi="微软雅黑" w:eastAsia="微软雅黑" w:cs="微软雅黑"/>
                <w:i w:val="0"/>
                <w:iCs w:val="0"/>
                <w:color w:val="000000"/>
                <w:kern w:val="0"/>
                <w:sz w:val="21"/>
                <w:szCs w:val="21"/>
                <w:u w:val="none"/>
                <w:lang w:val="en-US" w:eastAsia="zh-CN" w:bidi="ar"/>
              </w:rPr>
              <w:t>0%</w:t>
            </w:r>
          </w:p>
        </w:tc>
        <w:tc>
          <w:tcPr>
            <w:tcW w:w="1966" w:type="pct"/>
            <w:tcMar>
              <w:top w:w="60" w:type="dxa"/>
              <w:left w:w="120" w:type="dxa"/>
              <w:bottom w:w="30" w:type="dxa"/>
              <w:right w:w="120" w:type="dxa"/>
            </w:tcMar>
            <w:vAlign w:val="center"/>
          </w:tcPr>
          <w:p w14:paraId="6AEC84D6">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r>
              <w:rPr>
                <w:rFonts w:hint="default" w:ascii="微软雅黑" w:hAnsi="微软雅黑" w:eastAsia="微软雅黑" w:cs="微软雅黑"/>
                <w:i w:val="0"/>
                <w:iCs w:val="0"/>
                <w:color w:val="000000"/>
                <w:kern w:val="0"/>
                <w:sz w:val="21"/>
                <w:szCs w:val="21"/>
                <w:u w:val="none"/>
                <w:lang w:val="en-US" w:eastAsia="zh-CN" w:bidi="ar"/>
              </w:rPr>
              <w:t>雇主必须投保，外籍员工可覆盖配偶+最多3名子女</w:t>
            </w:r>
          </w:p>
        </w:tc>
      </w:tr>
      <w:tr w14:paraId="4A73B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9" w:type="pct"/>
            <w:tcMar>
              <w:top w:w="60" w:type="dxa"/>
              <w:left w:w="120" w:type="dxa"/>
              <w:bottom w:w="30" w:type="dxa"/>
              <w:right w:w="120" w:type="dxa"/>
            </w:tcMar>
            <w:vAlign w:val="center"/>
          </w:tcPr>
          <w:p w14:paraId="0068517E">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b w:val="0"/>
                <w:bCs w:val="0"/>
                <w:i w:val="0"/>
                <w:iCs w:val="0"/>
                <w:color w:val="000000"/>
                <w:kern w:val="0"/>
                <w:sz w:val="21"/>
                <w:szCs w:val="21"/>
                <w:u w:val="none"/>
                <w:lang w:val="en-US" w:eastAsia="zh-CN" w:bidi="ar"/>
              </w:rPr>
            </w:pPr>
            <w:r>
              <w:rPr>
                <w:rFonts w:hint="default" w:ascii="微软雅黑" w:hAnsi="微软雅黑" w:eastAsia="微软雅黑" w:cs="微软雅黑"/>
                <w:b w:val="0"/>
                <w:bCs w:val="0"/>
                <w:i w:val="0"/>
                <w:iCs w:val="0"/>
                <w:color w:val="000000"/>
                <w:kern w:val="0"/>
                <w:sz w:val="21"/>
                <w:szCs w:val="21"/>
                <w:u w:val="none"/>
                <w:lang w:val="en-US" w:eastAsia="zh-CN" w:bidi="ar"/>
              </w:rPr>
              <w:t>离职补偿金（EOSG）</w:t>
            </w:r>
          </w:p>
        </w:tc>
        <w:tc>
          <w:tcPr>
            <w:tcW w:w="790" w:type="pct"/>
            <w:tcMar>
              <w:top w:w="60" w:type="dxa"/>
              <w:left w:w="120" w:type="dxa"/>
              <w:bottom w:w="30" w:type="dxa"/>
              <w:right w:w="120" w:type="dxa"/>
            </w:tcMar>
            <w:vAlign w:val="center"/>
          </w:tcPr>
          <w:p w14:paraId="52B89520">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不计提</w:t>
            </w:r>
          </w:p>
        </w:tc>
        <w:tc>
          <w:tcPr>
            <w:tcW w:w="504" w:type="pct"/>
            <w:tcMar>
              <w:top w:w="60" w:type="dxa"/>
              <w:left w:w="120" w:type="dxa"/>
              <w:bottom w:w="30" w:type="dxa"/>
              <w:right w:w="120" w:type="dxa"/>
            </w:tcMar>
            <w:vAlign w:val="center"/>
          </w:tcPr>
          <w:p w14:paraId="3FB9C53A">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r>
              <w:rPr>
                <w:rFonts w:hint="default" w:ascii="微软雅黑" w:hAnsi="微软雅黑" w:eastAsia="微软雅黑" w:cs="微软雅黑"/>
                <w:i w:val="0"/>
                <w:iCs w:val="0"/>
                <w:color w:val="000000"/>
                <w:kern w:val="0"/>
                <w:sz w:val="21"/>
                <w:szCs w:val="21"/>
                <w:u w:val="none"/>
                <w:lang w:val="en-US" w:eastAsia="zh-CN" w:bidi="ar"/>
              </w:rPr>
              <w:t>0%</w:t>
            </w:r>
          </w:p>
        </w:tc>
        <w:tc>
          <w:tcPr>
            <w:tcW w:w="513" w:type="pct"/>
            <w:tcMar>
              <w:top w:w="60" w:type="dxa"/>
              <w:left w:w="120" w:type="dxa"/>
              <w:bottom w:w="30" w:type="dxa"/>
              <w:right w:w="120" w:type="dxa"/>
            </w:tcMar>
            <w:vAlign w:val="center"/>
          </w:tcPr>
          <w:p w14:paraId="019DE47A">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r>
              <w:rPr>
                <w:rFonts w:hint="default" w:ascii="微软雅黑" w:hAnsi="微软雅黑" w:eastAsia="微软雅黑" w:cs="微软雅黑"/>
                <w:i w:val="0"/>
                <w:iCs w:val="0"/>
                <w:color w:val="000000"/>
                <w:kern w:val="0"/>
                <w:sz w:val="21"/>
                <w:szCs w:val="21"/>
                <w:u w:val="none"/>
                <w:lang w:val="en-US" w:eastAsia="zh-CN" w:bidi="ar"/>
              </w:rPr>
              <w:t>全额承担</w:t>
            </w:r>
          </w:p>
        </w:tc>
        <w:tc>
          <w:tcPr>
            <w:tcW w:w="515" w:type="pct"/>
            <w:tcMar>
              <w:top w:w="60" w:type="dxa"/>
              <w:left w:w="120" w:type="dxa"/>
              <w:bottom w:w="30" w:type="dxa"/>
              <w:right w:w="120" w:type="dxa"/>
            </w:tcMar>
            <w:vAlign w:val="center"/>
          </w:tcPr>
          <w:p w14:paraId="123580C7">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r>
              <w:rPr>
                <w:rFonts w:hint="default" w:ascii="微软雅黑" w:hAnsi="微软雅黑" w:eastAsia="微软雅黑" w:cs="微软雅黑"/>
                <w:i w:val="0"/>
                <w:iCs w:val="0"/>
                <w:color w:val="000000"/>
                <w:kern w:val="0"/>
                <w:sz w:val="21"/>
                <w:szCs w:val="21"/>
                <w:u w:val="none"/>
                <w:lang w:val="en-US" w:eastAsia="zh-CN" w:bidi="ar"/>
              </w:rPr>
              <w:t>0%</w:t>
            </w:r>
          </w:p>
        </w:tc>
        <w:tc>
          <w:tcPr>
            <w:tcW w:w="1966" w:type="pct"/>
            <w:tcMar>
              <w:top w:w="60" w:type="dxa"/>
              <w:left w:w="120" w:type="dxa"/>
              <w:bottom w:w="30" w:type="dxa"/>
              <w:right w:w="120" w:type="dxa"/>
            </w:tcMar>
            <w:vAlign w:val="center"/>
          </w:tcPr>
          <w:p w14:paraId="1DEAA66A">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center"/>
              <w:rPr>
                <w:rFonts w:hint="default" w:ascii="微软雅黑" w:hAnsi="微软雅黑" w:eastAsia="微软雅黑" w:cs="微软雅黑"/>
                <w:i w:val="0"/>
                <w:iCs w:val="0"/>
                <w:color w:val="000000"/>
                <w:kern w:val="0"/>
                <w:sz w:val="21"/>
                <w:szCs w:val="21"/>
                <w:u w:val="none"/>
                <w:lang w:val="en-US" w:eastAsia="zh-CN" w:bidi="ar"/>
              </w:rPr>
            </w:pPr>
            <w:r>
              <w:rPr>
                <w:rFonts w:hint="default" w:ascii="微软雅黑" w:hAnsi="微软雅黑" w:eastAsia="微软雅黑" w:cs="微软雅黑"/>
                <w:i w:val="0"/>
                <w:iCs w:val="0"/>
                <w:color w:val="000000"/>
                <w:kern w:val="0"/>
                <w:sz w:val="21"/>
                <w:szCs w:val="21"/>
                <w:u w:val="none"/>
                <w:lang w:val="en-US" w:eastAsia="zh-CN" w:bidi="ar"/>
              </w:rPr>
              <w:t>按工龄计算，1-5年21天月薪/年，5年以上30天月薪/年</w:t>
            </w:r>
          </w:p>
        </w:tc>
      </w:tr>
    </w:tbl>
    <w:p w14:paraId="368286AE">
      <w:pPr>
        <w:pStyle w:val="5"/>
        <w:pageBreakBefore w:val="0"/>
        <w:widowControl/>
        <w:kinsoku/>
        <w:wordWrap/>
        <w:overflowPunct/>
        <w:topLinePunct w:val="0"/>
        <w:autoSpaceDE/>
        <w:autoSpaceDN/>
        <w:bidi w:val="0"/>
        <w:adjustRightInd/>
        <w:snapToGrid/>
        <w:jc w:val="both"/>
        <w:rPr>
          <w:rFonts w:hint="default"/>
          <w:sz w:val="24"/>
          <w:szCs w:val="28"/>
          <w:lang w:val="en-US" w:eastAsia="zh-CN"/>
        </w:rPr>
      </w:pPr>
      <w:bookmarkStart w:id="36" w:name="_Toc32380"/>
      <w:r>
        <w:rPr>
          <w:rFonts w:hint="eastAsia" w:ascii="微软雅黑" w:hAnsi="微软雅黑" w:eastAsia="微软雅黑"/>
          <w:color w:val="auto"/>
          <w:lang w:val="en-US" w:eastAsia="zh-CN"/>
        </w:rPr>
        <w:t>4</w:t>
      </w:r>
      <w:r>
        <w:rPr>
          <w:rFonts w:ascii="微软雅黑" w:hAnsi="微软雅黑" w:eastAsia="微软雅黑"/>
          <w:color w:val="auto"/>
          <w:lang w:val="zh-CN" w:eastAsia="zh-CN"/>
        </w:rPr>
        <w:t>.</w:t>
      </w:r>
      <w:r>
        <w:rPr>
          <w:rFonts w:hint="eastAsia" w:ascii="微软雅黑" w:hAnsi="微软雅黑" w:eastAsia="微软雅黑"/>
          <w:color w:val="auto"/>
          <w:lang w:val="en-US" w:eastAsia="zh-CN"/>
        </w:rPr>
        <w:t>2</w:t>
      </w:r>
      <w:r>
        <w:rPr>
          <w:rFonts w:ascii="微软雅黑" w:hAnsi="微软雅黑" w:eastAsia="微软雅黑"/>
          <w:color w:val="auto"/>
          <w:lang w:val="zh-CN" w:eastAsia="zh-CN"/>
        </w:rPr>
        <w:t>.</w:t>
      </w:r>
      <w:r>
        <w:rPr>
          <w:rFonts w:hint="eastAsia" w:ascii="微软雅黑" w:hAnsi="微软雅黑" w:eastAsia="微软雅黑"/>
          <w:color w:val="auto"/>
          <w:lang w:val="en-US" w:eastAsia="zh-CN"/>
        </w:rPr>
        <w:t>4</w:t>
      </w:r>
      <w:r>
        <w:rPr>
          <w:rFonts w:ascii="微软雅黑" w:hAnsi="微软雅黑" w:eastAsia="微软雅黑"/>
          <w:color w:val="auto"/>
          <w:lang w:val="zh-CN" w:eastAsia="zh-CN"/>
        </w:rPr>
        <w:t xml:space="preserve">  </w:t>
      </w:r>
      <w:r>
        <w:rPr>
          <w:rFonts w:hint="eastAsia" w:ascii="微软雅黑" w:hAnsi="微软雅黑" w:eastAsia="微软雅黑"/>
          <w:color w:val="auto"/>
          <w:lang w:val="en-US" w:eastAsia="zh-CN"/>
        </w:rPr>
        <w:t>关税</w:t>
      </w:r>
      <w:bookmarkEnd w:id="36"/>
    </w:p>
    <w:p w14:paraId="03E2CD82">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阿联酋于2003年1月1日正式实施海湾合作委员会（海合会）国家关税联盟规定。根据联盟规定，除53种免税商品外，其余1</w:t>
      </w:r>
      <w:r>
        <w:rPr>
          <w:rFonts w:hint="eastAsia"/>
          <w:sz w:val="24"/>
          <w:szCs w:val="28"/>
          <w:lang w:val="en-US" w:eastAsia="zh-CN"/>
        </w:rPr>
        <w:t>,</w:t>
      </w:r>
      <w:r>
        <w:rPr>
          <w:rFonts w:hint="eastAsia"/>
          <w:sz w:val="24"/>
          <w:szCs w:val="28"/>
          <w:lang w:val="zh-CN" w:eastAsia="zh-CN"/>
        </w:rPr>
        <w:t>236种商品统一征收5%的关税，此外，每张报关单还要加收30迪拉姆（约合8.2美元）的费用。根据该联盟规定，所有进口海合会国家的货物在该货物抵达第一个海合会国家港口时征收5%的关税，而后转运至其他海合会国家时不再征收关税。出口和再出口（转口）免征出口关税，但是再出口货物发运人须向海关提供原始发票和清关手续。</w:t>
      </w:r>
    </w:p>
    <w:p w14:paraId="7064E4C4">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自2023年起，价值300迪拉姆以下的货物仅需缴纳增值税，300迪拉姆以上货物需缴纳5%的关税。此外，阿联酋外交部2023年宣布，针对价值1万迪拉姆以上的商品发票，征收150迪拉姆的认证费。</w:t>
      </w:r>
    </w:p>
    <w:p w14:paraId="443DFCA9">
      <w:pPr>
        <w:pStyle w:val="4"/>
        <w:pageBreakBefore w:val="0"/>
        <w:widowControl/>
        <w:kinsoku/>
        <w:wordWrap/>
        <w:overflowPunct/>
        <w:topLinePunct w:val="0"/>
        <w:autoSpaceDE/>
        <w:autoSpaceDN/>
        <w:bidi w:val="0"/>
        <w:adjustRightInd/>
        <w:snapToGrid/>
        <w:jc w:val="both"/>
        <w:rPr>
          <w:rFonts w:ascii="微软雅黑" w:hAnsi="微软雅黑" w:eastAsia="微软雅黑"/>
          <w:color w:val="auto"/>
          <w:lang w:eastAsia="zh-CN"/>
        </w:rPr>
      </w:pPr>
      <w:bookmarkStart w:id="37" w:name="_Toc26948"/>
      <w:r>
        <w:rPr>
          <w:rFonts w:ascii="微软雅黑" w:hAnsi="微软雅黑" w:eastAsia="微软雅黑"/>
          <w:color w:val="auto"/>
          <w:lang w:val="zh-CN" w:eastAsia="zh-CN"/>
        </w:rPr>
        <w:t>4.3  外汇及资金管制政策</w:t>
      </w:r>
      <w:bookmarkEnd w:id="37"/>
    </w:p>
    <w:p w14:paraId="63C25687">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eastAsia"/>
          <w:sz w:val="24"/>
          <w:szCs w:val="28"/>
          <w:lang w:val="zh-CN" w:eastAsia="zh-CN"/>
        </w:rPr>
      </w:pPr>
      <w:r>
        <w:rPr>
          <w:rFonts w:hint="eastAsia"/>
          <w:sz w:val="24"/>
          <w:szCs w:val="28"/>
          <w:lang w:val="zh-CN" w:eastAsia="zh-CN"/>
        </w:rPr>
        <w:t>阿联酋企业（含本地企业、外资企业）跨境收支无币种限制，在符合反洗钱规定的前提下，可自由汇出汇入外汇资金，包括货款、投资款、利润、股息、服务费等，无需向中央银行额外审批或备案。银行对超过等值3</w:t>
      </w:r>
      <w:r>
        <w:rPr>
          <w:rFonts w:hint="eastAsia"/>
          <w:sz w:val="24"/>
          <w:szCs w:val="28"/>
          <w:lang w:val="en-US" w:eastAsia="zh-CN"/>
        </w:rPr>
        <w:t>,</w:t>
      </w:r>
      <w:r>
        <w:rPr>
          <w:rFonts w:hint="eastAsia"/>
          <w:sz w:val="24"/>
          <w:szCs w:val="28"/>
          <w:lang w:val="zh-CN" w:eastAsia="zh-CN"/>
        </w:rPr>
        <w:t>500迪拉姆的汇款，需核验交易主体身份信息；货币兑换机构无论交易金额大小，均需确认交易主体身份，确保资金来源合法。</w:t>
      </w:r>
    </w:p>
    <w:p w14:paraId="25DB183C">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eastAsia"/>
          <w:sz w:val="24"/>
          <w:szCs w:val="28"/>
          <w:lang w:val="zh-CN" w:eastAsia="zh-CN"/>
        </w:rPr>
      </w:pPr>
      <w:r>
        <w:rPr>
          <w:rFonts w:hint="eastAsia"/>
          <w:sz w:val="24"/>
          <w:szCs w:val="28"/>
          <w:lang w:val="zh-CN" w:eastAsia="zh-CN"/>
        </w:rPr>
        <w:t>在阿联酋设立子公司，自贸区无最低注册资本要求，境内注册资本最低10万迪拉姆；分公司无强制注册资本，资金由母公司拨付；项目部无注册资本，资金以项目运营款/前期费用形式汇出。国内资金合规出境与回流核心遵循“三部门审批+外汇登记+真实交易+税务合规”的监管框架，分为境外直接投资与对外承包工程两大场景。</w:t>
      </w:r>
    </w:p>
    <w:p w14:paraId="60D7D7B2">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eastAsia"/>
          <w:sz w:val="24"/>
          <w:szCs w:val="28"/>
          <w:lang w:val="zh-CN" w:eastAsia="zh-CN"/>
        </w:rPr>
      </w:pPr>
      <w:r>
        <w:rPr>
          <w:rFonts w:hint="eastAsia"/>
          <w:sz w:val="24"/>
          <w:szCs w:val="28"/>
          <w:lang w:val="zh-CN" w:eastAsia="zh-CN"/>
        </w:rPr>
        <w:t>境外直接投资（ODI）：适用在阿联酋设立子公司、分公司，核心路径为国内ODI备案（发改委备案、商务部备案，项目实施前完成，集团总部提交申请）→国内银行外汇登记（银行代办）+开立ODI专户→境外公司注册→阿联酋银行开户→资本金/运营资金汇出→阿联酋本地入账/结汇→利润/资本回流。</w:t>
      </w:r>
    </w:p>
    <w:p w14:paraId="2044F0ED">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eastAsia"/>
          <w:sz w:val="24"/>
          <w:szCs w:val="28"/>
          <w:lang w:val="zh-CN" w:eastAsia="zh-CN"/>
        </w:rPr>
      </w:pPr>
      <w:r>
        <w:rPr>
          <w:rFonts w:hint="eastAsia"/>
          <w:sz w:val="24"/>
          <w:szCs w:val="28"/>
          <w:lang w:val="zh-CN" w:eastAsia="zh-CN"/>
        </w:rPr>
        <w:t>对外承包工程：适用在阿联酋设立项目部，商务部承包工程备案（投标/议标项目在对外投标/议标前完成备案，直接签约及其他方式在项目签约前完成备案）→项目落地、经常项目外汇登记（银行代办）+开立经常项目外汇账户→开立项目部账户（阿联酋）→资金汇出（国内经常账户汇入阿联酋项目部账户）→阿联酋入账/结汇→利润回流。</w:t>
      </w:r>
    </w:p>
    <w:p w14:paraId="7E72E34D">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eastAsia"/>
          <w:lang w:eastAsia="zh-CN"/>
        </w:rPr>
      </w:pPr>
      <w:r>
        <w:rPr>
          <w:rFonts w:hint="eastAsia"/>
          <w:sz w:val="24"/>
          <w:szCs w:val="28"/>
          <w:lang w:val="zh-CN" w:eastAsia="zh-CN"/>
        </w:rPr>
        <w:t>目前，阿联酋境内外商投资资金可自由汇入，投资收益可自由汇出；居民企业对外直接投资无限制。但仍需注意境外经营相关的发改委备案、商务部备案及外汇登记的完备、合规，否则会导致境内银行无法收汇。</w:t>
      </w:r>
      <w:r>
        <w:rPr>
          <w:lang w:val="zh-CN" w:eastAsia="zh-CN"/>
        </w:rPr>
        <w:br w:type="page"/>
      </w:r>
    </w:p>
    <w:p w14:paraId="18870200">
      <w:pPr>
        <w:pStyle w:val="3"/>
        <w:pageBreakBefore w:val="0"/>
        <w:widowControl/>
        <w:kinsoku/>
        <w:wordWrap/>
        <w:overflowPunct/>
        <w:topLinePunct w:val="0"/>
        <w:autoSpaceDE/>
        <w:autoSpaceDN/>
        <w:bidi w:val="0"/>
        <w:adjustRightInd/>
        <w:snapToGrid/>
        <w:jc w:val="both"/>
        <w:rPr>
          <w:rFonts w:ascii="微软雅黑" w:hAnsi="微软雅黑" w:eastAsia="微软雅黑"/>
          <w:color w:val="auto"/>
          <w:lang w:eastAsia="zh-CN"/>
        </w:rPr>
      </w:pPr>
      <w:bookmarkStart w:id="38" w:name="_Toc7300"/>
      <w:r>
        <w:rPr>
          <w:rFonts w:ascii="微软雅黑" w:hAnsi="微软雅黑" w:eastAsia="微软雅黑"/>
          <w:color w:val="auto"/>
          <w:lang w:val="zh-CN" w:eastAsia="zh-CN"/>
        </w:rPr>
        <w:t>第五章  项目全周期财务管理指引</w:t>
      </w:r>
      <w:bookmarkEnd w:id="38"/>
    </w:p>
    <w:p w14:paraId="4251FEBF">
      <w:pPr>
        <w:pStyle w:val="4"/>
        <w:pageBreakBefore w:val="0"/>
        <w:widowControl/>
        <w:kinsoku/>
        <w:wordWrap/>
        <w:overflowPunct/>
        <w:topLinePunct w:val="0"/>
        <w:autoSpaceDE/>
        <w:autoSpaceDN/>
        <w:bidi w:val="0"/>
        <w:adjustRightInd/>
        <w:snapToGrid/>
        <w:jc w:val="both"/>
        <w:rPr>
          <w:rFonts w:ascii="微软雅黑" w:hAnsi="微软雅黑" w:eastAsia="微软雅黑"/>
          <w:color w:val="auto"/>
          <w:lang w:eastAsia="zh-CN"/>
        </w:rPr>
      </w:pPr>
      <w:bookmarkStart w:id="39" w:name="_Toc13418"/>
      <w:r>
        <w:rPr>
          <w:rFonts w:ascii="微软雅黑" w:hAnsi="微软雅黑" w:eastAsia="微软雅黑"/>
          <w:color w:val="auto"/>
          <w:lang w:val="zh-CN" w:eastAsia="zh-CN"/>
        </w:rPr>
        <w:t xml:space="preserve">5.1  </w:t>
      </w:r>
      <w:r>
        <w:rPr>
          <w:rFonts w:hint="eastAsia" w:ascii="微软雅黑" w:hAnsi="微软雅黑" w:eastAsia="微软雅黑"/>
          <w:color w:val="auto"/>
          <w:lang w:val="zh-CN" w:eastAsia="zh-CN"/>
        </w:rPr>
        <w:t>投标</w:t>
      </w:r>
      <w:r>
        <w:rPr>
          <w:rFonts w:ascii="微软雅黑" w:hAnsi="微软雅黑" w:eastAsia="微软雅黑"/>
          <w:color w:val="auto"/>
          <w:lang w:val="zh-CN" w:eastAsia="zh-CN"/>
        </w:rPr>
        <w:t>及合同谈判阶段</w:t>
      </w:r>
      <w:bookmarkEnd w:id="39"/>
    </w:p>
    <w:p w14:paraId="5EA6AF7D">
      <w:pPr>
        <w:pStyle w:val="5"/>
        <w:pageBreakBefore w:val="0"/>
        <w:widowControl/>
        <w:kinsoku/>
        <w:wordWrap/>
        <w:overflowPunct/>
        <w:topLinePunct w:val="0"/>
        <w:autoSpaceDE/>
        <w:autoSpaceDN/>
        <w:bidi w:val="0"/>
        <w:adjustRightInd/>
        <w:snapToGrid/>
        <w:jc w:val="both"/>
        <w:rPr>
          <w:rFonts w:ascii="微软雅黑" w:hAnsi="微软雅黑" w:eastAsia="微软雅黑"/>
          <w:color w:val="auto"/>
          <w:lang w:eastAsia="zh-CN"/>
        </w:rPr>
      </w:pPr>
      <w:bookmarkStart w:id="40" w:name="_Toc29301"/>
      <w:r>
        <w:rPr>
          <w:rFonts w:ascii="微软雅黑" w:hAnsi="微软雅黑" w:eastAsia="微软雅黑"/>
          <w:color w:val="auto"/>
          <w:lang w:val="zh-CN" w:eastAsia="zh-CN"/>
        </w:rPr>
        <w:t>5.1.1  主体形式选择</w:t>
      </w:r>
      <w:bookmarkEnd w:id="40"/>
    </w:p>
    <w:p w14:paraId="3BA740E7">
      <w:pPr>
        <w:keepNext w:val="0"/>
        <w:keepLines w:val="0"/>
        <w:pageBreakBefore w:val="0"/>
        <w:widowControl/>
        <w:kinsoku/>
        <w:wordWrap/>
        <w:overflowPunct/>
        <w:topLinePunct w:val="0"/>
        <w:autoSpaceDE/>
        <w:autoSpaceDN/>
        <w:bidi w:val="0"/>
        <w:adjustRightInd/>
        <w:snapToGrid/>
        <w:spacing w:after="80"/>
        <w:ind w:firstLine="480" w:firstLineChars="200"/>
        <w:jc w:val="both"/>
        <w:textAlignment w:val="auto"/>
        <w:rPr>
          <w:rFonts w:hint="eastAsia"/>
          <w:sz w:val="24"/>
          <w:szCs w:val="28"/>
          <w:lang w:eastAsia="zh-CN"/>
        </w:rPr>
      </w:pPr>
      <w:r>
        <w:rPr>
          <w:sz w:val="24"/>
          <w:szCs w:val="28"/>
          <w:lang w:val="zh-CN" w:eastAsia="zh-CN"/>
        </w:rPr>
        <w:t>对比三种形式在</w:t>
      </w:r>
      <w:r>
        <w:rPr>
          <w:rFonts w:hint="eastAsia"/>
          <w:sz w:val="24"/>
          <w:szCs w:val="28"/>
          <w:lang w:val="zh-CN" w:eastAsia="zh-CN"/>
        </w:rPr>
        <w:t>阿联酋</w:t>
      </w:r>
      <w:r>
        <w:rPr>
          <w:sz w:val="24"/>
          <w:szCs w:val="28"/>
          <w:lang w:val="zh-CN" w:eastAsia="zh-CN"/>
        </w:rPr>
        <w:t>的差异：</w:t>
      </w:r>
    </w:p>
    <w:tbl>
      <w:tblPr>
        <w:tblStyle w:val="37"/>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1324"/>
        <w:gridCol w:w="2610"/>
        <w:gridCol w:w="2325"/>
        <w:gridCol w:w="2373"/>
      </w:tblGrid>
      <w:tr w14:paraId="7F97347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324" w:type="dxa"/>
            <w:shd w:val="clear" w:color="auto" w:fill="1F4E79"/>
            <w:vAlign w:val="center"/>
          </w:tcPr>
          <w:p w14:paraId="1A71A660">
            <w:pPr>
              <w:pageBreakBefore w:val="0"/>
              <w:widowControl/>
              <w:kinsoku/>
              <w:wordWrap/>
              <w:overflowPunct/>
              <w:topLinePunct w:val="0"/>
              <w:autoSpaceDE/>
              <w:autoSpaceDN/>
              <w:bidi w:val="0"/>
              <w:adjustRightInd/>
              <w:snapToGrid/>
              <w:spacing w:before="40" w:after="40" w:line="240" w:lineRule="auto"/>
              <w:jc w:val="center"/>
              <w:rPr>
                <w:rFonts w:hint="eastAsia"/>
                <w:color w:val="FFFFFF" w:themeColor="background1"/>
                <w:szCs w:val="28"/>
                <w14:textFill>
                  <w14:solidFill>
                    <w14:schemeClr w14:val="bg1"/>
                  </w14:solidFill>
                </w14:textFill>
              </w:rPr>
            </w:pPr>
            <w:r>
              <w:rPr>
                <w:b/>
                <w:color w:val="FFFFFF" w:themeColor="background1"/>
                <w:szCs w:val="28"/>
                <w:lang w:val="zh-CN" w:eastAsia="zh-CN"/>
                <w14:textFill>
                  <w14:solidFill>
                    <w14:schemeClr w14:val="bg1"/>
                  </w14:solidFill>
                </w14:textFill>
              </w:rPr>
              <w:t>对比项</w:t>
            </w:r>
          </w:p>
        </w:tc>
        <w:tc>
          <w:tcPr>
            <w:tcW w:w="2610" w:type="dxa"/>
            <w:shd w:val="clear" w:color="auto" w:fill="1F4E79"/>
            <w:vAlign w:val="center"/>
          </w:tcPr>
          <w:p w14:paraId="15087D28">
            <w:pPr>
              <w:pageBreakBefore w:val="0"/>
              <w:widowControl/>
              <w:kinsoku/>
              <w:wordWrap/>
              <w:overflowPunct/>
              <w:topLinePunct w:val="0"/>
              <w:autoSpaceDE/>
              <w:autoSpaceDN/>
              <w:bidi w:val="0"/>
              <w:adjustRightInd/>
              <w:snapToGrid/>
              <w:spacing w:before="40" w:after="40" w:line="240" w:lineRule="auto"/>
              <w:jc w:val="center"/>
              <w:rPr>
                <w:rFonts w:hint="eastAsia"/>
                <w:color w:val="FFFFFF" w:themeColor="background1"/>
                <w:szCs w:val="28"/>
                <w14:textFill>
                  <w14:solidFill>
                    <w14:schemeClr w14:val="bg1"/>
                  </w14:solidFill>
                </w14:textFill>
              </w:rPr>
            </w:pPr>
            <w:r>
              <w:rPr>
                <w:b/>
                <w:color w:val="FFFFFF" w:themeColor="background1"/>
                <w:szCs w:val="28"/>
                <w:lang w:val="zh-CN" w:eastAsia="zh-CN"/>
                <w14:textFill>
                  <w14:solidFill>
                    <w14:schemeClr w14:val="bg1"/>
                  </w14:solidFill>
                </w14:textFill>
              </w:rPr>
              <w:t>项目部</w:t>
            </w:r>
          </w:p>
        </w:tc>
        <w:tc>
          <w:tcPr>
            <w:tcW w:w="2325" w:type="dxa"/>
            <w:shd w:val="clear" w:color="auto" w:fill="1F4E79"/>
            <w:vAlign w:val="center"/>
          </w:tcPr>
          <w:p w14:paraId="01B61790">
            <w:pPr>
              <w:pageBreakBefore w:val="0"/>
              <w:widowControl/>
              <w:kinsoku/>
              <w:wordWrap/>
              <w:overflowPunct/>
              <w:topLinePunct w:val="0"/>
              <w:autoSpaceDE/>
              <w:autoSpaceDN/>
              <w:bidi w:val="0"/>
              <w:adjustRightInd/>
              <w:snapToGrid/>
              <w:spacing w:before="40" w:after="40" w:line="240" w:lineRule="auto"/>
              <w:jc w:val="center"/>
              <w:rPr>
                <w:rFonts w:hint="eastAsia"/>
                <w:color w:val="FFFFFF" w:themeColor="background1"/>
                <w:szCs w:val="28"/>
                <w14:textFill>
                  <w14:solidFill>
                    <w14:schemeClr w14:val="bg1"/>
                  </w14:solidFill>
                </w14:textFill>
              </w:rPr>
            </w:pPr>
            <w:r>
              <w:rPr>
                <w:b/>
                <w:color w:val="FFFFFF" w:themeColor="background1"/>
                <w:szCs w:val="28"/>
                <w:lang w:val="zh-CN" w:eastAsia="zh-CN"/>
                <w14:textFill>
                  <w14:solidFill>
                    <w14:schemeClr w14:val="bg1"/>
                  </w14:solidFill>
                </w14:textFill>
              </w:rPr>
              <w:t>分公司</w:t>
            </w:r>
          </w:p>
        </w:tc>
        <w:tc>
          <w:tcPr>
            <w:tcW w:w="2373" w:type="dxa"/>
            <w:shd w:val="clear" w:color="auto" w:fill="1F4E79"/>
            <w:vAlign w:val="center"/>
          </w:tcPr>
          <w:p w14:paraId="41B2B359">
            <w:pPr>
              <w:pageBreakBefore w:val="0"/>
              <w:widowControl/>
              <w:kinsoku/>
              <w:wordWrap/>
              <w:overflowPunct/>
              <w:topLinePunct w:val="0"/>
              <w:autoSpaceDE/>
              <w:autoSpaceDN/>
              <w:bidi w:val="0"/>
              <w:adjustRightInd/>
              <w:snapToGrid/>
              <w:spacing w:before="40" w:after="40" w:line="240" w:lineRule="auto"/>
              <w:jc w:val="center"/>
              <w:rPr>
                <w:rFonts w:hint="eastAsia"/>
                <w:color w:val="FFFFFF" w:themeColor="background1"/>
                <w:szCs w:val="28"/>
                <w14:textFill>
                  <w14:solidFill>
                    <w14:schemeClr w14:val="bg1"/>
                  </w14:solidFill>
                </w14:textFill>
              </w:rPr>
            </w:pPr>
            <w:r>
              <w:rPr>
                <w:b/>
                <w:color w:val="FFFFFF" w:themeColor="background1"/>
                <w:szCs w:val="28"/>
                <w:lang w:val="zh-CN" w:eastAsia="zh-CN"/>
                <w14:textFill>
                  <w14:solidFill>
                    <w14:schemeClr w14:val="bg1"/>
                  </w14:solidFill>
                </w14:textFill>
              </w:rPr>
              <w:t>子公司</w:t>
            </w:r>
          </w:p>
        </w:tc>
      </w:tr>
      <w:tr w14:paraId="7C93869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324" w:type="dxa"/>
            <w:vAlign w:val="center"/>
          </w:tcPr>
          <w:p w14:paraId="66C50050">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szCs w:val="28"/>
                <w:lang w:val="zh-CN" w:eastAsia="zh-CN"/>
              </w:rPr>
              <w:t>法律地位</w:t>
            </w:r>
          </w:p>
        </w:tc>
        <w:tc>
          <w:tcPr>
            <w:tcW w:w="2610" w:type="dxa"/>
            <w:vAlign w:val="center"/>
          </w:tcPr>
          <w:p w14:paraId="2EA9EEBB">
            <w:pPr>
              <w:pageBreakBefore w:val="0"/>
              <w:widowControl/>
              <w:kinsoku/>
              <w:wordWrap/>
              <w:overflowPunct/>
              <w:topLinePunct w:val="0"/>
              <w:autoSpaceDE/>
              <w:autoSpaceDN/>
              <w:bidi w:val="0"/>
              <w:adjustRightInd/>
              <w:snapToGrid/>
              <w:spacing w:before="40" w:after="40" w:line="240" w:lineRule="auto"/>
              <w:jc w:val="both"/>
              <w:rPr>
                <w:rFonts w:hint="eastAsia" w:eastAsia="微软雅黑"/>
                <w:szCs w:val="28"/>
                <w:lang w:eastAsia="zh-CN"/>
              </w:rPr>
            </w:pPr>
            <w:r>
              <w:rPr>
                <w:rFonts w:hint="eastAsia"/>
                <w:szCs w:val="28"/>
              </w:rPr>
              <w:t>非独立法人</w:t>
            </w:r>
            <w:r>
              <w:rPr>
                <w:rFonts w:hint="eastAsia"/>
                <w:szCs w:val="28"/>
                <w:lang w:eastAsia="zh-CN"/>
              </w:rPr>
              <w:t>，归属母公司管辖</w:t>
            </w:r>
          </w:p>
        </w:tc>
        <w:tc>
          <w:tcPr>
            <w:tcW w:w="2325" w:type="dxa"/>
            <w:vAlign w:val="center"/>
          </w:tcPr>
          <w:p w14:paraId="48384477">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非独立法人</w:t>
            </w:r>
          </w:p>
        </w:tc>
        <w:tc>
          <w:tcPr>
            <w:tcW w:w="2373" w:type="dxa"/>
            <w:vAlign w:val="center"/>
          </w:tcPr>
          <w:p w14:paraId="31A75C7A">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独立法人</w:t>
            </w:r>
          </w:p>
        </w:tc>
      </w:tr>
      <w:tr w14:paraId="27A9AD7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324" w:type="dxa"/>
            <w:vAlign w:val="center"/>
          </w:tcPr>
          <w:p w14:paraId="1CEEFE29">
            <w:pPr>
              <w:pageBreakBefore w:val="0"/>
              <w:widowControl/>
              <w:kinsoku/>
              <w:wordWrap/>
              <w:overflowPunct/>
              <w:topLinePunct w:val="0"/>
              <w:autoSpaceDE/>
              <w:autoSpaceDN/>
              <w:bidi w:val="0"/>
              <w:adjustRightInd/>
              <w:snapToGrid/>
              <w:spacing w:before="40" w:after="40" w:line="240" w:lineRule="auto"/>
              <w:jc w:val="both"/>
              <w:rPr>
                <w:szCs w:val="28"/>
                <w:lang w:val="zh-CN" w:eastAsia="zh-CN"/>
              </w:rPr>
            </w:pPr>
            <w:r>
              <w:rPr>
                <w:rFonts w:hint="eastAsia"/>
                <w:szCs w:val="28"/>
                <w:lang w:val="zh-CN" w:eastAsia="zh-CN"/>
              </w:rPr>
              <w:t>外资持股</w:t>
            </w:r>
          </w:p>
        </w:tc>
        <w:tc>
          <w:tcPr>
            <w:tcW w:w="2610" w:type="dxa"/>
            <w:vAlign w:val="center"/>
          </w:tcPr>
          <w:p w14:paraId="55A8A110">
            <w:pPr>
              <w:pageBreakBefore w:val="0"/>
              <w:widowControl/>
              <w:kinsoku/>
              <w:wordWrap/>
              <w:overflowPunct/>
              <w:topLinePunct w:val="0"/>
              <w:autoSpaceDE/>
              <w:autoSpaceDN/>
              <w:bidi w:val="0"/>
              <w:adjustRightInd/>
              <w:snapToGrid/>
              <w:spacing w:before="40" w:after="40" w:line="240" w:lineRule="auto"/>
              <w:jc w:val="both"/>
              <w:rPr>
                <w:rFonts w:hint="eastAsia" w:eastAsia="微软雅黑"/>
                <w:szCs w:val="28"/>
                <w:lang w:val="en-US" w:eastAsia="zh-CN"/>
              </w:rPr>
            </w:pPr>
            <w:r>
              <w:rPr>
                <w:rFonts w:hint="eastAsia"/>
                <w:szCs w:val="28"/>
                <w:lang w:val="en-US" w:eastAsia="zh-CN"/>
              </w:rPr>
              <w:t>-</w:t>
            </w:r>
          </w:p>
        </w:tc>
        <w:tc>
          <w:tcPr>
            <w:tcW w:w="2325" w:type="dxa"/>
            <w:vAlign w:val="center"/>
          </w:tcPr>
          <w:p w14:paraId="580E14A6">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100%（需 LSA）</w:t>
            </w:r>
          </w:p>
        </w:tc>
        <w:tc>
          <w:tcPr>
            <w:tcW w:w="2373" w:type="dxa"/>
            <w:vAlign w:val="center"/>
          </w:tcPr>
          <w:p w14:paraId="1F230726">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100%（免 LSA）</w:t>
            </w:r>
          </w:p>
        </w:tc>
      </w:tr>
      <w:tr w14:paraId="0DA40CF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324" w:type="dxa"/>
            <w:vAlign w:val="center"/>
          </w:tcPr>
          <w:p w14:paraId="6357E4D0">
            <w:pPr>
              <w:pageBreakBefore w:val="0"/>
              <w:widowControl/>
              <w:kinsoku/>
              <w:wordWrap/>
              <w:overflowPunct/>
              <w:topLinePunct w:val="0"/>
              <w:autoSpaceDE/>
              <w:autoSpaceDN/>
              <w:bidi w:val="0"/>
              <w:adjustRightInd/>
              <w:snapToGrid/>
              <w:spacing w:before="40" w:after="40" w:line="240" w:lineRule="auto"/>
              <w:jc w:val="both"/>
              <w:rPr>
                <w:szCs w:val="28"/>
                <w:lang w:val="zh-CN" w:eastAsia="zh-CN"/>
              </w:rPr>
            </w:pPr>
            <w:r>
              <w:rPr>
                <w:rFonts w:hint="eastAsia"/>
                <w:szCs w:val="28"/>
                <w:lang w:val="zh-CN" w:eastAsia="zh-CN"/>
              </w:rPr>
              <w:t>独立投标</w:t>
            </w:r>
          </w:p>
        </w:tc>
        <w:tc>
          <w:tcPr>
            <w:tcW w:w="2610" w:type="dxa"/>
            <w:vAlign w:val="center"/>
          </w:tcPr>
          <w:p w14:paraId="6FC7E4BA">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不可以</w:t>
            </w:r>
          </w:p>
        </w:tc>
        <w:tc>
          <w:tcPr>
            <w:tcW w:w="2325" w:type="dxa"/>
            <w:vAlign w:val="center"/>
          </w:tcPr>
          <w:p w14:paraId="69D3A0EC">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可以</w:t>
            </w:r>
          </w:p>
        </w:tc>
        <w:tc>
          <w:tcPr>
            <w:tcW w:w="2373" w:type="dxa"/>
            <w:vAlign w:val="center"/>
          </w:tcPr>
          <w:p w14:paraId="7F0DA3FB">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可以</w:t>
            </w:r>
          </w:p>
        </w:tc>
      </w:tr>
      <w:tr w14:paraId="0A2E979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324" w:type="dxa"/>
            <w:vAlign w:val="center"/>
          </w:tcPr>
          <w:p w14:paraId="429F39A1">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szCs w:val="28"/>
                <w:lang w:val="zh-CN" w:eastAsia="zh-CN"/>
              </w:rPr>
              <w:t>注册审批时间</w:t>
            </w:r>
          </w:p>
        </w:tc>
        <w:tc>
          <w:tcPr>
            <w:tcW w:w="2610" w:type="dxa"/>
            <w:vAlign w:val="center"/>
          </w:tcPr>
          <w:p w14:paraId="7172A92E">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流程</w:t>
            </w:r>
            <w:r>
              <w:rPr>
                <w:rFonts w:hint="eastAsia"/>
                <w:szCs w:val="28"/>
                <w:lang w:eastAsia="zh-CN"/>
              </w:rPr>
              <w:t>简单</w:t>
            </w:r>
            <w:r>
              <w:rPr>
                <w:rFonts w:hint="eastAsia"/>
                <w:szCs w:val="28"/>
              </w:rPr>
              <w:t>，备案即可</w:t>
            </w:r>
          </w:p>
        </w:tc>
        <w:tc>
          <w:tcPr>
            <w:tcW w:w="2325" w:type="dxa"/>
            <w:vAlign w:val="center"/>
          </w:tcPr>
          <w:p w14:paraId="56D145CB">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4–6个月</w:t>
            </w:r>
          </w:p>
        </w:tc>
        <w:tc>
          <w:tcPr>
            <w:tcW w:w="2373" w:type="dxa"/>
            <w:vAlign w:val="center"/>
          </w:tcPr>
          <w:p w14:paraId="356F4ECB">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6–9个月</w:t>
            </w:r>
          </w:p>
        </w:tc>
      </w:tr>
      <w:tr w14:paraId="5D8F2CB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324" w:type="dxa"/>
            <w:vAlign w:val="center"/>
          </w:tcPr>
          <w:p w14:paraId="387B4205">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szCs w:val="28"/>
                <w:lang w:val="zh-CN" w:eastAsia="zh-CN"/>
              </w:rPr>
              <w:t>注册资本</w:t>
            </w:r>
          </w:p>
        </w:tc>
        <w:tc>
          <w:tcPr>
            <w:tcW w:w="2610" w:type="dxa"/>
            <w:vAlign w:val="center"/>
          </w:tcPr>
          <w:p w14:paraId="6BA08771">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无需注册资本</w:t>
            </w:r>
          </w:p>
        </w:tc>
        <w:tc>
          <w:tcPr>
            <w:tcW w:w="2325" w:type="dxa"/>
            <w:vAlign w:val="center"/>
          </w:tcPr>
          <w:p w14:paraId="0878DAC9">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无需注册资本</w:t>
            </w:r>
          </w:p>
        </w:tc>
        <w:tc>
          <w:tcPr>
            <w:tcW w:w="2373" w:type="dxa"/>
            <w:vAlign w:val="center"/>
          </w:tcPr>
          <w:p w14:paraId="1F6E17AE">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需认缴最低注册资本，无实缴强制要求</w:t>
            </w:r>
          </w:p>
        </w:tc>
      </w:tr>
      <w:tr w14:paraId="3FF3D03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324" w:type="dxa"/>
            <w:vAlign w:val="center"/>
          </w:tcPr>
          <w:p w14:paraId="58B2BB99">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szCs w:val="28"/>
                <w:lang w:val="zh-CN" w:eastAsia="zh-CN"/>
              </w:rPr>
              <w:t>企业所得税</w:t>
            </w:r>
          </w:p>
        </w:tc>
        <w:tc>
          <w:tcPr>
            <w:tcW w:w="2610" w:type="dxa"/>
            <w:vAlign w:val="center"/>
          </w:tcPr>
          <w:p w14:paraId="5BD3BDFD">
            <w:pPr>
              <w:pageBreakBefore w:val="0"/>
              <w:widowControl/>
              <w:kinsoku/>
              <w:wordWrap/>
              <w:overflowPunct/>
              <w:topLinePunct w:val="0"/>
              <w:autoSpaceDE/>
              <w:autoSpaceDN/>
              <w:bidi w:val="0"/>
              <w:adjustRightInd/>
              <w:snapToGrid/>
              <w:spacing w:before="40" w:after="40" w:line="240" w:lineRule="auto"/>
              <w:jc w:val="both"/>
              <w:rPr>
                <w:rFonts w:hint="eastAsia" w:eastAsia="微软雅黑"/>
                <w:szCs w:val="28"/>
                <w:lang w:eastAsia="zh-CN"/>
              </w:rPr>
            </w:pPr>
            <w:r>
              <w:rPr>
                <w:rFonts w:hint="eastAsia"/>
                <w:szCs w:val="28"/>
                <w:lang w:eastAsia="zh-CN"/>
              </w:rPr>
              <w:t>判断是否构成常设机构，如构成，缴纳9%所得税，无小微豁免政策；如不构成，无需缴纳</w:t>
            </w:r>
          </w:p>
        </w:tc>
        <w:tc>
          <w:tcPr>
            <w:tcW w:w="2325" w:type="dxa"/>
            <w:vAlign w:val="center"/>
          </w:tcPr>
          <w:p w14:paraId="652C71D8">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缴纳9%所得税，无小微豁免政策</w:t>
            </w:r>
          </w:p>
        </w:tc>
        <w:tc>
          <w:tcPr>
            <w:tcW w:w="2373" w:type="dxa"/>
            <w:vAlign w:val="center"/>
          </w:tcPr>
          <w:p w14:paraId="75184AA0">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年度利润≤37.5万迪拉姆免税，超额部分9%计税，可享受小微优惠</w:t>
            </w:r>
          </w:p>
        </w:tc>
      </w:tr>
      <w:tr w14:paraId="72EF1F7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324" w:type="dxa"/>
            <w:vAlign w:val="center"/>
          </w:tcPr>
          <w:p w14:paraId="0786A938">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szCs w:val="28"/>
                <w:lang w:val="zh-CN" w:eastAsia="zh-CN"/>
              </w:rPr>
              <w:t>增值税</w:t>
            </w:r>
          </w:p>
        </w:tc>
        <w:tc>
          <w:tcPr>
            <w:tcW w:w="2610" w:type="dxa"/>
            <w:vAlign w:val="center"/>
          </w:tcPr>
          <w:p w14:paraId="54166C69">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需正常登记、申报、缴纳，可合规抵扣进项税</w:t>
            </w:r>
          </w:p>
        </w:tc>
        <w:tc>
          <w:tcPr>
            <w:tcW w:w="2325" w:type="dxa"/>
            <w:vAlign w:val="center"/>
          </w:tcPr>
          <w:p w14:paraId="7B49D248">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需正常登记、申报、缴纳，可合规抵扣进项税</w:t>
            </w:r>
          </w:p>
        </w:tc>
        <w:tc>
          <w:tcPr>
            <w:tcW w:w="2373" w:type="dxa"/>
            <w:vAlign w:val="center"/>
          </w:tcPr>
          <w:p w14:paraId="5A1501B3">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需正常登记、申报、缴纳，可合规抵扣进项税</w:t>
            </w:r>
          </w:p>
        </w:tc>
      </w:tr>
      <w:tr w14:paraId="5C6F04F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324" w:type="dxa"/>
            <w:vAlign w:val="center"/>
          </w:tcPr>
          <w:p w14:paraId="5A963613">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szCs w:val="28"/>
                <w:lang w:val="zh-CN" w:eastAsia="zh-CN"/>
              </w:rPr>
              <w:t>利润汇出</w:t>
            </w:r>
          </w:p>
        </w:tc>
        <w:tc>
          <w:tcPr>
            <w:tcW w:w="2610" w:type="dxa"/>
            <w:vAlign w:val="center"/>
          </w:tcPr>
          <w:p w14:paraId="4FA552D7">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自由直接</w:t>
            </w:r>
          </w:p>
        </w:tc>
        <w:tc>
          <w:tcPr>
            <w:tcW w:w="2325" w:type="dxa"/>
            <w:vAlign w:val="center"/>
          </w:tcPr>
          <w:p w14:paraId="1467D714">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自由直接</w:t>
            </w:r>
          </w:p>
        </w:tc>
        <w:tc>
          <w:tcPr>
            <w:tcW w:w="2373" w:type="dxa"/>
            <w:vAlign w:val="center"/>
          </w:tcPr>
          <w:p w14:paraId="6EB2CCFD">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自由分红</w:t>
            </w:r>
          </w:p>
        </w:tc>
      </w:tr>
      <w:tr w14:paraId="3F59FE4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324" w:type="dxa"/>
            <w:vAlign w:val="center"/>
          </w:tcPr>
          <w:p w14:paraId="2A1F3A26">
            <w:pPr>
              <w:pageBreakBefore w:val="0"/>
              <w:widowControl/>
              <w:kinsoku/>
              <w:wordWrap/>
              <w:overflowPunct/>
              <w:topLinePunct w:val="0"/>
              <w:autoSpaceDE/>
              <w:autoSpaceDN/>
              <w:bidi w:val="0"/>
              <w:adjustRightInd/>
              <w:snapToGrid/>
              <w:spacing w:before="40" w:after="40" w:line="240" w:lineRule="auto"/>
              <w:jc w:val="both"/>
              <w:rPr>
                <w:rFonts w:hint="default" w:eastAsia="微软雅黑"/>
                <w:szCs w:val="28"/>
                <w:lang w:val="en-US" w:eastAsia="zh-CN"/>
              </w:rPr>
            </w:pPr>
            <w:r>
              <w:rPr>
                <w:rFonts w:hint="eastAsia"/>
                <w:szCs w:val="28"/>
                <w:lang w:val="en-US" w:eastAsia="zh-CN"/>
              </w:rPr>
              <w:t>其他</w:t>
            </w:r>
          </w:p>
        </w:tc>
        <w:tc>
          <w:tcPr>
            <w:tcW w:w="2610" w:type="dxa"/>
            <w:vAlign w:val="center"/>
          </w:tcPr>
          <w:p w14:paraId="0B068E49">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适合短期、小体量、周期＜24个月项目，落地快、成本低</w:t>
            </w:r>
          </w:p>
        </w:tc>
        <w:tc>
          <w:tcPr>
            <w:tcW w:w="2325" w:type="dxa"/>
            <w:vAlign w:val="center"/>
          </w:tcPr>
          <w:p w14:paraId="158D4F21">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适合中期常规项目，兼顾落地效率与合规性</w:t>
            </w:r>
          </w:p>
        </w:tc>
        <w:tc>
          <w:tcPr>
            <w:tcW w:w="2373" w:type="dxa"/>
            <w:vAlign w:val="center"/>
          </w:tcPr>
          <w:p w14:paraId="692158D6">
            <w:pPr>
              <w:pageBreakBefore w:val="0"/>
              <w:widowControl/>
              <w:kinsoku/>
              <w:wordWrap/>
              <w:overflowPunct/>
              <w:topLinePunct w:val="0"/>
              <w:autoSpaceDE/>
              <w:autoSpaceDN/>
              <w:bidi w:val="0"/>
              <w:adjustRightInd/>
              <w:snapToGrid/>
              <w:spacing w:before="40" w:after="40" w:line="240" w:lineRule="auto"/>
              <w:jc w:val="both"/>
              <w:rPr>
                <w:rFonts w:hint="eastAsia"/>
                <w:szCs w:val="28"/>
              </w:rPr>
            </w:pPr>
            <w:r>
              <w:rPr>
                <w:rFonts w:hint="eastAsia"/>
                <w:szCs w:val="28"/>
              </w:rPr>
              <w:t>适合长期深耕、大体量、多项目布局</w:t>
            </w:r>
          </w:p>
        </w:tc>
      </w:tr>
    </w:tbl>
    <w:p w14:paraId="65B794D7">
      <w:pPr>
        <w:keepNext w:val="0"/>
        <w:keepLines w:val="0"/>
        <w:pageBreakBefore w:val="0"/>
        <w:widowControl/>
        <w:kinsoku/>
        <w:wordWrap/>
        <w:overflowPunct/>
        <w:topLinePunct w:val="0"/>
        <w:autoSpaceDE/>
        <w:autoSpaceDN/>
        <w:bidi w:val="0"/>
        <w:adjustRightInd/>
        <w:snapToGrid/>
        <w:spacing w:after="80"/>
        <w:ind w:firstLine="480" w:firstLineChars="200"/>
        <w:jc w:val="both"/>
        <w:textAlignment w:val="auto"/>
        <w:rPr>
          <w:rFonts w:hint="eastAsia"/>
          <w:sz w:val="24"/>
          <w:szCs w:val="28"/>
          <w:lang w:val="en-US" w:eastAsia="zh-CN"/>
        </w:rPr>
      </w:pPr>
    </w:p>
    <w:p w14:paraId="7FB07DAF">
      <w:pPr>
        <w:keepNext w:val="0"/>
        <w:keepLines w:val="0"/>
        <w:pageBreakBefore w:val="0"/>
        <w:widowControl/>
        <w:kinsoku/>
        <w:wordWrap/>
        <w:overflowPunct/>
        <w:topLinePunct w:val="0"/>
        <w:autoSpaceDE/>
        <w:autoSpaceDN/>
        <w:bidi w:val="0"/>
        <w:adjustRightInd/>
        <w:snapToGrid/>
        <w:spacing w:after="80"/>
        <w:ind w:firstLine="480" w:firstLineChars="200"/>
        <w:jc w:val="both"/>
        <w:textAlignment w:val="auto"/>
        <w:rPr>
          <w:rFonts w:hint="eastAsia"/>
          <w:sz w:val="24"/>
          <w:szCs w:val="28"/>
          <w:lang w:val="en-US" w:eastAsia="zh-CN"/>
        </w:rPr>
      </w:pPr>
    </w:p>
    <w:p w14:paraId="7332E733">
      <w:pPr>
        <w:keepNext w:val="0"/>
        <w:keepLines w:val="0"/>
        <w:pageBreakBefore w:val="0"/>
        <w:widowControl/>
        <w:kinsoku/>
        <w:wordWrap/>
        <w:overflowPunct/>
        <w:topLinePunct w:val="0"/>
        <w:autoSpaceDE/>
        <w:autoSpaceDN/>
        <w:bidi w:val="0"/>
        <w:adjustRightInd/>
        <w:snapToGrid/>
        <w:spacing w:after="80"/>
        <w:ind w:firstLine="480" w:firstLineChars="200"/>
        <w:jc w:val="both"/>
        <w:textAlignment w:val="auto"/>
        <w:rPr>
          <w:rFonts w:hint="eastAsia"/>
          <w:sz w:val="24"/>
          <w:szCs w:val="28"/>
          <w:lang w:val="en-US" w:eastAsia="zh-CN"/>
        </w:rPr>
      </w:pPr>
    </w:p>
    <w:p w14:paraId="0056247B">
      <w:pPr>
        <w:keepNext w:val="0"/>
        <w:keepLines w:val="0"/>
        <w:pageBreakBefore w:val="0"/>
        <w:widowControl/>
        <w:kinsoku/>
        <w:wordWrap/>
        <w:overflowPunct/>
        <w:topLinePunct w:val="0"/>
        <w:autoSpaceDE/>
        <w:autoSpaceDN/>
        <w:bidi w:val="0"/>
        <w:adjustRightInd/>
        <w:snapToGrid/>
        <w:spacing w:after="80"/>
        <w:ind w:firstLine="480" w:firstLineChars="200"/>
        <w:jc w:val="both"/>
        <w:textAlignment w:val="auto"/>
        <w:rPr>
          <w:rFonts w:hint="eastAsia"/>
          <w:sz w:val="24"/>
          <w:szCs w:val="28"/>
          <w:lang w:val="en-US" w:eastAsia="zh-CN"/>
        </w:rPr>
      </w:pPr>
    </w:p>
    <w:p w14:paraId="30D45F02">
      <w:pPr>
        <w:keepNext w:val="0"/>
        <w:keepLines w:val="0"/>
        <w:pageBreakBefore w:val="0"/>
        <w:widowControl/>
        <w:kinsoku/>
        <w:wordWrap/>
        <w:overflowPunct/>
        <w:topLinePunct w:val="0"/>
        <w:autoSpaceDE/>
        <w:autoSpaceDN/>
        <w:bidi w:val="0"/>
        <w:adjustRightInd/>
        <w:snapToGrid/>
        <w:spacing w:after="80"/>
        <w:ind w:firstLine="480" w:firstLineChars="200"/>
        <w:jc w:val="both"/>
        <w:textAlignment w:val="auto"/>
        <w:rPr>
          <w:rFonts w:hint="default"/>
          <w:sz w:val="24"/>
          <w:szCs w:val="28"/>
          <w:lang w:val="en-US" w:eastAsia="zh-CN"/>
        </w:rPr>
      </w:pPr>
      <w:r>
        <w:rPr>
          <w:rFonts w:hint="eastAsia"/>
          <w:sz w:val="24"/>
          <w:szCs w:val="28"/>
          <w:lang w:val="en-US" w:eastAsia="zh-CN"/>
        </w:rPr>
        <w:t>主体选择建议：</w:t>
      </w:r>
    </w:p>
    <w:p w14:paraId="4B21577D">
      <w:pPr>
        <w:keepNext w:val="0"/>
        <w:keepLines w:val="0"/>
        <w:pageBreakBefore w:val="0"/>
        <w:widowControl/>
        <w:kinsoku/>
        <w:wordWrap/>
        <w:overflowPunct/>
        <w:topLinePunct w:val="0"/>
        <w:autoSpaceDE/>
        <w:autoSpaceDN/>
        <w:bidi w:val="0"/>
        <w:adjustRightInd/>
        <w:snapToGrid/>
        <w:spacing w:after="80"/>
        <w:ind w:firstLine="480" w:firstLineChars="200"/>
        <w:jc w:val="both"/>
        <w:textAlignment w:val="auto"/>
        <w:rPr>
          <w:rFonts w:hint="default"/>
          <w:sz w:val="24"/>
          <w:szCs w:val="28"/>
          <w:lang w:val="en-US" w:eastAsia="zh-CN"/>
        </w:rPr>
      </w:pPr>
      <w:r>
        <w:rPr>
          <w:rFonts w:hint="eastAsia"/>
          <w:sz w:val="24"/>
          <w:szCs w:val="28"/>
          <w:lang w:val="zh-CN" w:eastAsia="zh-CN"/>
        </w:rPr>
        <w:t>依据阿联酋当地法律规定，在阿联酋当地承接工程项目必须有当地承包商资质等级，无资质不能合法承接政府/正规私营项目，必须在当地设立在岸实体（分公司、子公司），境外母公司、代表处不能直接投标、签约以及施工。（</w:t>
      </w:r>
      <w:r>
        <w:rPr>
          <w:rFonts w:hint="eastAsia"/>
          <w:sz w:val="24"/>
          <w:szCs w:val="28"/>
          <w:lang w:val="en-US" w:eastAsia="zh-CN"/>
        </w:rPr>
        <w:t>具体设立主体的选择需结合当地最新要求及项目实际需求，与总部相关部门协同会审。）</w:t>
      </w:r>
    </w:p>
    <w:tbl>
      <w:tblPr>
        <w:tblStyle w:val="37"/>
        <w:tblW w:w="4997" w:type="pct"/>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1856"/>
        <w:gridCol w:w="3661"/>
        <w:gridCol w:w="3328"/>
      </w:tblGrid>
      <w:tr w14:paraId="088FAAA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049" w:type="pct"/>
            <w:shd w:val="clear" w:color="auto" w:fill="1F4E79"/>
            <w:vAlign w:val="center"/>
          </w:tcPr>
          <w:p w14:paraId="3ED090D1">
            <w:pPr>
              <w:pageBreakBefore w:val="0"/>
              <w:widowControl/>
              <w:kinsoku/>
              <w:wordWrap/>
              <w:overflowPunct/>
              <w:topLinePunct w:val="0"/>
              <w:autoSpaceDE/>
              <w:autoSpaceDN/>
              <w:bidi w:val="0"/>
              <w:adjustRightInd/>
              <w:snapToGrid/>
              <w:spacing w:before="40" w:after="40" w:line="240" w:lineRule="auto"/>
              <w:jc w:val="center"/>
              <w:rPr>
                <w:rFonts w:hint="default"/>
                <w:color w:val="FFFFFF" w:themeColor="background1"/>
                <w:szCs w:val="28"/>
                <w:lang w:val="en-US"/>
                <w14:textFill>
                  <w14:solidFill>
                    <w14:schemeClr w14:val="bg1"/>
                  </w14:solidFill>
                </w14:textFill>
              </w:rPr>
            </w:pPr>
            <w:r>
              <w:rPr>
                <w:rFonts w:hint="eastAsia"/>
                <w:b/>
                <w:color w:val="FFFFFF" w:themeColor="background1"/>
                <w:szCs w:val="28"/>
                <w:lang w:val="en-US" w:eastAsia="zh-CN"/>
                <w14:textFill>
                  <w14:solidFill>
                    <w14:schemeClr w14:val="bg1"/>
                  </w14:solidFill>
                </w14:textFill>
              </w:rPr>
              <w:t>项目内容</w:t>
            </w:r>
          </w:p>
        </w:tc>
        <w:tc>
          <w:tcPr>
            <w:tcW w:w="2069" w:type="pct"/>
            <w:shd w:val="clear" w:color="auto" w:fill="1F4E79"/>
            <w:vAlign w:val="center"/>
          </w:tcPr>
          <w:p w14:paraId="563D7B7E">
            <w:pPr>
              <w:pageBreakBefore w:val="0"/>
              <w:widowControl/>
              <w:kinsoku/>
              <w:wordWrap/>
              <w:overflowPunct/>
              <w:topLinePunct w:val="0"/>
              <w:autoSpaceDE/>
              <w:autoSpaceDN/>
              <w:bidi w:val="0"/>
              <w:adjustRightInd/>
              <w:snapToGrid/>
              <w:spacing w:before="40" w:after="40" w:line="240" w:lineRule="auto"/>
              <w:jc w:val="center"/>
              <w:rPr>
                <w:rFonts w:hint="default"/>
                <w:color w:val="FFFFFF" w:themeColor="background1"/>
                <w:szCs w:val="28"/>
                <w:lang w:val="en-US"/>
                <w14:textFill>
                  <w14:solidFill>
                    <w14:schemeClr w14:val="bg1"/>
                  </w14:solidFill>
                </w14:textFill>
              </w:rPr>
            </w:pPr>
            <w:r>
              <w:rPr>
                <w:rFonts w:hint="eastAsia"/>
                <w:b/>
                <w:color w:val="FFFFFF" w:themeColor="background1"/>
                <w:szCs w:val="28"/>
                <w:lang w:val="en-US" w:eastAsia="zh-CN"/>
                <w14:textFill>
                  <w14:solidFill>
                    <w14:schemeClr w14:val="bg1"/>
                  </w14:solidFill>
                </w14:textFill>
              </w:rPr>
              <w:t>具体内容</w:t>
            </w:r>
          </w:p>
        </w:tc>
        <w:tc>
          <w:tcPr>
            <w:tcW w:w="1881" w:type="pct"/>
            <w:shd w:val="clear" w:color="auto" w:fill="1F4E79"/>
            <w:vAlign w:val="center"/>
          </w:tcPr>
          <w:p w14:paraId="314B23CB">
            <w:pPr>
              <w:pageBreakBefore w:val="0"/>
              <w:widowControl/>
              <w:kinsoku/>
              <w:wordWrap/>
              <w:overflowPunct/>
              <w:topLinePunct w:val="0"/>
              <w:autoSpaceDE/>
              <w:autoSpaceDN/>
              <w:bidi w:val="0"/>
              <w:adjustRightInd/>
              <w:snapToGrid/>
              <w:spacing w:before="40" w:after="40" w:line="240" w:lineRule="auto"/>
              <w:jc w:val="center"/>
              <w:rPr>
                <w:rFonts w:hint="default"/>
                <w:color w:val="FFFFFF" w:themeColor="background1"/>
                <w:szCs w:val="28"/>
                <w:lang w:val="en-US"/>
                <w14:textFill>
                  <w14:solidFill>
                    <w14:schemeClr w14:val="bg1"/>
                  </w14:solidFill>
                </w14:textFill>
              </w:rPr>
            </w:pPr>
            <w:r>
              <w:rPr>
                <w:rFonts w:hint="eastAsia"/>
                <w:b/>
                <w:color w:val="FFFFFF" w:themeColor="background1"/>
                <w:szCs w:val="28"/>
                <w:lang w:val="en-US" w:eastAsia="zh-CN"/>
                <w14:textFill>
                  <w14:solidFill>
                    <w14:schemeClr w14:val="bg1"/>
                  </w14:solidFill>
                </w14:textFill>
              </w:rPr>
              <w:t>主体选择建议</w:t>
            </w:r>
          </w:p>
        </w:tc>
      </w:tr>
      <w:tr w14:paraId="307DA8F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049" w:type="pct"/>
            <w:vAlign w:val="center"/>
          </w:tcPr>
          <w:p w14:paraId="18D5C2A9">
            <w:pPr>
              <w:pageBreakBefore w:val="0"/>
              <w:widowControl/>
              <w:kinsoku/>
              <w:wordWrap/>
              <w:overflowPunct/>
              <w:topLinePunct w:val="0"/>
              <w:autoSpaceDE/>
              <w:autoSpaceDN/>
              <w:bidi w:val="0"/>
              <w:adjustRightInd/>
              <w:snapToGrid/>
              <w:spacing w:before="40" w:after="40" w:line="240" w:lineRule="auto"/>
              <w:jc w:val="both"/>
              <w:rPr>
                <w:rFonts w:hint="default" w:eastAsia="微软雅黑"/>
                <w:szCs w:val="28"/>
                <w:lang w:val="en-US" w:eastAsia="zh-CN"/>
              </w:rPr>
            </w:pPr>
            <w:r>
              <w:rPr>
                <w:rFonts w:hint="eastAsia"/>
                <w:szCs w:val="28"/>
                <w:lang w:val="en-US" w:eastAsia="zh-CN"/>
              </w:rPr>
              <w:t>离岸服务</w:t>
            </w:r>
          </w:p>
        </w:tc>
        <w:tc>
          <w:tcPr>
            <w:tcW w:w="2069" w:type="pct"/>
            <w:vAlign w:val="center"/>
          </w:tcPr>
          <w:p w14:paraId="2C59ED4C">
            <w:pPr>
              <w:pageBreakBefore w:val="0"/>
              <w:widowControl/>
              <w:kinsoku/>
              <w:wordWrap/>
              <w:overflowPunct/>
              <w:topLinePunct w:val="0"/>
              <w:autoSpaceDE/>
              <w:autoSpaceDN/>
              <w:bidi w:val="0"/>
              <w:adjustRightInd/>
              <w:snapToGrid/>
              <w:spacing w:before="40" w:after="40" w:line="240" w:lineRule="auto"/>
              <w:jc w:val="both"/>
              <w:rPr>
                <w:rFonts w:hint="default" w:eastAsia="微软雅黑"/>
                <w:szCs w:val="28"/>
                <w:lang w:val="en-US" w:eastAsia="zh-CN"/>
              </w:rPr>
            </w:pPr>
            <w:r>
              <w:rPr>
                <w:rFonts w:hint="eastAsia"/>
                <w:szCs w:val="28"/>
                <w:lang w:val="en-US" w:eastAsia="zh-CN"/>
              </w:rPr>
              <w:t>1、包含设计、采购、离岸运输的一项或多项</w:t>
            </w:r>
          </w:p>
        </w:tc>
        <w:tc>
          <w:tcPr>
            <w:tcW w:w="1881" w:type="pct"/>
            <w:vAlign w:val="center"/>
          </w:tcPr>
          <w:p w14:paraId="14567A2A">
            <w:pPr>
              <w:pageBreakBefore w:val="0"/>
              <w:widowControl/>
              <w:kinsoku/>
              <w:wordWrap/>
              <w:overflowPunct/>
              <w:topLinePunct w:val="0"/>
              <w:autoSpaceDE/>
              <w:autoSpaceDN/>
              <w:bidi w:val="0"/>
              <w:adjustRightInd/>
              <w:snapToGrid/>
              <w:spacing w:before="40" w:after="40" w:line="240" w:lineRule="auto"/>
              <w:jc w:val="both"/>
              <w:rPr>
                <w:rFonts w:hint="default" w:eastAsia="微软雅黑"/>
                <w:szCs w:val="28"/>
                <w:lang w:val="en-US" w:eastAsia="zh-CN"/>
              </w:rPr>
            </w:pPr>
            <w:r>
              <w:rPr>
                <w:rFonts w:hint="eastAsia"/>
                <w:szCs w:val="28"/>
                <w:lang w:val="en-US" w:eastAsia="zh-CN"/>
              </w:rPr>
              <w:t>母公司或项目部</w:t>
            </w:r>
          </w:p>
        </w:tc>
      </w:tr>
      <w:tr w14:paraId="7748DF2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049" w:type="pct"/>
            <w:vAlign w:val="center"/>
          </w:tcPr>
          <w:p w14:paraId="2C04D738">
            <w:pPr>
              <w:pageBreakBefore w:val="0"/>
              <w:widowControl/>
              <w:kinsoku/>
              <w:wordWrap/>
              <w:overflowPunct/>
              <w:topLinePunct w:val="0"/>
              <w:autoSpaceDE/>
              <w:autoSpaceDN/>
              <w:bidi w:val="0"/>
              <w:adjustRightInd/>
              <w:snapToGrid/>
              <w:spacing w:before="40" w:after="40" w:line="240" w:lineRule="auto"/>
              <w:jc w:val="both"/>
              <w:rPr>
                <w:rFonts w:hint="default"/>
                <w:szCs w:val="28"/>
                <w:lang w:val="en-US" w:eastAsia="zh-CN"/>
              </w:rPr>
            </w:pPr>
            <w:r>
              <w:rPr>
                <w:rFonts w:hint="eastAsia"/>
                <w:szCs w:val="28"/>
                <w:lang w:val="en-US" w:eastAsia="zh-CN"/>
              </w:rPr>
              <w:t>在岸服务</w:t>
            </w:r>
          </w:p>
        </w:tc>
        <w:tc>
          <w:tcPr>
            <w:tcW w:w="2069" w:type="pct"/>
            <w:vAlign w:val="center"/>
          </w:tcPr>
          <w:p w14:paraId="7CDA9FDC">
            <w:pPr>
              <w:pageBreakBefore w:val="0"/>
              <w:widowControl/>
              <w:kinsoku/>
              <w:wordWrap/>
              <w:overflowPunct/>
              <w:topLinePunct w:val="0"/>
              <w:autoSpaceDE/>
              <w:autoSpaceDN/>
              <w:bidi w:val="0"/>
              <w:adjustRightInd/>
              <w:snapToGrid/>
              <w:spacing w:before="40" w:after="40" w:line="240" w:lineRule="auto"/>
              <w:jc w:val="both"/>
              <w:rPr>
                <w:rFonts w:hint="eastAsia"/>
                <w:szCs w:val="28"/>
                <w:lang w:val="en-US" w:eastAsia="zh-CN"/>
              </w:rPr>
            </w:pPr>
            <w:r>
              <w:rPr>
                <w:rFonts w:hint="eastAsia"/>
                <w:szCs w:val="28"/>
                <w:lang w:val="en-US" w:eastAsia="zh-CN"/>
              </w:rPr>
              <w:t>1、包含阿联酋境内土建、安装、在岸运输、调试、项目管理服务中的一项或多项</w:t>
            </w:r>
          </w:p>
          <w:p w14:paraId="49EFAA22">
            <w:pPr>
              <w:pageBreakBefore w:val="0"/>
              <w:widowControl/>
              <w:kinsoku/>
              <w:wordWrap/>
              <w:overflowPunct/>
              <w:topLinePunct w:val="0"/>
              <w:autoSpaceDE/>
              <w:autoSpaceDN/>
              <w:bidi w:val="0"/>
              <w:adjustRightInd/>
              <w:snapToGrid/>
              <w:spacing w:before="40" w:after="40" w:line="240" w:lineRule="auto"/>
              <w:jc w:val="both"/>
              <w:rPr>
                <w:rFonts w:hint="default"/>
                <w:szCs w:val="28"/>
                <w:lang w:val="en-US" w:eastAsia="zh-CN"/>
              </w:rPr>
            </w:pPr>
            <w:r>
              <w:rPr>
                <w:rFonts w:hint="eastAsia"/>
                <w:szCs w:val="28"/>
                <w:lang w:val="en-US" w:eastAsia="zh-CN"/>
              </w:rPr>
              <w:t>2、项目周期短，不在阿联酋市场深耕</w:t>
            </w:r>
          </w:p>
        </w:tc>
        <w:tc>
          <w:tcPr>
            <w:tcW w:w="1881" w:type="pct"/>
            <w:vAlign w:val="center"/>
          </w:tcPr>
          <w:p w14:paraId="14069DBF">
            <w:pPr>
              <w:pageBreakBefore w:val="0"/>
              <w:widowControl/>
              <w:kinsoku/>
              <w:wordWrap/>
              <w:overflowPunct/>
              <w:topLinePunct w:val="0"/>
              <w:autoSpaceDE/>
              <w:autoSpaceDN/>
              <w:bidi w:val="0"/>
              <w:adjustRightInd/>
              <w:snapToGrid/>
              <w:spacing w:before="40" w:after="40" w:line="240" w:lineRule="auto"/>
              <w:jc w:val="both"/>
              <w:rPr>
                <w:rFonts w:hint="eastAsia" w:eastAsia="微软雅黑"/>
                <w:szCs w:val="28"/>
                <w:lang w:val="en-US" w:eastAsia="zh-CN"/>
              </w:rPr>
            </w:pPr>
            <w:r>
              <w:rPr>
                <w:rFonts w:hint="eastAsia"/>
                <w:szCs w:val="28"/>
                <w:lang w:val="en-US" w:eastAsia="zh-CN"/>
              </w:rPr>
              <w:t>分公司</w:t>
            </w:r>
          </w:p>
        </w:tc>
      </w:tr>
      <w:tr w14:paraId="7A5DAEE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049" w:type="pct"/>
            <w:shd w:val="clear" w:color="auto" w:fill="auto"/>
            <w:vAlign w:val="center"/>
          </w:tcPr>
          <w:p w14:paraId="272F17D7">
            <w:pPr>
              <w:pageBreakBefore w:val="0"/>
              <w:widowControl/>
              <w:kinsoku/>
              <w:wordWrap/>
              <w:overflowPunct/>
              <w:topLinePunct w:val="0"/>
              <w:autoSpaceDE/>
              <w:autoSpaceDN/>
              <w:bidi w:val="0"/>
              <w:adjustRightInd/>
              <w:snapToGrid/>
              <w:spacing w:before="40" w:after="40" w:line="240" w:lineRule="auto"/>
              <w:jc w:val="both"/>
              <w:rPr>
                <w:rFonts w:hint="default" w:ascii="微软雅黑" w:hAnsi="微软雅黑" w:eastAsia="微软雅黑" w:cstheme="minorBidi"/>
                <w:sz w:val="21"/>
                <w:szCs w:val="28"/>
                <w:lang w:val="zh-CN" w:eastAsia="zh-CN" w:bidi="ar-SA"/>
              </w:rPr>
            </w:pPr>
            <w:r>
              <w:rPr>
                <w:rFonts w:hint="eastAsia"/>
                <w:szCs w:val="28"/>
                <w:lang w:val="en-US" w:eastAsia="zh-CN"/>
              </w:rPr>
              <w:t>在岸服务</w:t>
            </w:r>
          </w:p>
        </w:tc>
        <w:tc>
          <w:tcPr>
            <w:tcW w:w="2069" w:type="pct"/>
            <w:shd w:val="clear" w:color="auto" w:fill="auto"/>
            <w:vAlign w:val="center"/>
          </w:tcPr>
          <w:p w14:paraId="6AC24923">
            <w:pPr>
              <w:pageBreakBefore w:val="0"/>
              <w:widowControl/>
              <w:kinsoku/>
              <w:wordWrap/>
              <w:overflowPunct/>
              <w:topLinePunct w:val="0"/>
              <w:autoSpaceDE/>
              <w:autoSpaceDN/>
              <w:bidi w:val="0"/>
              <w:adjustRightInd/>
              <w:snapToGrid/>
              <w:spacing w:before="40" w:after="40" w:line="240" w:lineRule="auto"/>
              <w:jc w:val="both"/>
              <w:rPr>
                <w:rFonts w:hint="eastAsia"/>
                <w:szCs w:val="28"/>
                <w:lang w:val="en-US" w:eastAsia="zh-CN"/>
              </w:rPr>
            </w:pPr>
            <w:r>
              <w:rPr>
                <w:rFonts w:hint="eastAsia"/>
                <w:szCs w:val="28"/>
                <w:lang w:val="en-US" w:eastAsia="zh-CN"/>
              </w:rPr>
              <w:t>1、包含阿联酋境内土建、安装、在岸运输、调试、项目管理服务中的一项或多项</w:t>
            </w:r>
          </w:p>
          <w:p w14:paraId="27E7E2DD">
            <w:pPr>
              <w:pageBreakBefore w:val="0"/>
              <w:widowControl/>
              <w:kinsoku/>
              <w:wordWrap/>
              <w:overflowPunct/>
              <w:topLinePunct w:val="0"/>
              <w:autoSpaceDE/>
              <w:autoSpaceDN/>
              <w:bidi w:val="0"/>
              <w:adjustRightInd/>
              <w:snapToGrid/>
              <w:spacing w:before="40" w:after="40" w:line="240" w:lineRule="auto"/>
              <w:jc w:val="both"/>
              <w:rPr>
                <w:rFonts w:hint="eastAsia" w:ascii="微软雅黑" w:hAnsi="微软雅黑" w:eastAsia="微软雅黑" w:cstheme="minorBidi"/>
                <w:sz w:val="21"/>
                <w:szCs w:val="28"/>
                <w:lang w:val="en-US" w:eastAsia="zh-CN" w:bidi="ar-SA"/>
              </w:rPr>
            </w:pPr>
            <w:r>
              <w:rPr>
                <w:rFonts w:hint="eastAsia"/>
                <w:szCs w:val="28"/>
                <w:lang w:val="en-US" w:eastAsia="zh-CN"/>
              </w:rPr>
              <w:t>2、项目周期长，在阿联酋市场深耕</w:t>
            </w:r>
          </w:p>
        </w:tc>
        <w:tc>
          <w:tcPr>
            <w:tcW w:w="1881" w:type="pct"/>
            <w:shd w:val="clear" w:color="auto" w:fill="auto"/>
            <w:vAlign w:val="center"/>
          </w:tcPr>
          <w:p w14:paraId="40ED64F3">
            <w:pPr>
              <w:pageBreakBefore w:val="0"/>
              <w:widowControl/>
              <w:kinsoku/>
              <w:wordWrap/>
              <w:overflowPunct/>
              <w:topLinePunct w:val="0"/>
              <w:autoSpaceDE/>
              <w:autoSpaceDN/>
              <w:bidi w:val="0"/>
              <w:adjustRightInd/>
              <w:snapToGrid/>
              <w:spacing w:before="40" w:after="40" w:line="240" w:lineRule="auto"/>
              <w:jc w:val="both"/>
              <w:rPr>
                <w:rFonts w:hint="default" w:ascii="微软雅黑" w:hAnsi="微软雅黑" w:eastAsia="微软雅黑" w:cstheme="minorBidi"/>
                <w:sz w:val="21"/>
                <w:szCs w:val="28"/>
                <w:lang w:val="en-US" w:eastAsia="zh-CN" w:bidi="ar-SA"/>
              </w:rPr>
            </w:pPr>
            <w:r>
              <w:rPr>
                <w:rFonts w:hint="eastAsia" w:cstheme="minorBidi"/>
                <w:sz w:val="21"/>
                <w:szCs w:val="28"/>
                <w:lang w:val="en-US" w:eastAsia="zh-CN" w:bidi="ar-SA"/>
              </w:rPr>
              <w:t>子公司</w:t>
            </w:r>
          </w:p>
        </w:tc>
      </w:tr>
      <w:tr w14:paraId="6FAAF22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049" w:type="pct"/>
            <w:vAlign w:val="center"/>
          </w:tcPr>
          <w:p w14:paraId="5C6AE926">
            <w:pPr>
              <w:pageBreakBefore w:val="0"/>
              <w:widowControl/>
              <w:kinsoku/>
              <w:wordWrap/>
              <w:overflowPunct/>
              <w:topLinePunct w:val="0"/>
              <w:autoSpaceDE/>
              <w:autoSpaceDN/>
              <w:bidi w:val="0"/>
              <w:adjustRightInd/>
              <w:snapToGrid/>
              <w:spacing w:before="40" w:after="40" w:line="240" w:lineRule="auto"/>
              <w:jc w:val="both"/>
              <w:rPr>
                <w:rFonts w:hint="default" w:eastAsia="微软雅黑"/>
                <w:szCs w:val="28"/>
                <w:lang w:val="en-US" w:eastAsia="zh-CN"/>
              </w:rPr>
            </w:pPr>
            <w:r>
              <w:rPr>
                <w:rFonts w:hint="eastAsia"/>
                <w:szCs w:val="28"/>
                <w:lang w:val="en-US" w:eastAsia="zh-CN"/>
              </w:rPr>
              <w:t>离岸与在岸服务并存</w:t>
            </w:r>
          </w:p>
        </w:tc>
        <w:tc>
          <w:tcPr>
            <w:tcW w:w="2069" w:type="pct"/>
            <w:vAlign w:val="center"/>
          </w:tcPr>
          <w:p w14:paraId="2E05E820">
            <w:pPr>
              <w:pageBreakBefore w:val="0"/>
              <w:widowControl/>
              <w:kinsoku/>
              <w:wordWrap/>
              <w:overflowPunct/>
              <w:topLinePunct w:val="0"/>
              <w:autoSpaceDE/>
              <w:autoSpaceDN/>
              <w:bidi w:val="0"/>
              <w:adjustRightInd/>
              <w:snapToGrid/>
              <w:spacing w:before="40" w:after="40" w:line="240" w:lineRule="auto"/>
              <w:jc w:val="both"/>
              <w:rPr>
                <w:rFonts w:hint="eastAsia"/>
                <w:szCs w:val="28"/>
                <w:lang w:val="en-US" w:eastAsia="zh-CN"/>
              </w:rPr>
            </w:pPr>
            <w:r>
              <w:rPr>
                <w:rFonts w:hint="eastAsia"/>
                <w:szCs w:val="28"/>
                <w:lang w:val="en-US" w:eastAsia="zh-CN"/>
              </w:rPr>
              <w:t>1、合同既包含离岸与在岸服务中的一项或多项，比如EPC总包项目</w:t>
            </w:r>
          </w:p>
          <w:p w14:paraId="1022037B">
            <w:pPr>
              <w:pageBreakBefore w:val="0"/>
              <w:widowControl/>
              <w:kinsoku/>
              <w:wordWrap/>
              <w:overflowPunct/>
              <w:topLinePunct w:val="0"/>
              <w:autoSpaceDE/>
              <w:autoSpaceDN/>
              <w:bidi w:val="0"/>
              <w:adjustRightInd/>
              <w:snapToGrid/>
              <w:spacing w:before="40" w:after="40" w:line="240" w:lineRule="auto"/>
              <w:jc w:val="both"/>
              <w:rPr>
                <w:rFonts w:hint="default"/>
                <w:szCs w:val="28"/>
                <w:lang w:val="en-US" w:eastAsia="zh-CN"/>
              </w:rPr>
            </w:pPr>
            <w:r>
              <w:rPr>
                <w:rFonts w:hint="eastAsia"/>
                <w:szCs w:val="28"/>
                <w:lang w:val="en-US" w:eastAsia="zh-CN"/>
              </w:rPr>
              <w:t>2、业主接受合同拆分</w:t>
            </w:r>
          </w:p>
        </w:tc>
        <w:tc>
          <w:tcPr>
            <w:tcW w:w="1881" w:type="pct"/>
            <w:vAlign w:val="center"/>
          </w:tcPr>
          <w:p w14:paraId="635DA56D">
            <w:pPr>
              <w:pageBreakBefore w:val="0"/>
              <w:widowControl/>
              <w:kinsoku/>
              <w:wordWrap/>
              <w:overflowPunct/>
              <w:topLinePunct w:val="0"/>
              <w:autoSpaceDE/>
              <w:autoSpaceDN/>
              <w:bidi w:val="0"/>
              <w:adjustRightInd/>
              <w:snapToGrid/>
              <w:spacing w:before="40" w:after="40" w:line="240" w:lineRule="auto"/>
              <w:jc w:val="both"/>
              <w:rPr>
                <w:rFonts w:hint="eastAsia"/>
                <w:szCs w:val="28"/>
                <w:lang w:val="en-US" w:eastAsia="zh-CN"/>
              </w:rPr>
            </w:pPr>
            <w:r>
              <w:rPr>
                <w:rFonts w:hint="eastAsia"/>
                <w:szCs w:val="28"/>
                <w:lang w:val="en-US" w:eastAsia="zh-CN"/>
              </w:rPr>
              <w:t>母公司-离岸服务</w:t>
            </w:r>
          </w:p>
          <w:p w14:paraId="3E0FED09">
            <w:pPr>
              <w:pageBreakBefore w:val="0"/>
              <w:widowControl/>
              <w:kinsoku/>
              <w:wordWrap/>
              <w:overflowPunct/>
              <w:topLinePunct w:val="0"/>
              <w:autoSpaceDE/>
              <w:autoSpaceDN/>
              <w:bidi w:val="0"/>
              <w:adjustRightInd/>
              <w:snapToGrid/>
              <w:spacing w:before="40" w:after="40" w:line="240" w:lineRule="auto"/>
              <w:jc w:val="both"/>
              <w:rPr>
                <w:rFonts w:hint="default"/>
                <w:szCs w:val="28"/>
                <w:lang w:val="en-US" w:eastAsia="zh-CN"/>
              </w:rPr>
            </w:pPr>
            <w:r>
              <w:rPr>
                <w:rFonts w:hint="eastAsia"/>
                <w:szCs w:val="28"/>
                <w:lang w:val="en-US" w:eastAsia="zh-CN"/>
              </w:rPr>
              <w:t>分公司/子公司-在岸服务</w:t>
            </w:r>
          </w:p>
        </w:tc>
      </w:tr>
      <w:tr w14:paraId="5B49C59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049" w:type="pct"/>
            <w:shd w:val="clear" w:color="auto" w:fill="auto"/>
            <w:vAlign w:val="center"/>
          </w:tcPr>
          <w:p w14:paraId="1F25F828">
            <w:pPr>
              <w:pageBreakBefore w:val="0"/>
              <w:widowControl/>
              <w:kinsoku/>
              <w:wordWrap/>
              <w:overflowPunct/>
              <w:topLinePunct w:val="0"/>
              <w:autoSpaceDE/>
              <w:autoSpaceDN/>
              <w:bidi w:val="0"/>
              <w:adjustRightInd/>
              <w:snapToGrid/>
              <w:spacing w:before="40" w:after="40" w:line="240" w:lineRule="auto"/>
              <w:jc w:val="both"/>
              <w:rPr>
                <w:rFonts w:hint="eastAsia" w:ascii="微软雅黑" w:hAnsi="微软雅黑" w:eastAsia="微软雅黑" w:cstheme="minorBidi"/>
                <w:sz w:val="21"/>
                <w:szCs w:val="28"/>
                <w:lang w:val="en-US" w:eastAsia="zh-CN" w:bidi="ar-SA"/>
              </w:rPr>
            </w:pPr>
            <w:r>
              <w:rPr>
                <w:rFonts w:hint="eastAsia"/>
                <w:szCs w:val="28"/>
                <w:lang w:val="en-US" w:eastAsia="zh-CN"/>
              </w:rPr>
              <w:t>离岸与在岸服务并存</w:t>
            </w:r>
          </w:p>
        </w:tc>
        <w:tc>
          <w:tcPr>
            <w:tcW w:w="2069" w:type="pct"/>
            <w:shd w:val="clear" w:color="auto" w:fill="auto"/>
            <w:vAlign w:val="center"/>
          </w:tcPr>
          <w:p w14:paraId="1241C518">
            <w:pPr>
              <w:pageBreakBefore w:val="0"/>
              <w:widowControl/>
              <w:kinsoku/>
              <w:wordWrap/>
              <w:overflowPunct/>
              <w:topLinePunct w:val="0"/>
              <w:autoSpaceDE/>
              <w:autoSpaceDN/>
              <w:bidi w:val="0"/>
              <w:adjustRightInd/>
              <w:snapToGrid/>
              <w:spacing w:before="40" w:after="40" w:line="240" w:lineRule="auto"/>
              <w:jc w:val="both"/>
              <w:rPr>
                <w:rFonts w:hint="eastAsia"/>
                <w:szCs w:val="28"/>
                <w:lang w:val="en-US" w:eastAsia="zh-CN"/>
              </w:rPr>
            </w:pPr>
            <w:r>
              <w:rPr>
                <w:rFonts w:hint="eastAsia"/>
                <w:szCs w:val="28"/>
                <w:lang w:val="en-US" w:eastAsia="zh-CN"/>
              </w:rPr>
              <w:t>1、合同既包含离岸与在岸服务中的一项或多项，比如EPC总包项目</w:t>
            </w:r>
          </w:p>
          <w:p w14:paraId="6DFB5044">
            <w:pPr>
              <w:pageBreakBefore w:val="0"/>
              <w:widowControl/>
              <w:kinsoku/>
              <w:wordWrap/>
              <w:overflowPunct/>
              <w:topLinePunct w:val="0"/>
              <w:autoSpaceDE/>
              <w:autoSpaceDN/>
              <w:bidi w:val="0"/>
              <w:adjustRightInd/>
              <w:snapToGrid/>
              <w:spacing w:before="40" w:after="40" w:line="240" w:lineRule="auto"/>
              <w:jc w:val="both"/>
              <w:rPr>
                <w:rFonts w:hint="eastAsia" w:ascii="微软雅黑" w:hAnsi="微软雅黑" w:eastAsia="微软雅黑" w:cstheme="minorBidi"/>
                <w:sz w:val="21"/>
                <w:szCs w:val="28"/>
                <w:lang w:val="en-US" w:eastAsia="zh-CN" w:bidi="ar-SA"/>
              </w:rPr>
            </w:pPr>
            <w:r>
              <w:rPr>
                <w:rFonts w:hint="eastAsia"/>
                <w:szCs w:val="28"/>
                <w:lang w:val="en-US" w:eastAsia="zh-CN"/>
              </w:rPr>
              <w:t>2、不接受合同拆分</w:t>
            </w:r>
          </w:p>
        </w:tc>
        <w:tc>
          <w:tcPr>
            <w:tcW w:w="1881" w:type="pct"/>
            <w:vAlign w:val="center"/>
          </w:tcPr>
          <w:p w14:paraId="41B39B44">
            <w:pPr>
              <w:pageBreakBefore w:val="0"/>
              <w:widowControl/>
              <w:kinsoku/>
              <w:wordWrap/>
              <w:overflowPunct/>
              <w:topLinePunct w:val="0"/>
              <w:autoSpaceDE/>
              <w:autoSpaceDN/>
              <w:bidi w:val="0"/>
              <w:adjustRightInd/>
              <w:snapToGrid/>
              <w:spacing w:before="40" w:after="40" w:line="240" w:lineRule="auto"/>
              <w:jc w:val="both"/>
              <w:rPr>
                <w:rFonts w:hint="eastAsia"/>
                <w:szCs w:val="28"/>
                <w:lang w:val="en-US" w:eastAsia="zh-CN"/>
              </w:rPr>
            </w:pPr>
            <w:r>
              <w:rPr>
                <w:rFonts w:hint="eastAsia"/>
                <w:szCs w:val="28"/>
                <w:lang w:val="en-US" w:eastAsia="zh-CN"/>
              </w:rPr>
              <w:t>子公司-EPC合同</w:t>
            </w:r>
          </w:p>
          <w:p w14:paraId="53CB1F9A">
            <w:pPr>
              <w:pageBreakBefore w:val="0"/>
              <w:widowControl/>
              <w:kinsoku/>
              <w:wordWrap/>
              <w:overflowPunct/>
              <w:topLinePunct w:val="0"/>
              <w:autoSpaceDE/>
              <w:autoSpaceDN/>
              <w:bidi w:val="0"/>
              <w:adjustRightInd/>
              <w:snapToGrid/>
              <w:spacing w:before="40" w:after="40" w:line="240" w:lineRule="auto"/>
              <w:jc w:val="both"/>
              <w:rPr>
                <w:rFonts w:hint="default"/>
                <w:szCs w:val="28"/>
                <w:lang w:val="en-US" w:eastAsia="zh-CN"/>
              </w:rPr>
            </w:pPr>
            <w:r>
              <w:rPr>
                <w:rFonts w:hint="eastAsia"/>
                <w:szCs w:val="28"/>
                <w:lang w:val="en-US" w:eastAsia="zh-CN"/>
              </w:rPr>
              <w:t>子公司-母公司-离岸服务</w:t>
            </w:r>
          </w:p>
        </w:tc>
      </w:tr>
    </w:tbl>
    <w:p w14:paraId="003B8C77">
      <w:pPr>
        <w:keepNext w:val="0"/>
        <w:keepLines w:val="0"/>
        <w:pageBreakBefore w:val="0"/>
        <w:widowControl/>
        <w:kinsoku/>
        <w:wordWrap/>
        <w:overflowPunct/>
        <w:topLinePunct w:val="0"/>
        <w:autoSpaceDE/>
        <w:autoSpaceDN/>
        <w:bidi w:val="0"/>
        <w:adjustRightInd/>
        <w:snapToGrid/>
        <w:spacing w:after="80"/>
        <w:ind w:firstLine="480" w:firstLineChars="200"/>
        <w:jc w:val="both"/>
        <w:textAlignment w:val="auto"/>
        <w:rPr>
          <w:rFonts w:hint="eastAsia"/>
          <w:sz w:val="24"/>
          <w:szCs w:val="28"/>
          <w:lang w:val="zh-CN" w:eastAsia="zh-CN"/>
        </w:rPr>
      </w:pPr>
      <w:r>
        <w:rPr>
          <w:rFonts w:hint="eastAsia"/>
          <w:sz w:val="24"/>
          <w:szCs w:val="28"/>
          <w:lang w:val="zh-CN" w:eastAsia="zh-CN"/>
        </w:rPr>
        <w:t>在阿联酋投资注册企业需要办理的手续：</w:t>
      </w:r>
    </w:p>
    <w:p w14:paraId="10E17E82">
      <w:pPr>
        <w:keepNext w:val="0"/>
        <w:keepLines w:val="0"/>
        <w:pageBreakBefore w:val="0"/>
        <w:widowControl/>
        <w:kinsoku/>
        <w:wordWrap/>
        <w:overflowPunct/>
        <w:topLinePunct w:val="0"/>
        <w:autoSpaceDE/>
        <w:autoSpaceDN/>
        <w:bidi w:val="0"/>
        <w:adjustRightInd/>
        <w:snapToGrid/>
        <w:spacing w:after="80"/>
        <w:ind w:firstLine="480" w:firstLineChars="200"/>
        <w:jc w:val="both"/>
        <w:textAlignment w:val="auto"/>
        <w:rPr>
          <w:rFonts w:hint="eastAsia"/>
          <w:sz w:val="24"/>
          <w:szCs w:val="28"/>
          <w:lang w:val="zh-CN" w:eastAsia="zh-CN"/>
        </w:rPr>
      </w:pPr>
      <w:r>
        <w:rPr>
          <w:rFonts w:hint="eastAsia"/>
          <w:sz w:val="24"/>
          <w:szCs w:val="28"/>
          <w:lang w:val="zh-CN" w:eastAsia="zh-CN"/>
        </w:rPr>
        <w:t>参 询 联 邦 法 令 2021 第 32 号 《 on commercial companies 》 。法 规 查 询 入 口：https://www.moec.gov.ae/en/establishing-companies。</w:t>
      </w:r>
    </w:p>
    <w:p w14:paraId="5A931372">
      <w:pPr>
        <w:keepNext w:val="0"/>
        <w:keepLines w:val="0"/>
        <w:pageBreakBefore w:val="0"/>
        <w:widowControl/>
        <w:kinsoku/>
        <w:wordWrap/>
        <w:overflowPunct/>
        <w:topLinePunct w:val="0"/>
        <w:autoSpaceDE/>
        <w:autoSpaceDN/>
        <w:bidi w:val="0"/>
        <w:adjustRightInd/>
        <w:snapToGrid/>
        <w:spacing w:after="80"/>
        <w:ind w:firstLine="480" w:firstLineChars="200"/>
        <w:jc w:val="both"/>
        <w:textAlignment w:val="auto"/>
        <w:rPr>
          <w:rFonts w:hint="eastAsia"/>
          <w:sz w:val="24"/>
          <w:szCs w:val="28"/>
          <w:lang w:val="zh-CN" w:eastAsia="zh-CN"/>
        </w:rPr>
      </w:pPr>
      <w:r>
        <w:rPr>
          <w:rFonts w:hint="eastAsia"/>
          <w:sz w:val="24"/>
          <w:szCs w:val="28"/>
          <w:lang w:val="en-US" w:eastAsia="zh-CN"/>
        </w:rPr>
        <w:t>1、</w:t>
      </w:r>
      <w:r>
        <w:rPr>
          <w:rFonts w:hint="eastAsia"/>
          <w:sz w:val="24"/>
          <w:szCs w:val="28"/>
          <w:lang w:val="zh-CN" w:eastAsia="zh-CN"/>
        </w:rPr>
        <w:t xml:space="preserve"> 设立企业的形式</w:t>
      </w:r>
    </w:p>
    <w:p w14:paraId="495060B2">
      <w:pPr>
        <w:keepNext w:val="0"/>
        <w:keepLines w:val="0"/>
        <w:pageBreakBefore w:val="0"/>
        <w:widowControl/>
        <w:kinsoku/>
        <w:wordWrap/>
        <w:overflowPunct/>
        <w:topLinePunct w:val="0"/>
        <w:autoSpaceDE/>
        <w:autoSpaceDN/>
        <w:bidi w:val="0"/>
        <w:adjustRightInd/>
        <w:snapToGrid/>
        <w:spacing w:after="80"/>
        <w:ind w:firstLine="480" w:firstLineChars="200"/>
        <w:jc w:val="both"/>
        <w:textAlignment w:val="auto"/>
        <w:rPr>
          <w:rFonts w:hint="eastAsia"/>
          <w:sz w:val="24"/>
          <w:szCs w:val="28"/>
          <w:lang w:val="zh-CN" w:eastAsia="zh-CN"/>
        </w:rPr>
      </w:pPr>
      <w:r>
        <w:rPr>
          <w:rFonts w:hint="eastAsia"/>
          <w:sz w:val="24"/>
          <w:szCs w:val="28"/>
          <w:lang w:val="zh-CN" w:eastAsia="zh-CN"/>
        </w:rPr>
        <w:t>当地法律对外商投资企业的注册形式没有任何限制，包括，联合责任公司、有限合伙公司、有限责任公司、公共股份公司、私人股份公司、代表处、分公司等。</w:t>
      </w:r>
    </w:p>
    <w:p w14:paraId="726BD8B8">
      <w:pPr>
        <w:keepNext w:val="0"/>
        <w:keepLines w:val="0"/>
        <w:pageBreakBefore w:val="0"/>
        <w:widowControl/>
        <w:kinsoku/>
        <w:wordWrap/>
        <w:overflowPunct/>
        <w:topLinePunct w:val="0"/>
        <w:autoSpaceDE/>
        <w:autoSpaceDN/>
        <w:bidi w:val="0"/>
        <w:adjustRightInd/>
        <w:snapToGrid/>
        <w:spacing w:after="80"/>
        <w:ind w:firstLine="480" w:firstLineChars="200"/>
        <w:jc w:val="both"/>
        <w:textAlignment w:val="auto"/>
        <w:rPr>
          <w:rFonts w:hint="eastAsia"/>
          <w:sz w:val="24"/>
          <w:szCs w:val="28"/>
          <w:lang w:val="zh-CN" w:eastAsia="zh-CN"/>
        </w:rPr>
      </w:pPr>
      <w:r>
        <w:rPr>
          <w:rFonts w:hint="eastAsia"/>
          <w:sz w:val="24"/>
          <w:szCs w:val="28"/>
          <w:lang w:val="en-US" w:eastAsia="zh-CN"/>
        </w:rPr>
        <w:t>2、</w:t>
      </w:r>
      <w:r>
        <w:rPr>
          <w:rFonts w:hint="eastAsia"/>
          <w:sz w:val="24"/>
          <w:szCs w:val="28"/>
          <w:lang w:val="zh-CN" w:eastAsia="zh-CN"/>
        </w:rPr>
        <w:t>注册企业的受理机构</w:t>
      </w:r>
    </w:p>
    <w:p w14:paraId="17B9D5B2">
      <w:pPr>
        <w:keepNext w:val="0"/>
        <w:keepLines w:val="0"/>
        <w:pageBreakBefore w:val="0"/>
        <w:widowControl/>
        <w:kinsoku/>
        <w:wordWrap/>
        <w:overflowPunct/>
        <w:topLinePunct w:val="0"/>
        <w:autoSpaceDE/>
        <w:autoSpaceDN/>
        <w:bidi w:val="0"/>
        <w:adjustRightInd/>
        <w:snapToGrid/>
        <w:spacing w:after="80"/>
        <w:ind w:firstLine="480" w:firstLineChars="200"/>
        <w:jc w:val="both"/>
        <w:textAlignment w:val="auto"/>
        <w:rPr>
          <w:rFonts w:hint="eastAsia"/>
          <w:sz w:val="24"/>
          <w:szCs w:val="28"/>
          <w:lang w:val="zh-CN" w:eastAsia="zh-CN"/>
        </w:rPr>
      </w:pPr>
      <w:r>
        <w:rPr>
          <w:rFonts w:hint="eastAsia"/>
          <w:sz w:val="24"/>
          <w:szCs w:val="28"/>
          <w:lang w:val="zh-CN" w:eastAsia="zh-CN"/>
        </w:rPr>
        <w:t>当地负责企业注册的政府机构</w:t>
      </w:r>
    </w:p>
    <w:p w14:paraId="6BF4465B">
      <w:pPr>
        <w:keepNext w:val="0"/>
        <w:keepLines w:val="0"/>
        <w:pageBreakBefore w:val="0"/>
        <w:widowControl/>
        <w:kinsoku/>
        <w:wordWrap/>
        <w:overflowPunct/>
        <w:topLinePunct w:val="0"/>
        <w:autoSpaceDE/>
        <w:autoSpaceDN/>
        <w:bidi w:val="0"/>
        <w:adjustRightInd/>
        <w:snapToGrid/>
        <w:spacing w:after="80"/>
        <w:ind w:firstLine="480" w:firstLineChars="200"/>
        <w:jc w:val="both"/>
        <w:textAlignment w:val="auto"/>
        <w:rPr>
          <w:rFonts w:hint="eastAsia"/>
          <w:sz w:val="24"/>
          <w:szCs w:val="28"/>
          <w:lang w:val="zh-CN" w:eastAsia="zh-CN"/>
        </w:rPr>
      </w:pPr>
      <w:r>
        <w:rPr>
          <w:rFonts w:hint="eastAsia"/>
          <w:sz w:val="24"/>
          <w:szCs w:val="28"/>
          <w:lang w:val="en-US" w:eastAsia="zh-CN"/>
        </w:rPr>
        <w:t>3、</w:t>
      </w:r>
      <w:r>
        <w:rPr>
          <w:rFonts w:hint="eastAsia"/>
          <w:sz w:val="24"/>
          <w:szCs w:val="28"/>
          <w:lang w:val="zh-CN" w:eastAsia="zh-CN"/>
        </w:rPr>
        <w:t>注册企业的主要程序</w:t>
      </w:r>
    </w:p>
    <w:p w14:paraId="7919CD25">
      <w:pPr>
        <w:keepNext w:val="0"/>
        <w:keepLines w:val="0"/>
        <w:pageBreakBefore w:val="0"/>
        <w:widowControl/>
        <w:kinsoku/>
        <w:wordWrap/>
        <w:overflowPunct/>
        <w:topLinePunct w:val="0"/>
        <w:autoSpaceDE/>
        <w:autoSpaceDN/>
        <w:bidi w:val="0"/>
        <w:adjustRightInd/>
        <w:snapToGrid/>
        <w:spacing w:after="80"/>
        <w:ind w:firstLine="480" w:firstLineChars="200"/>
        <w:jc w:val="both"/>
        <w:textAlignment w:val="auto"/>
        <w:rPr>
          <w:rFonts w:hint="eastAsia"/>
          <w:sz w:val="24"/>
          <w:szCs w:val="28"/>
          <w:lang w:val="zh-CN" w:eastAsia="zh-CN"/>
        </w:rPr>
      </w:pPr>
      <w:r>
        <w:rPr>
          <w:rFonts w:hint="eastAsia"/>
          <w:sz w:val="24"/>
          <w:szCs w:val="28"/>
          <w:lang w:val="zh-CN" w:eastAsia="zh-CN"/>
        </w:rPr>
        <w:t>在阿联酋注册企业，通常包含以下程序：</w:t>
      </w:r>
    </w:p>
    <w:p w14:paraId="7C662AE2">
      <w:pPr>
        <w:keepNext w:val="0"/>
        <w:keepLines w:val="0"/>
        <w:pageBreakBefore w:val="0"/>
        <w:widowControl/>
        <w:kinsoku/>
        <w:wordWrap/>
        <w:overflowPunct/>
        <w:topLinePunct w:val="0"/>
        <w:autoSpaceDE/>
        <w:autoSpaceDN/>
        <w:bidi w:val="0"/>
        <w:adjustRightInd/>
        <w:snapToGrid/>
        <w:spacing w:after="80"/>
        <w:ind w:firstLine="480" w:firstLineChars="200"/>
        <w:jc w:val="both"/>
        <w:textAlignment w:val="auto"/>
        <w:rPr>
          <w:rFonts w:hint="eastAsia"/>
          <w:sz w:val="24"/>
          <w:szCs w:val="28"/>
          <w:lang w:val="zh-CN" w:eastAsia="zh-CN"/>
        </w:rPr>
      </w:pPr>
      <w:r>
        <w:rPr>
          <w:rFonts w:hint="eastAsia"/>
          <w:sz w:val="24"/>
          <w:szCs w:val="28"/>
          <w:lang w:val="zh-CN" w:eastAsia="zh-CN"/>
        </w:rPr>
        <w:t>（1）确定业务类型。一般企业业务有6种类型，包括工业、商业、专业、旅游、农业和职业。一家企业可以经营多种业务。</w:t>
      </w:r>
    </w:p>
    <w:p w14:paraId="078EB08A">
      <w:pPr>
        <w:keepNext w:val="0"/>
        <w:keepLines w:val="0"/>
        <w:pageBreakBefore w:val="0"/>
        <w:widowControl/>
        <w:kinsoku/>
        <w:wordWrap/>
        <w:overflowPunct/>
        <w:topLinePunct w:val="0"/>
        <w:autoSpaceDE/>
        <w:autoSpaceDN/>
        <w:bidi w:val="0"/>
        <w:adjustRightInd/>
        <w:snapToGrid/>
        <w:spacing w:after="80"/>
        <w:ind w:firstLine="480" w:firstLineChars="200"/>
        <w:jc w:val="both"/>
        <w:textAlignment w:val="auto"/>
        <w:rPr>
          <w:rFonts w:hint="eastAsia"/>
          <w:sz w:val="24"/>
          <w:szCs w:val="28"/>
          <w:lang w:val="zh-CN" w:eastAsia="zh-CN"/>
        </w:rPr>
      </w:pPr>
      <w:r>
        <w:rPr>
          <w:rFonts w:hint="eastAsia"/>
          <w:sz w:val="24"/>
          <w:szCs w:val="28"/>
          <w:lang w:val="zh-CN" w:eastAsia="zh-CN"/>
        </w:rPr>
        <w:t>（2）选择企业形式。包括外企分公司、控股公司、有限责任公司等。</w:t>
      </w:r>
    </w:p>
    <w:p w14:paraId="4B2A69FB">
      <w:pPr>
        <w:keepNext w:val="0"/>
        <w:keepLines w:val="0"/>
        <w:pageBreakBefore w:val="0"/>
        <w:widowControl/>
        <w:kinsoku/>
        <w:wordWrap/>
        <w:overflowPunct/>
        <w:topLinePunct w:val="0"/>
        <w:autoSpaceDE/>
        <w:autoSpaceDN/>
        <w:bidi w:val="0"/>
        <w:adjustRightInd/>
        <w:snapToGrid/>
        <w:spacing w:after="80"/>
        <w:ind w:firstLine="480" w:firstLineChars="200"/>
        <w:jc w:val="both"/>
        <w:textAlignment w:val="auto"/>
        <w:rPr>
          <w:rFonts w:hint="eastAsia"/>
          <w:sz w:val="24"/>
          <w:szCs w:val="28"/>
          <w:lang w:val="zh-CN" w:eastAsia="zh-CN"/>
        </w:rPr>
      </w:pPr>
      <w:r>
        <w:rPr>
          <w:rFonts w:hint="eastAsia"/>
          <w:sz w:val="24"/>
          <w:szCs w:val="28"/>
          <w:lang w:val="zh-CN" w:eastAsia="zh-CN"/>
        </w:rPr>
        <w:t>（3）注册企业名称。名称不得包含任何宗教或管理机构的名称和徽标。</w:t>
      </w:r>
    </w:p>
    <w:p w14:paraId="37AF2FB5">
      <w:pPr>
        <w:keepNext w:val="0"/>
        <w:keepLines w:val="0"/>
        <w:pageBreakBefore w:val="0"/>
        <w:widowControl/>
        <w:kinsoku/>
        <w:wordWrap/>
        <w:overflowPunct/>
        <w:topLinePunct w:val="0"/>
        <w:autoSpaceDE/>
        <w:autoSpaceDN/>
        <w:bidi w:val="0"/>
        <w:adjustRightInd/>
        <w:snapToGrid/>
        <w:spacing w:after="80"/>
        <w:ind w:firstLine="480" w:firstLineChars="200"/>
        <w:jc w:val="both"/>
        <w:textAlignment w:val="auto"/>
        <w:rPr>
          <w:rFonts w:hint="eastAsia"/>
          <w:sz w:val="24"/>
          <w:szCs w:val="28"/>
          <w:lang w:val="zh-CN" w:eastAsia="zh-CN"/>
        </w:rPr>
      </w:pPr>
      <w:r>
        <w:rPr>
          <w:rFonts w:hint="eastAsia"/>
          <w:sz w:val="24"/>
          <w:szCs w:val="28"/>
          <w:lang w:val="zh-CN" w:eastAsia="zh-CN"/>
        </w:rPr>
        <w:t>（4）申请初步准入。外国投资者在获得初步准入前必须获得居留权，并获得国籍地人事部门批准。</w:t>
      </w:r>
    </w:p>
    <w:p w14:paraId="41778563">
      <w:pPr>
        <w:keepNext w:val="0"/>
        <w:keepLines w:val="0"/>
        <w:pageBreakBefore w:val="0"/>
        <w:widowControl/>
        <w:kinsoku/>
        <w:wordWrap/>
        <w:overflowPunct/>
        <w:topLinePunct w:val="0"/>
        <w:autoSpaceDE/>
        <w:autoSpaceDN/>
        <w:bidi w:val="0"/>
        <w:adjustRightInd/>
        <w:snapToGrid/>
        <w:spacing w:after="80"/>
        <w:ind w:firstLine="480" w:firstLineChars="200"/>
        <w:jc w:val="both"/>
        <w:textAlignment w:val="auto"/>
        <w:rPr>
          <w:rFonts w:hint="eastAsia"/>
          <w:sz w:val="24"/>
          <w:szCs w:val="28"/>
          <w:lang w:val="zh-CN" w:eastAsia="zh-CN"/>
        </w:rPr>
      </w:pPr>
      <w:r>
        <w:rPr>
          <w:rFonts w:hint="eastAsia"/>
          <w:sz w:val="24"/>
          <w:szCs w:val="28"/>
          <w:lang w:val="zh-CN" w:eastAsia="zh-CN"/>
        </w:rPr>
        <w:t>（5）签署组织备忘录或本地服务代理协议。完全由非海湾合作委员会国民拥有的企业需要联邦当地服务代理。</w:t>
      </w:r>
    </w:p>
    <w:p w14:paraId="289E627A">
      <w:pPr>
        <w:keepNext w:val="0"/>
        <w:keepLines w:val="0"/>
        <w:pageBreakBefore w:val="0"/>
        <w:widowControl/>
        <w:kinsoku/>
        <w:wordWrap/>
        <w:overflowPunct/>
        <w:topLinePunct w:val="0"/>
        <w:autoSpaceDE/>
        <w:autoSpaceDN/>
        <w:bidi w:val="0"/>
        <w:adjustRightInd/>
        <w:snapToGrid/>
        <w:spacing w:after="80"/>
        <w:ind w:firstLine="480" w:firstLineChars="200"/>
        <w:jc w:val="both"/>
        <w:textAlignment w:val="auto"/>
        <w:rPr>
          <w:rFonts w:hint="eastAsia"/>
          <w:sz w:val="24"/>
          <w:szCs w:val="28"/>
          <w:lang w:val="zh-CN" w:eastAsia="zh-CN"/>
        </w:rPr>
      </w:pPr>
      <w:r>
        <w:rPr>
          <w:rFonts w:hint="eastAsia"/>
          <w:sz w:val="24"/>
          <w:szCs w:val="28"/>
          <w:lang w:val="zh-CN" w:eastAsia="zh-CN"/>
        </w:rPr>
        <w:t>（6）选择经营场所。某些经营业务需要相关部门额外批准，如与交通运输有关的业务需要内政部批准，法务业务需要司法部批准，建筑工程业务需要市政部门批准，与健康有关的业务需要卫生部门批准。</w:t>
      </w:r>
    </w:p>
    <w:p w14:paraId="7467415D">
      <w:pPr>
        <w:keepNext w:val="0"/>
        <w:keepLines w:val="0"/>
        <w:pageBreakBefore w:val="0"/>
        <w:widowControl/>
        <w:kinsoku/>
        <w:wordWrap/>
        <w:overflowPunct/>
        <w:topLinePunct w:val="0"/>
        <w:autoSpaceDE/>
        <w:autoSpaceDN/>
        <w:bidi w:val="0"/>
        <w:adjustRightInd/>
        <w:snapToGrid/>
        <w:spacing w:after="80"/>
        <w:ind w:firstLine="480" w:firstLineChars="200"/>
        <w:jc w:val="both"/>
        <w:textAlignment w:val="auto"/>
        <w:rPr>
          <w:rFonts w:hint="eastAsia"/>
          <w:sz w:val="24"/>
          <w:szCs w:val="28"/>
          <w:lang w:val="zh-CN" w:eastAsia="zh-CN"/>
        </w:rPr>
      </w:pPr>
      <w:r>
        <w:rPr>
          <w:rFonts w:hint="eastAsia"/>
          <w:sz w:val="24"/>
          <w:szCs w:val="28"/>
          <w:lang w:val="zh-CN" w:eastAsia="zh-CN"/>
        </w:rPr>
        <w:t>（7）支付费用，获取营业执照。获取执照所需文件包括：初始批准收据和之前提交的所有文件、经迪拜房地产监管机构认证的租赁合同（如企业注册在迪拜）、公司章程、有关政府机构的批文、服务代理合同（非海湾国家国民全资注册的企业）。</w:t>
      </w:r>
    </w:p>
    <w:p w14:paraId="6A0AB29D">
      <w:pPr>
        <w:keepNext w:val="0"/>
        <w:keepLines w:val="0"/>
        <w:pageBreakBefore w:val="0"/>
        <w:widowControl/>
        <w:kinsoku/>
        <w:wordWrap/>
        <w:overflowPunct/>
        <w:topLinePunct w:val="0"/>
        <w:autoSpaceDE/>
        <w:autoSpaceDN/>
        <w:bidi w:val="0"/>
        <w:adjustRightInd/>
        <w:snapToGrid/>
        <w:spacing w:after="80"/>
        <w:ind w:firstLine="480" w:firstLineChars="200"/>
        <w:jc w:val="both"/>
        <w:textAlignment w:val="auto"/>
        <w:rPr>
          <w:rFonts w:hint="eastAsia"/>
          <w:sz w:val="24"/>
          <w:szCs w:val="28"/>
          <w:lang w:val="zh-CN" w:eastAsia="zh-CN"/>
        </w:rPr>
      </w:pPr>
      <w:r>
        <w:rPr>
          <w:rFonts w:hint="eastAsia"/>
          <w:sz w:val="24"/>
          <w:szCs w:val="28"/>
          <w:lang w:val="zh-CN" w:eastAsia="zh-CN"/>
        </w:rPr>
        <w:t>（8）到工商会登记。</w:t>
      </w:r>
    </w:p>
    <w:p w14:paraId="7A2DA0D7">
      <w:pPr>
        <w:keepNext w:val="0"/>
        <w:keepLines w:val="0"/>
        <w:pageBreakBefore w:val="0"/>
        <w:widowControl/>
        <w:kinsoku/>
        <w:wordWrap/>
        <w:overflowPunct/>
        <w:topLinePunct w:val="0"/>
        <w:autoSpaceDE/>
        <w:autoSpaceDN/>
        <w:bidi w:val="0"/>
        <w:adjustRightInd/>
        <w:snapToGrid/>
        <w:spacing w:after="80"/>
        <w:ind w:firstLine="480" w:firstLineChars="200"/>
        <w:jc w:val="both"/>
        <w:textAlignment w:val="auto"/>
        <w:rPr>
          <w:rFonts w:hint="eastAsia"/>
          <w:sz w:val="24"/>
          <w:szCs w:val="28"/>
          <w:lang w:val="zh-CN" w:eastAsia="zh-CN"/>
        </w:rPr>
      </w:pPr>
      <w:r>
        <w:rPr>
          <w:rFonts w:hint="eastAsia"/>
          <w:sz w:val="24"/>
          <w:szCs w:val="28"/>
          <w:lang w:val="zh-CN" w:eastAsia="zh-CN"/>
        </w:rPr>
        <w:t>一般来说，在各酋长国自由区注册企业相对手续更加简单。具体程序、受理机构及所需材料依各酋长国及执照种类、公司种类不同而有所差异，可以通过阿经济部（www.economy.gov.ae）、各酋长国经济发展局等相关政府部门或工商会、自由区等机构的网站获得。例如在阿布扎比酋长国申请注册各类公司所需材料及程序可从阿布扎比经济发展局网站（added.gov.ae）获得。亦可咨询各酋长国商工会的会员服务中心。</w:t>
      </w:r>
    </w:p>
    <w:p w14:paraId="7F837EEF">
      <w:pPr>
        <w:pStyle w:val="5"/>
        <w:pageBreakBefore w:val="0"/>
        <w:widowControl/>
        <w:kinsoku/>
        <w:wordWrap/>
        <w:overflowPunct/>
        <w:topLinePunct w:val="0"/>
        <w:autoSpaceDE/>
        <w:autoSpaceDN/>
        <w:bidi w:val="0"/>
        <w:adjustRightInd/>
        <w:snapToGrid/>
        <w:jc w:val="both"/>
        <w:rPr>
          <w:rFonts w:ascii="微软雅黑" w:hAnsi="微软雅黑" w:eastAsia="微软雅黑"/>
          <w:color w:val="auto"/>
          <w:lang w:eastAsia="zh-CN"/>
        </w:rPr>
      </w:pPr>
      <w:bookmarkStart w:id="41" w:name="_Toc5906"/>
      <w:r>
        <w:rPr>
          <w:rFonts w:ascii="微软雅黑" w:hAnsi="微软雅黑" w:eastAsia="微软雅黑"/>
          <w:color w:val="auto"/>
          <w:lang w:val="zh-CN" w:eastAsia="zh-CN"/>
        </w:rPr>
        <w:t>5.1.2  项目前期尽调</w:t>
      </w:r>
      <w:bookmarkEnd w:id="41"/>
    </w:p>
    <w:p w14:paraId="7017436D">
      <w:pPr>
        <w:keepNext w:val="0"/>
        <w:keepLines w:val="0"/>
        <w:pageBreakBefore w:val="0"/>
        <w:widowControl/>
        <w:numPr>
          <w:ilvl w:val="0"/>
          <w:numId w:val="0"/>
        </w:numPr>
        <w:kinsoku/>
        <w:wordWrap/>
        <w:overflowPunct/>
        <w:topLinePunct w:val="0"/>
        <w:autoSpaceDE/>
        <w:autoSpaceDN/>
        <w:bidi w:val="0"/>
        <w:adjustRightInd/>
        <w:snapToGrid/>
        <w:spacing w:before="40" w:after="40"/>
        <w:ind w:firstLine="480" w:firstLineChars="200"/>
        <w:jc w:val="both"/>
        <w:textAlignment w:val="auto"/>
        <w:rPr>
          <w:rFonts w:hint="default"/>
          <w:sz w:val="24"/>
          <w:szCs w:val="28"/>
          <w:lang w:val="en-US" w:eastAsia="zh-CN"/>
        </w:rPr>
      </w:pPr>
      <w:r>
        <w:rPr>
          <w:rFonts w:hint="default"/>
          <w:sz w:val="24"/>
          <w:szCs w:val="28"/>
          <w:lang w:val="en-US" w:eastAsia="zh-CN"/>
        </w:rPr>
        <w:t>依托中信保境外资信查询平台、中国驻阿联酋</w:t>
      </w:r>
      <w:r>
        <w:rPr>
          <w:rFonts w:hint="eastAsia"/>
          <w:sz w:val="24"/>
          <w:szCs w:val="28"/>
          <w:lang w:val="en-US" w:eastAsia="zh-CN"/>
        </w:rPr>
        <w:t>大使馆</w:t>
      </w:r>
      <w:r>
        <w:rPr>
          <w:rFonts w:hint="default"/>
          <w:sz w:val="24"/>
          <w:szCs w:val="28"/>
          <w:lang w:val="en-US" w:eastAsia="zh-CN"/>
        </w:rPr>
        <w:t>经商处、</w:t>
      </w:r>
      <w:r>
        <w:rPr>
          <w:rFonts w:hint="eastAsia"/>
          <w:sz w:val="24"/>
          <w:szCs w:val="28"/>
          <w:lang w:val="en-US" w:eastAsia="zh-CN"/>
        </w:rPr>
        <w:t>阿联酋</w:t>
      </w:r>
      <w:r>
        <w:rPr>
          <w:rFonts w:hint="default"/>
          <w:sz w:val="24"/>
          <w:szCs w:val="28"/>
          <w:lang w:val="en-US" w:eastAsia="zh-CN"/>
        </w:rPr>
        <w:t>中资企业协会</w:t>
      </w:r>
      <w:r>
        <w:rPr>
          <w:rFonts w:hint="eastAsia"/>
          <w:sz w:val="24"/>
          <w:szCs w:val="28"/>
          <w:lang w:val="en-US" w:eastAsia="zh-CN"/>
        </w:rPr>
        <w:t>、长期合作属地服务机构等正规渠道获取相关信息，</w:t>
      </w:r>
      <w:r>
        <w:rPr>
          <w:rFonts w:hint="default"/>
          <w:sz w:val="24"/>
          <w:szCs w:val="28"/>
          <w:lang w:val="en-US" w:eastAsia="zh-CN"/>
        </w:rPr>
        <w:t>核实业主资质、履约记录、资金实力、过往合作纠纷情况；重点核查业主付款能力、项目资金来源、合规经营资质，规避业主违约、拖欠工程款风险。</w:t>
      </w:r>
    </w:p>
    <w:p w14:paraId="315FDA9D">
      <w:pPr>
        <w:keepNext w:val="0"/>
        <w:keepLines w:val="0"/>
        <w:pageBreakBefore w:val="0"/>
        <w:widowControl/>
        <w:numPr>
          <w:ilvl w:val="0"/>
          <w:numId w:val="0"/>
        </w:numPr>
        <w:kinsoku/>
        <w:wordWrap/>
        <w:overflowPunct/>
        <w:topLinePunct w:val="0"/>
        <w:autoSpaceDE/>
        <w:autoSpaceDN/>
        <w:bidi w:val="0"/>
        <w:adjustRightInd/>
        <w:snapToGrid/>
        <w:spacing w:before="40" w:after="40"/>
        <w:ind w:firstLine="480" w:firstLineChars="200"/>
        <w:jc w:val="both"/>
        <w:textAlignment w:val="auto"/>
        <w:rPr>
          <w:rFonts w:hint="default"/>
          <w:sz w:val="24"/>
          <w:szCs w:val="28"/>
          <w:lang w:val="en-US" w:eastAsia="zh-CN"/>
        </w:rPr>
      </w:pPr>
      <w:r>
        <w:rPr>
          <w:rFonts w:hint="default"/>
          <w:sz w:val="24"/>
          <w:szCs w:val="28"/>
          <w:lang w:val="en-US" w:eastAsia="zh-CN"/>
        </w:rPr>
        <w:t>提前对接当地合作银行、税务代理、中资同行</w:t>
      </w:r>
      <w:r>
        <w:rPr>
          <w:rFonts w:hint="eastAsia"/>
          <w:sz w:val="24"/>
          <w:szCs w:val="28"/>
          <w:lang w:val="en-US" w:eastAsia="zh-CN"/>
        </w:rPr>
        <w:t>等</w:t>
      </w:r>
      <w:r>
        <w:rPr>
          <w:rFonts w:hint="default"/>
          <w:sz w:val="24"/>
          <w:szCs w:val="28"/>
          <w:lang w:val="en-US" w:eastAsia="zh-CN"/>
        </w:rPr>
        <w:t>，摸清项目所在酋长国属地监管细则、税费标准、实操难点；了解当地人工、材料、租赁市场价格</w:t>
      </w:r>
      <w:r>
        <w:rPr>
          <w:rFonts w:hint="eastAsia"/>
          <w:sz w:val="24"/>
          <w:szCs w:val="28"/>
          <w:lang w:val="en-US" w:eastAsia="zh-CN"/>
        </w:rPr>
        <w:t>等</w:t>
      </w:r>
      <w:r>
        <w:rPr>
          <w:rFonts w:hint="default"/>
          <w:sz w:val="24"/>
          <w:szCs w:val="28"/>
          <w:lang w:val="en-US" w:eastAsia="zh-CN"/>
        </w:rPr>
        <w:t>，</w:t>
      </w:r>
      <w:r>
        <w:rPr>
          <w:rFonts w:hint="eastAsia"/>
          <w:sz w:val="24"/>
          <w:szCs w:val="28"/>
          <w:lang w:val="en-US" w:eastAsia="zh-CN"/>
        </w:rPr>
        <w:t>摸底当地营商环境，</w:t>
      </w:r>
      <w:r>
        <w:rPr>
          <w:rFonts w:hint="default"/>
          <w:sz w:val="24"/>
          <w:szCs w:val="28"/>
          <w:lang w:val="en-US" w:eastAsia="zh-CN"/>
        </w:rPr>
        <w:t>精准测算项目成本。</w:t>
      </w:r>
    </w:p>
    <w:p w14:paraId="775D22D2">
      <w:pPr>
        <w:pStyle w:val="5"/>
        <w:pageBreakBefore w:val="0"/>
        <w:widowControl/>
        <w:kinsoku/>
        <w:wordWrap/>
        <w:overflowPunct/>
        <w:topLinePunct w:val="0"/>
        <w:autoSpaceDE/>
        <w:autoSpaceDN/>
        <w:bidi w:val="0"/>
        <w:adjustRightInd/>
        <w:snapToGrid/>
        <w:jc w:val="both"/>
        <w:rPr>
          <w:rFonts w:ascii="微软雅黑" w:hAnsi="微软雅黑" w:eastAsia="微软雅黑"/>
          <w:color w:val="auto"/>
          <w:lang w:eastAsia="zh-CN"/>
        </w:rPr>
      </w:pPr>
      <w:bookmarkStart w:id="42" w:name="_Toc32048"/>
      <w:r>
        <w:rPr>
          <w:rFonts w:ascii="微软雅黑" w:hAnsi="微软雅黑" w:eastAsia="微软雅黑"/>
          <w:color w:val="auto"/>
          <w:lang w:val="zh-CN" w:eastAsia="zh-CN"/>
        </w:rPr>
        <w:t>5.1.3  资金管理准备</w:t>
      </w:r>
      <w:bookmarkEnd w:id="42"/>
    </w:p>
    <w:p w14:paraId="4ACD8FD0">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阿联酋金融环境开放，可选银行既有当地银行（FAB/ENBD/ADIB等），也有中资及其他国际银行，包括中国银行、工商银行、建设银行、农业银行和国汇丰、渣打、花旗、德意志银行等。可开立币种包括迪</w:t>
      </w:r>
      <w:r>
        <w:rPr>
          <w:rFonts w:hint="eastAsia"/>
          <w:sz w:val="24"/>
          <w:szCs w:val="28"/>
          <w:lang w:val="en-US" w:eastAsia="zh-CN"/>
        </w:rPr>
        <w:t>拉</w:t>
      </w:r>
      <w:r>
        <w:rPr>
          <w:rFonts w:hint="eastAsia"/>
          <w:sz w:val="24"/>
          <w:szCs w:val="28"/>
          <w:lang w:val="zh-CN" w:eastAsia="zh-CN"/>
        </w:rPr>
        <w:t>姆、美元、欧元等。</w:t>
      </w:r>
    </w:p>
    <w:p w14:paraId="0F37D35C">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分/子公司主要项目收支账户可在中资银行开户，首选迪</w:t>
      </w:r>
      <w:r>
        <w:rPr>
          <w:rFonts w:hint="eastAsia"/>
          <w:sz w:val="24"/>
          <w:szCs w:val="28"/>
          <w:lang w:val="en-US" w:eastAsia="zh-CN"/>
        </w:rPr>
        <w:t>拉</w:t>
      </w:r>
      <w:r>
        <w:rPr>
          <w:rFonts w:hint="eastAsia"/>
          <w:sz w:val="24"/>
          <w:szCs w:val="28"/>
          <w:lang w:val="zh-CN" w:eastAsia="zh-CN"/>
        </w:rPr>
        <w:t>姆账户，美元、欧元及其他币种账户可结合具体业务视情况而定，尽量减少账户数量。</w:t>
      </w:r>
    </w:p>
    <w:p w14:paraId="0933DFD0">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阿联酋规定当地工资必须通过WPS系统与央行认证银行发放，当地央行认证的银行基本为阿联酋本地银行，包括FAB/ENBD/ADIB等。结合业务便利性等多方面考虑，可在其开立迪</w:t>
      </w:r>
      <w:r>
        <w:rPr>
          <w:rFonts w:hint="eastAsia"/>
          <w:sz w:val="24"/>
          <w:szCs w:val="28"/>
          <w:lang w:val="en-US" w:eastAsia="zh-CN"/>
        </w:rPr>
        <w:t>拉</w:t>
      </w:r>
      <w:r>
        <w:rPr>
          <w:rFonts w:hint="eastAsia"/>
          <w:sz w:val="24"/>
          <w:szCs w:val="28"/>
          <w:lang w:val="zh-CN" w:eastAsia="zh-CN"/>
        </w:rPr>
        <w:t>姆账户专用于工资发放。</w:t>
      </w:r>
    </w:p>
    <w:p w14:paraId="18394D3C">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银行选择对比：</w:t>
      </w:r>
    </w:p>
    <w:tbl>
      <w:tblPr>
        <w:tblStyle w:val="37"/>
        <w:tblW w:w="4998" w:type="pct"/>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1349"/>
        <w:gridCol w:w="2661"/>
        <w:gridCol w:w="2418"/>
        <w:gridCol w:w="2418"/>
      </w:tblGrid>
      <w:tr w14:paraId="078CA0C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jc w:val="center"/>
        </w:trPr>
        <w:tc>
          <w:tcPr>
            <w:tcW w:w="762" w:type="pct"/>
            <w:shd w:val="clear" w:color="auto" w:fill="1F4E79"/>
            <w:vAlign w:val="center"/>
          </w:tcPr>
          <w:p w14:paraId="4EBCEAC0">
            <w:pPr>
              <w:pageBreakBefore w:val="0"/>
              <w:widowControl/>
              <w:kinsoku/>
              <w:wordWrap/>
              <w:overflowPunct/>
              <w:topLinePunct w:val="0"/>
              <w:autoSpaceDE/>
              <w:autoSpaceDN/>
              <w:bidi w:val="0"/>
              <w:adjustRightInd/>
              <w:snapToGrid/>
              <w:spacing w:before="40" w:after="40" w:line="240" w:lineRule="auto"/>
              <w:jc w:val="center"/>
              <w:rPr>
                <w:rFonts w:hint="default"/>
                <w:color w:val="FFFFFF" w:themeColor="background1"/>
                <w:szCs w:val="28"/>
                <w:lang w:val="en-US"/>
                <w14:textFill>
                  <w14:solidFill>
                    <w14:schemeClr w14:val="bg1"/>
                  </w14:solidFill>
                </w14:textFill>
              </w:rPr>
            </w:pPr>
            <w:r>
              <w:rPr>
                <w:rFonts w:hint="eastAsia"/>
                <w:b/>
                <w:color w:val="FFFFFF" w:themeColor="background1"/>
                <w:szCs w:val="28"/>
                <w:lang w:val="en-US" w:eastAsia="zh-CN"/>
                <w14:textFill>
                  <w14:solidFill>
                    <w14:schemeClr w14:val="bg1"/>
                  </w14:solidFill>
                </w14:textFill>
              </w:rPr>
              <w:t>项目内容</w:t>
            </w:r>
          </w:p>
        </w:tc>
        <w:tc>
          <w:tcPr>
            <w:tcW w:w="1503" w:type="pct"/>
            <w:shd w:val="clear" w:color="auto" w:fill="1F4E79"/>
            <w:vAlign w:val="center"/>
          </w:tcPr>
          <w:p w14:paraId="1253C943">
            <w:pPr>
              <w:pageBreakBefore w:val="0"/>
              <w:widowControl/>
              <w:kinsoku/>
              <w:wordWrap/>
              <w:overflowPunct/>
              <w:topLinePunct w:val="0"/>
              <w:autoSpaceDE/>
              <w:autoSpaceDN/>
              <w:bidi w:val="0"/>
              <w:adjustRightInd/>
              <w:snapToGrid/>
              <w:spacing w:before="40" w:after="40" w:line="240" w:lineRule="auto"/>
              <w:jc w:val="center"/>
              <w:rPr>
                <w:rFonts w:hint="default"/>
                <w:color w:val="FFFFFF" w:themeColor="background1"/>
                <w:szCs w:val="28"/>
                <w:lang w:val="en-US"/>
                <w14:textFill>
                  <w14:solidFill>
                    <w14:schemeClr w14:val="bg1"/>
                  </w14:solidFill>
                </w14:textFill>
              </w:rPr>
            </w:pPr>
            <w:r>
              <w:rPr>
                <w:rFonts w:hint="eastAsia"/>
                <w:b/>
                <w:color w:val="FFFFFF" w:themeColor="background1"/>
                <w:szCs w:val="28"/>
                <w:lang w:val="en-US" w:eastAsia="zh-CN"/>
                <w14:textFill>
                  <w14:solidFill>
                    <w14:schemeClr w14:val="bg1"/>
                  </w14:solidFill>
                </w14:textFill>
              </w:rPr>
              <w:t>优点</w:t>
            </w:r>
          </w:p>
        </w:tc>
        <w:tc>
          <w:tcPr>
            <w:tcW w:w="1366" w:type="pct"/>
            <w:shd w:val="clear" w:color="auto" w:fill="1F4E79"/>
            <w:vAlign w:val="center"/>
          </w:tcPr>
          <w:p w14:paraId="412E2715">
            <w:pPr>
              <w:pageBreakBefore w:val="0"/>
              <w:widowControl/>
              <w:kinsoku/>
              <w:wordWrap/>
              <w:overflowPunct/>
              <w:topLinePunct w:val="0"/>
              <w:autoSpaceDE/>
              <w:autoSpaceDN/>
              <w:bidi w:val="0"/>
              <w:adjustRightInd/>
              <w:snapToGrid/>
              <w:spacing w:before="40" w:after="40" w:line="240" w:lineRule="auto"/>
              <w:jc w:val="center"/>
              <w:rPr>
                <w:rFonts w:hint="default"/>
                <w:color w:val="FFFFFF" w:themeColor="background1"/>
                <w:szCs w:val="28"/>
                <w:lang w:val="en-US"/>
                <w14:textFill>
                  <w14:solidFill>
                    <w14:schemeClr w14:val="bg1"/>
                  </w14:solidFill>
                </w14:textFill>
              </w:rPr>
            </w:pPr>
            <w:r>
              <w:rPr>
                <w:rFonts w:hint="eastAsia"/>
                <w:b/>
                <w:color w:val="FFFFFF" w:themeColor="background1"/>
                <w:szCs w:val="28"/>
                <w:lang w:val="en-US" w:eastAsia="zh-CN"/>
                <w14:textFill>
                  <w14:solidFill>
                    <w14:schemeClr w14:val="bg1"/>
                  </w14:solidFill>
                </w14:textFill>
              </w:rPr>
              <w:t>缺点</w:t>
            </w:r>
          </w:p>
        </w:tc>
        <w:tc>
          <w:tcPr>
            <w:tcW w:w="1366" w:type="pct"/>
            <w:shd w:val="clear" w:color="auto" w:fill="1F4E79"/>
            <w:vAlign w:val="center"/>
          </w:tcPr>
          <w:p w14:paraId="7D7FD1E6">
            <w:pPr>
              <w:pageBreakBefore w:val="0"/>
              <w:widowControl/>
              <w:kinsoku/>
              <w:wordWrap/>
              <w:overflowPunct/>
              <w:topLinePunct w:val="0"/>
              <w:autoSpaceDE/>
              <w:autoSpaceDN/>
              <w:bidi w:val="0"/>
              <w:adjustRightInd/>
              <w:snapToGrid/>
              <w:spacing w:before="40" w:after="40" w:line="240" w:lineRule="auto"/>
              <w:jc w:val="center"/>
              <w:rPr>
                <w:rFonts w:hint="default"/>
                <w:b/>
                <w:color w:val="FFFFFF" w:themeColor="background1"/>
                <w:szCs w:val="28"/>
                <w:lang w:val="en-US" w:eastAsia="zh-CN"/>
                <w14:textFill>
                  <w14:solidFill>
                    <w14:schemeClr w14:val="bg1"/>
                  </w14:solidFill>
                </w14:textFill>
              </w:rPr>
            </w:pPr>
            <w:r>
              <w:rPr>
                <w:rFonts w:hint="eastAsia"/>
                <w:b/>
                <w:color w:val="FFFFFF" w:themeColor="background1"/>
                <w:szCs w:val="28"/>
                <w:lang w:val="en-US" w:eastAsia="zh-CN"/>
                <w14:textFill>
                  <w14:solidFill>
                    <w14:schemeClr w14:val="bg1"/>
                  </w14:solidFill>
                </w14:textFill>
              </w:rPr>
              <w:t>建议</w:t>
            </w:r>
          </w:p>
        </w:tc>
      </w:tr>
      <w:tr w14:paraId="4973335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762" w:type="pct"/>
            <w:vAlign w:val="center"/>
          </w:tcPr>
          <w:p w14:paraId="7D9AF1DF">
            <w:pPr>
              <w:pageBreakBefore w:val="0"/>
              <w:widowControl/>
              <w:kinsoku/>
              <w:wordWrap/>
              <w:overflowPunct/>
              <w:topLinePunct w:val="0"/>
              <w:autoSpaceDE/>
              <w:autoSpaceDN/>
              <w:bidi w:val="0"/>
              <w:adjustRightInd/>
              <w:snapToGrid/>
              <w:spacing w:before="40" w:after="40" w:line="240" w:lineRule="auto"/>
              <w:jc w:val="both"/>
              <w:rPr>
                <w:rFonts w:hint="default" w:eastAsia="微软雅黑"/>
                <w:szCs w:val="28"/>
                <w:lang w:val="en-US" w:eastAsia="zh-CN"/>
              </w:rPr>
            </w:pPr>
            <w:r>
              <w:rPr>
                <w:rFonts w:hint="eastAsia"/>
                <w:szCs w:val="28"/>
                <w:lang w:val="en-US" w:eastAsia="zh-CN"/>
              </w:rPr>
              <w:t>中资银行</w:t>
            </w:r>
          </w:p>
        </w:tc>
        <w:tc>
          <w:tcPr>
            <w:tcW w:w="1503" w:type="pct"/>
            <w:vAlign w:val="center"/>
          </w:tcPr>
          <w:p w14:paraId="12C7181B">
            <w:pPr>
              <w:pageBreakBefore w:val="0"/>
              <w:widowControl/>
              <w:kinsoku/>
              <w:wordWrap/>
              <w:overflowPunct/>
              <w:topLinePunct w:val="0"/>
              <w:autoSpaceDE/>
              <w:autoSpaceDN/>
              <w:bidi w:val="0"/>
              <w:adjustRightInd/>
              <w:snapToGrid/>
              <w:spacing w:before="40" w:after="40" w:line="240" w:lineRule="auto"/>
              <w:jc w:val="both"/>
              <w:rPr>
                <w:rFonts w:hint="default" w:eastAsia="微软雅黑"/>
                <w:sz w:val="21"/>
                <w:szCs w:val="21"/>
                <w:lang w:val="en-US" w:eastAsia="zh-CN"/>
              </w:rPr>
            </w:pPr>
            <w:r>
              <w:rPr>
                <w:rFonts w:hint="eastAsia"/>
                <w:sz w:val="21"/>
                <w:szCs w:val="21"/>
                <w:lang w:val="zh-CN" w:eastAsia="zh-CN"/>
              </w:rPr>
              <w:t>背景调查、开户资料较为简单，资金安全保障性高。客户经理为中国人，办事效率较高，沟通较为顺畅。网银支付较为便捷，可提供中文服务，跨境结算高效，对接国内系统顺畅，支持多级网银复核，可发送MT940报文</w:t>
            </w:r>
          </w:p>
        </w:tc>
        <w:tc>
          <w:tcPr>
            <w:tcW w:w="1366" w:type="pct"/>
            <w:vAlign w:val="center"/>
          </w:tcPr>
          <w:p w14:paraId="3B4ABC5D">
            <w:pPr>
              <w:pageBreakBefore w:val="0"/>
              <w:widowControl/>
              <w:kinsoku/>
              <w:wordWrap/>
              <w:overflowPunct/>
              <w:topLinePunct w:val="0"/>
              <w:autoSpaceDE/>
              <w:autoSpaceDN/>
              <w:bidi w:val="0"/>
              <w:adjustRightInd/>
              <w:snapToGrid/>
              <w:spacing w:before="40" w:after="40" w:line="240" w:lineRule="auto"/>
              <w:jc w:val="both"/>
              <w:rPr>
                <w:rFonts w:hint="default" w:eastAsia="微软雅黑"/>
                <w:sz w:val="21"/>
                <w:szCs w:val="21"/>
                <w:lang w:val="en-US" w:eastAsia="zh-CN"/>
              </w:rPr>
            </w:pPr>
            <w:r>
              <w:rPr>
                <w:rFonts w:hint="default" w:eastAsia="微软雅黑"/>
                <w:sz w:val="21"/>
                <w:szCs w:val="21"/>
                <w:lang w:val="en-US" w:eastAsia="zh-CN"/>
              </w:rPr>
              <w:t>本地线下业务覆盖较弱，银行可办理业务类型受限，无法进行现金业务和WPS工资发放业务。部分网点保函等授信业务一般需百分百授信且办理周期较长</w:t>
            </w:r>
            <w:r>
              <w:rPr>
                <w:rFonts w:hint="eastAsia"/>
                <w:sz w:val="21"/>
                <w:szCs w:val="21"/>
                <w:lang w:val="en-US" w:eastAsia="zh-CN"/>
              </w:rPr>
              <w:t>。</w:t>
            </w:r>
          </w:p>
        </w:tc>
        <w:tc>
          <w:tcPr>
            <w:tcW w:w="1366" w:type="pct"/>
            <w:vAlign w:val="center"/>
          </w:tcPr>
          <w:p w14:paraId="582C897F">
            <w:pPr>
              <w:pageBreakBefore w:val="0"/>
              <w:widowControl/>
              <w:kinsoku/>
              <w:wordWrap/>
              <w:overflowPunct/>
              <w:topLinePunct w:val="0"/>
              <w:autoSpaceDE/>
              <w:autoSpaceDN/>
              <w:bidi w:val="0"/>
              <w:adjustRightInd/>
              <w:snapToGrid/>
              <w:spacing w:before="40" w:after="40" w:line="240" w:lineRule="auto"/>
              <w:jc w:val="both"/>
              <w:rPr>
                <w:rFonts w:hint="default" w:eastAsia="微软雅黑"/>
                <w:sz w:val="21"/>
                <w:szCs w:val="21"/>
                <w:lang w:val="en-US" w:eastAsia="zh-CN"/>
              </w:rPr>
            </w:pPr>
            <w:r>
              <w:rPr>
                <w:rFonts w:hint="default" w:eastAsia="微软雅黑"/>
                <w:sz w:val="21"/>
                <w:szCs w:val="21"/>
                <w:lang w:val="en-US" w:eastAsia="zh-CN"/>
              </w:rPr>
              <w:t>可选中国银行、中国工商银行、中国建设银行、中国农业银行、交通银行，首选中行、工行，牌照最全、额度最大、政府/业主认可度最高、保函格式最稳、可做在岸迪拉姆保函，网银功能便捷，支持多人复核、多级限额</w:t>
            </w:r>
          </w:p>
        </w:tc>
      </w:tr>
      <w:tr w14:paraId="38AE16F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762" w:type="pct"/>
            <w:vAlign w:val="center"/>
          </w:tcPr>
          <w:p w14:paraId="5DCB97C0">
            <w:pPr>
              <w:pageBreakBefore w:val="0"/>
              <w:widowControl/>
              <w:kinsoku/>
              <w:wordWrap/>
              <w:overflowPunct/>
              <w:topLinePunct w:val="0"/>
              <w:autoSpaceDE/>
              <w:autoSpaceDN/>
              <w:bidi w:val="0"/>
              <w:adjustRightInd/>
              <w:snapToGrid/>
              <w:spacing w:before="40" w:after="40" w:line="240" w:lineRule="auto"/>
              <w:jc w:val="both"/>
              <w:rPr>
                <w:rFonts w:hint="default"/>
                <w:szCs w:val="28"/>
                <w:lang w:val="en-US" w:eastAsia="zh-CN"/>
              </w:rPr>
            </w:pPr>
            <w:r>
              <w:rPr>
                <w:rFonts w:hint="eastAsia"/>
                <w:szCs w:val="28"/>
                <w:lang w:val="en-US" w:eastAsia="zh-CN"/>
              </w:rPr>
              <w:t>当地银行</w:t>
            </w:r>
          </w:p>
        </w:tc>
        <w:tc>
          <w:tcPr>
            <w:tcW w:w="1503" w:type="pct"/>
            <w:vAlign w:val="center"/>
          </w:tcPr>
          <w:p w14:paraId="1A11DED5">
            <w:pPr>
              <w:pageBreakBefore w:val="0"/>
              <w:widowControl/>
              <w:kinsoku/>
              <w:wordWrap/>
              <w:overflowPunct/>
              <w:topLinePunct w:val="0"/>
              <w:autoSpaceDE/>
              <w:autoSpaceDN/>
              <w:bidi w:val="0"/>
              <w:adjustRightInd/>
              <w:snapToGrid/>
              <w:spacing w:before="40" w:after="40" w:line="240" w:lineRule="auto"/>
              <w:jc w:val="both"/>
              <w:rPr>
                <w:rFonts w:hint="default"/>
                <w:sz w:val="21"/>
                <w:szCs w:val="21"/>
                <w:lang w:val="en-US" w:eastAsia="zh-CN"/>
              </w:rPr>
            </w:pPr>
            <w:r>
              <w:rPr>
                <w:rFonts w:hint="eastAsia"/>
                <w:sz w:val="21"/>
                <w:szCs w:val="21"/>
                <w:lang w:val="en-US" w:eastAsia="zh-CN"/>
              </w:rPr>
              <w:t>本地认可度高、线下业务便捷、无属地业务限制，服务多样性较好，可提供如现金业务，提供WPS工资系统发放业务等，虽不支持中文服务，但可安排中文客户经理进行中文沟通。</w:t>
            </w:r>
          </w:p>
        </w:tc>
        <w:tc>
          <w:tcPr>
            <w:tcW w:w="1366" w:type="pct"/>
            <w:vAlign w:val="center"/>
          </w:tcPr>
          <w:p w14:paraId="7BF9610A">
            <w:pPr>
              <w:pageBreakBefore w:val="0"/>
              <w:widowControl/>
              <w:kinsoku/>
              <w:wordWrap/>
              <w:overflowPunct/>
              <w:topLinePunct w:val="0"/>
              <w:autoSpaceDE/>
              <w:autoSpaceDN/>
              <w:bidi w:val="0"/>
              <w:adjustRightInd/>
              <w:snapToGrid/>
              <w:spacing w:before="40" w:after="40" w:line="240" w:lineRule="auto"/>
              <w:jc w:val="both"/>
              <w:rPr>
                <w:rFonts w:hint="eastAsia" w:eastAsia="微软雅黑"/>
                <w:sz w:val="21"/>
                <w:szCs w:val="21"/>
                <w:lang w:val="en-US" w:eastAsia="zh-CN"/>
              </w:rPr>
            </w:pPr>
            <w:r>
              <w:rPr>
                <w:rFonts w:hint="eastAsia" w:eastAsia="微软雅黑"/>
                <w:sz w:val="21"/>
                <w:szCs w:val="21"/>
                <w:lang w:val="en-US" w:eastAsia="zh-CN"/>
              </w:rPr>
              <w:t>开户审核资质较严格，开户流程及银行签字人办理手续流程复杂；对接的中文客户经理较少，办理业务效率较慢；业务手续费较高</w:t>
            </w:r>
            <w:r>
              <w:rPr>
                <w:rFonts w:hint="eastAsia"/>
                <w:sz w:val="21"/>
                <w:szCs w:val="21"/>
                <w:lang w:val="en-US" w:eastAsia="zh-CN"/>
              </w:rPr>
              <w:t>。</w:t>
            </w:r>
          </w:p>
        </w:tc>
        <w:tc>
          <w:tcPr>
            <w:tcW w:w="1366" w:type="pct"/>
            <w:vAlign w:val="center"/>
          </w:tcPr>
          <w:p w14:paraId="3A550D20">
            <w:pPr>
              <w:pageBreakBefore w:val="0"/>
              <w:widowControl/>
              <w:kinsoku/>
              <w:wordWrap/>
              <w:overflowPunct/>
              <w:topLinePunct w:val="0"/>
              <w:autoSpaceDE/>
              <w:autoSpaceDN/>
              <w:bidi w:val="0"/>
              <w:adjustRightInd/>
              <w:snapToGrid/>
              <w:spacing w:before="40" w:after="40" w:line="240" w:lineRule="auto"/>
              <w:jc w:val="both"/>
              <w:rPr>
                <w:rFonts w:hint="eastAsia"/>
                <w:sz w:val="21"/>
                <w:szCs w:val="21"/>
                <w:lang w:val="en-US" w:eastAsia="zh-CN"/>
              </w:rPr>
            </w:pPr>
            <w:r>
              <w:rPr>
                <w:rFonts w:hint="eastAsia"/>
                <w:sz w:val="21"/>
                <w:szCs w:val="21"/>
                <w:lang w:val="en-US" w:eastAsia="zh-CN"/>
              </w:rPr>
              <w:t>可选FAB、ENBD、ADIB等多家当地银行，其中FAB银行体系稳健，客户较多，网银功能便捷，支持双人复核。</w:t>
            </w:r>
          </w:p>
        </w:tc>
      </w:tr>
    </w:tbl>
    <w:p w14:paraId="5C2857E3">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开户需求资料：营业执照、股权证明、公司章程、贸易许可证、办公室租赁合同、签字人护照、阿联酋ID卡，公司授权委托书、董事会决议、股东决议等。</w:t>
      </w:r>
    </w:p>
    <w:p w14:paraId="7CDC75A2">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开户周期（2026 年主流银行）：中资行 4–6 周、当地银行6–8 周。</w:t>
      </w:r>
    </w:p>
    <w:p w14:paraId="2852DF55">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开户延误高发原因包括：文件未公证认证或翻译不符（中文需英译 / 阿译并公证）、商业实质不足（无实体办公 / 本地员工）、UBO 信息不全或资金来源不明、签字人无阿联酋居留签证等。实务中建议先完成母公司文件公证认证（耗时 2–3 周），同步准备本地材料。</w:t>
      </w:r>
    </w:p>
    <w:p w14:paraId="3F561E51">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资本汇入要求：国内完成ODI备案后，阿联酋无额外资本汇入审批、登记要求，资本金可直接跨境汇入本地账户，资金到账无阻滞。</w:t>
      </w:r>
    </w:p>
    <w:p w14:paraId="4B5A704F">
      <w:pPr>
        <w:pStyle w:val="5"/>
        <w:pageBreakBefore w:val="0"/>
        <w:widowControl/>
        <w:kinsoku/>
        <w:wordWrap/>
        <w:overflowPunct/>
        <w:topLinePunct w:val="0"/>
        <w:autoSpaceDE/>
        <w:autoSpaceDN/>
        <w:bidi w:val="0"/>
        <w:adjustRightInd/>
        <w:snapToGrid/>
        <w:jc w:val="both"/>
        <w:rPr>
          <w:rFonts w:ascii="微软雅黑" w:hAnsi="微软雅黑" w:eastAsia="微软雅黑"/>
          <w:color w:val="auto"/>
          <w:lang w:eastAsia="zh-CN"/>
        </w:rPr>
      </w:pPr>
      <w:bookmarkStart w:id="43" w:name="_Toc15974"/>
      <w:r>
        <w:rPr>
          <w:rFonts w:ascii="微软雅黑" w:hAnsi="微软雅黑" w:eastAsia="微软雅黑"/>
          <w:color w:val="auto"/>
          <w:lang w:val="zh-CN" w:eastAsia="zh-CN"/>
        </w:rPr>
        <w:t>5.1.4  外部合作资源</w:t>
      </w:r>
      <w:bookmarkEnd w:id="43"/>
    </w:p>
    <w:p w14:paraId="4789B360">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优先选择具备中资企业服务经验、中英文双语服务、工程行业实操经验的财税代理机构，核心服务包含税务登记、月度/季度/年度申报、账务处理、审计对接、税务稽查应对、政策解读等。税务代理与代理记账的会计师事务所优先选择同一家。主要代理机构差异对比如下（未实地拜访过）：</w:t>
      </w:r>
    </w:p>
    <w:p w14:paraId="40D53061">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en-US" w:eastAsia="zh-CN"/>
        </w:rPr>
        <w:t>1、</w:t>
      </w:r>
      <w:r>
        <w:rPr>
          <w:rFonts w:hint="eastAsia"/>
          <w:sz w:val="24"/>
          <w:szCs w:val="28"/>
          <w:lang w:val="zh-CN" w:eastAsia="zh-CN"/>
        </w:rPr>
        <w:t>华人所：沙之星（Safari Star Tax Service LLC）、恒发（Forever Rich Accounting &amp; Tax Service LLC）</w:t>
      </w:r>
    </w:p>
    <w:p w14:paraId="00962F5E">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服务过多家工程类中资企业，熟悉中资企业需求，双语（中/英）对接，可提高沟通效率，跨境财税衔接较强，性价比偏高；懂当地基础合规，但复杂问题可能需本地合作，当地政府、业主对接能力偏弱。</w:t>
      </w:r>
    </w:p>
    <w:p w14:paraId="292513C9">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en-US" w:eastAsia="zh-CN"/>
        </w:rPr>
        <w:t>2、</w:t>
      </w:r>
      <w:r>
        <w:rPr>
          <w:rFonts w:hint="eastAsia"/>
          <w:sz w:val="24"/>
          <w:szCs w:val="28"/>
          <w:lang w:val="zh-CN" w:eastAsia="zh-CN"/>
        </w:rPr>
        <w:t>本土所：Escrow Consulting Group、AH Chartered Accountants、ProAct Chartered Accountants</w:t>
      </w:r>
    </w:p>
    <w:p w14:paraId="14B2E598">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本地合规深度高，当地政府、业主对接能力强，有中资工程案例经验；但英文对接可能影响沟通效率，跨境财税衔接较弱，性价比中等偏高。</w:t>
      </w:r>
    </w:p>
    <w:p w14:paraId="030991AD">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en-US" w:eastAsia="zh-CN"/>
        </w:rPr>
      </w:pPr>
      <w:r>
        <w:rPr>
          <w:rFonts w:hint="eastAsia"/>
          <w:sz w:val="24"/>
          <w:szCs w:val="28"/>
          <w:lang w:val="en-US" w:eastAsia="zh-CN"/>
        </w:rPr>
        <w:t>中国海诚北京公司</w:t>
      </w:r>
      <w:r>
        <w:rPr>
          <w:rFonts w:hint="eastAsia"/>
          <w:sz w:val="24"/>
          <w:szCs w:val="28"/>
          <w:lang w:val="zh-CN" w:eastAsia="zh-CN"/>
        </w:rPr>
        <w:t>合作过的税务代理/会计师事务所</w:t>
      </w:r>
      <w:r>
        <w:rPr>
          <w:rFonts w:hint="eastAsia"/>
          <w:sz w:val="24"/>
          <w:szCs w:val="28"/>
          <w:lang w:val="en-US" w:eastAsia="zh-CN"/>
        </w:rPr>
        <w:t>:</w:t>
      </w:r>
    </w:p>
    <w:p w14:paraId="6A953B43">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en-US" w:eastAsia="zh-CN"/>
        </w:rPr>
      </w:pPr>
      <w:r>
        <w:rPr>
          <w:rFonts w:hint="eastAsia"/>
          <w:sz w:val="24"/>
          <w:szCs w:val="28"/>
          <w:lang w:val="en-US" w:eastAsia="zh-CN"/>
        </w:rPr>
        <w:t>1、ACCUTAX CONSULTANCY-SOLE PROPRIETORSHIP L.L,C</w:t>
      </w:r>
    </w:p>
    <w:p w14:paraId="06DFFAD2">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en-US" w:eastAsia="zh-CN"/>
        </w:rPr>
      </w:pPr>
      <w:r>
        <w:rPr>
          <w:rFonts w:hint="eastAsia"/>
          <w:sz w:val="24"/>
          <w:szCs w:val="28"/>
          <w:lang w:val="en-US" w:eastAsia="zh-CN"/>
        </w:rPr>
        <w:t>联系人：Genevieve Landicho/Accounts gen@accutaxme.ae</w:t>
      </w:r>
    </w:p>
    <w:p w14:paraId="3984362D">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en-US" w:eastAsia="zh-CN"/>
        </w:rPr>
      </w:pPr>
      <w:r>
        <w:rPr>
          <w:rFonts w:hint="eastAsia"/>
          <w:sz w:val="24"/>
          <w:szCs w:val="28"/>
          <w:lang w:val="en-US" w:eastAsia="zh-CN"/>
        </w:rPr>
        <w:t>评价：业务内容全面，包含税务，代理记账，财务审计等服务；沟通较为便利，回复较为及时；资质专业，团队人员较多，服务专业性较好，账务报表和审计服务完成时间较长。负责公司代理记账、税务申报及财务审计工作。</w:t>
      </w:r>
    </w:p>
    <w:p w14:paraId="2E60E2C0">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default"/>
          <w:sz w:val="24"/>
          <w:szCs w:val="28"/>
          <w:lang w:val="en-US" w:eastAsia="zh-CN"/>
        </w:rPr>
      </w:pPr>
      <w:r>
        <w:rPr>
          <w:rFonts w:hint="eastAsia"/>
          <w:sz w:val="24"/>
          <w:szCs w:val="28"/>
          <w:lang w:val="en-US" w:eastAsia="zh-CN"/>
        </w:rPr>
        <w:t>2、</w:t>
      </w:r>
      <w:r>
        <w:rPr>
          <w:rFonts w:hint="default"/>
          <w:sz w:val="24"/>
          <w:szCs w:val="28"/>
          <w:lang w:val="en-US" w:eastAsia="zh-CN"/>
        </w:rPr>
        <w:t>Al Hamili And Partners Chartered Accountants</w:t>
      </w:r>
    </w:p>
    <w:p w14:paraId="3B5AF34D">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default"/>
          <w:sz w:val="24"/>
          <w:szCs w:val="28"/>
          <w:lang w:val="en-US" w:eastAsia="zh-CN"/>
        </w:rPr>
      </w:pPr>
      <w:r>
        <w:rPr>
          <w:rFonts w:hint="default"/>
          <w:sz w:val="24"/>
          <w:szCs w:val="28"/>
          <w:lang w:val="en-US" w:eastAsia="zh-CN"/>
        </w:rPr>
        <w:t>联系人：Al Hamili</w:t>
      </w:r>
      <w:r>
        <w:rPr>
          <w:rFonts w:hint="eastAsia"/>
          <w:sz w:val="24"/>
          <w:szCs w:val="28"/>
          <w:lang w:val="en-US" w:eastAsia="zh-CN"/>
        </w:rPr>
        <w:t>/</w:t>
      </w:r>
      <w:r>
        <w:rPr>
          <w:rFonts w:hint="default"/>
          <w:sz w:val="24"/>
          <w:szCs w:val="28"/>
          <w:lang w:val="en-US" w:eastAsia="zh-CN"/>
        </w:rPr>
        <w:t>alhamili_uae@yahoo.com</w:t>
      </w:r>
    </w:p>
    <w:p w14:paraId="7E5824CE">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default"/>
          <w:sz w:val="24"/>
          <w:szCs w:val="28"/>
          <w:lang w:val="en-US" w:eastAsia="zh-CN"/>
        </w:rPr>
      </w:pPr>
      <w:r>
        <w:rPr>
          <w:rFonts w:hint="default"/>
          <w:sz w:val="24"/>
          <w:szCs w:val="28"/>
          <w:lang w:val="en-US" w:eastAsia="zh-CN"/>
        </w:rPr>
        <w:t>评价：</w:t>
      </w:r>
      <w:r>
        <w:rPr>
          <w:rFonts w:hint="eastAsia"/>
          <w:sz w:val="24"/>
          <w:szCs w:val="28"/>
          <w:lang w:val="en-US" w:eastAsia="zh-CN"/>
        </w:rPr>
        <w:t>业务内容全面，包含税务，代理记账，财务审计等服务，</w:t>
      </w:r>
      <w:r>
        <w:rPr>
          <w:rFonts w:hint="default"/>
          <w:sz w:val="24"/>
          <w:szCs w:val="28"/>
          <w:lang w:val="en-US" w:eastAsia="zh-CN"/>
        </w:rPr>
        <w:t>服务专业性较好，事务所资质</w:t>
      </w:r>
      <w:r>
        <w:rPr>
          <w:rFonts w:hint="eastAsia"/>
          <w:sz w:val="24"/>
          <w:szCs w:val="28"/>
          <w:lang w:val="en-US" w:eastAsia="zh-CN"/>
        </w:rPr>
        <w:t>较高，审计/税务报告在海湾政府、银行认可度高</w:t>
      </w:r>
      <w:r>
        <w:rPr>
          <w:rFonts w:hint="default"/>
          <w:sz w:val="24"/>
          <w:szCs w:val="28"/>
          <w:lang w:val="en-US" w:eastAsia="zh-CN"/>
        </w:rPr>
        <w:t>。</w:t>
      </w:r>
      <w:r>
        <w:rPr>
          <w:rFonts w:hint="eastAsia"/>
          <w:sz w:val="24"/>
          <w:szCs w:val="28"/>
          <w:lang w:val="en-US" w:eastAsia="zh-CN"/>
        </w:rPr>
        <w:t>代理记账、税务申报未合作过，仅2022年负责境外财务报表审计，因公司直接对接审计机构效率较低，后公司将境外财务报表审计工作委托给代理记账公司负责，由代理记账公司直接与第三方审计机构沟通出具审计报告。</w:t>
      </w:r>
    </w:p>
    <w:p w14:paraId="4C5A6029">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目前，中国海诚北京公司合作的代理机构为阿联酋本土所，日常往来沟通为英文，沟通效率受对接人员英文水平、双方理解力影响。但</w:t>
      </w:r>
      <w:r>
        <w:rPr>
          <w:rFonts w:hint="eastAsia"/>
          <w:sz w:val="24"/>
          <w:szCs w:val="28"/>
          <w:lang w:val="en-US" w:eastAsia="zh-CN"/>
        </w:rPr>
        <w:t>北京</w:t>
      </w:r>
      <w:r>
        <w:rPr>
          <w:rFonts w:hint="eastAsia"/>
          <w:sz w:val="24"/>
          <w:szCs w:val="28"/>
          <w:lang w:val="zh-CN" w:eastAsia="zh-CN"/>
        </w:rPr>
        <w:t>公司未与当地华人所沟通合作过，对华人所和本土所之间的优劣缺少直观的对比，具体选择还需要结合各方面因素综合考虑。</w:t>
      </w:r>
    </w:p>
    <w:p w14:paraId="27ED70C2">
      <w:pPr>
        <w:pStyle w:val="5"/>
        <w:pageBreakBefore w:val="0"/>
        <w:widowControl/>
        <w:kinsoku/>
        <w:wordWrap/>
        <w:overflowPunct/>
        <w:topLinePunct w:val="0"/>
        <w:autoSpaceDE/>
        <w:autoSpaceDN/>
        <w:bidi w:val="0"/>
        <w:adjustRightInd/>
        <w:snapToGrid/>
        <w:jc w:val="both"/>
        <w:rPr>
          <w:rFonts w:ascii="微软雅黑" w:hAnsi="微软雅黑" w:eastAsia="微软雅黑"/>
          <w:color w:val="auto"/>
          <w:lang w:eastAsia="zh-CN"/>
        </w:rPr>
      </w:pPr>
      <w:bookmarkStart w:id="44" w:name="_Toc4548"/>
      <w:r>
        <w:rPr>
          <w:rFonts w:ascii="微软雅黑" w:hAnsi="微软雅黑" w:eastAsia="微软雅黑"/>
          <w:color w:val="auto"/>
          <w:lang w:val="zh-CN" w:eastAsia="zh-CN"/>
        </w:rPr>
        <w:t>5.1.5  具体项目案例</w:t>
      </w:r>
      <w:bookmarkEnd w:id="44"/>
    </w:p>
    <w:p w14:paraId="39B31B1C">
      <w:pPr>
        <w:pageBreakBefore w:val="0"/>
        <w:widowControl/>
        <w:kinsoku/>
        <w:wordWrap/>
        <w:overflowPunct/>
        <w:topLinePunct w:val="0"/>
        <w:autoSpaceDE/>
        <w:autoSpaceDN/>
        <w:bidi w:val="0"/>
        <w:adjustRightInd/>
        <w:snapToGrid/>
        <w:spacing w:after="80"/>
        <w:ind w:firstLine="480" w:firstLineChars="200"/>
        <w:jc w:val="both"/>
        <w:rPr>
          <w:rFonts w:hint="eastAsia"/>
          <w:b w:val="0"/>
          <w:bCs w:val="0"/>
          <w:iCs/>
          <w:sz w:val="24"/>
          <w:szCs w:val="24"/>
          <w:highlight w:val="none"/>
          <w:lang w:val="en-US" w:eastAsia="zh-CN"/>
        </w:rPr>
      </w:pPr>
      <w:r>
        <w:rPr>
          <w:rFonts w:hint="eastAsia"/>
          <w:b w:val="0"/>
          <w:bCs w:val="0"/>
          <w:iCs/>
          <w:sz w:val="24"/>
          <w:szCs w:val="24"/>
          <w:highlight w:val="none"/>
          <w:lang w:val="en-US" w:eastAsia="zh-CN"/>
        </w:rPr>
        <w:t>1、阿联酋IPM项目</w:t>
      </w:r>
    </w:p>
    <w:p w14:paraId="33AF634F">
      <w:pPr>
        <w:pageBreakBefore w:val="0"/>
        <w:widowControl/>
        <w:kinsoku/>
        <w:wordWrap/>
        <w:overflowPunct/>
        <w:topLinePunct w:val="0"/>
        <w:autoSpaceDE/>
        <w:autoSpaceDN/>
        <w:bidi w:val="0"/>
        <w:adjustRightInd/>
        <w:snapToGrid/>
        <w:spacing w:after="80"/>
        <w:ind w:firstLine="480" w:firstLineChars="200"/>
        <w:jc w:val="both"/>
        <w:rPr>
          <w:rFonts w:hint="eastAsia"/>
          <w:b w:val="0"/>
          <w:bCs w:val="0"/>
          <w:iCs/>
          <w:sz w:val="24"/>
          <w:szCs w:val="24"/>
          <w:highlight w:val="none"/>
          <w:lang w:val="en-US" w:eastAsia="zh-CN"/>
        </w:rPr>
      </w:pPr>
      <w:r>
        <w:rPr>
          <w:rFonts w:hint="eastAsia"/>
          <w:b w:val="0"/>
          <w:bCs w:val="0"/>
          <w:iCs/>
          <w:sz w:val="24"/>
          <w:szCs w:val="24"/>
          <w:highlight w:val="none"/>
          <w:lang w:val="en-US" w:eastAsia="zh-CN"/>
        </w:rPr>
        <w:t>项目简介：2016 年 4 月 6 日，北京公司和中国机械进出口有限公司（CMC）作为联合体，与 Ittihad Paper Mill 公司签订新建 30 万吨文化用纸的 EPC 项目合同，合同总价美元 23,350 万元。项目工期总体要求自合同签订后，业主发出开工日期通知 14 天起，在 22 个月内完成整体项目。2016 年 12 月 14 日，在获取当地政府部门的开工许可后，项目正式开工，2019年 7 月 17 日纸机开机出纸，2020 年 3 月 5 日取得 BCC（政府竣工证书）和 TOC（业主验收），多种因素最终导致该项目实际完成时间晚于计划交付时间 513 天。</w:t>
      </w:r>
    </w:p>
    <w:p w14:paraId="3C720B5A">
      <w:pPr>
        <w:pageBreakBefore w:val="0"/>
        <w:widowControl/>
        <w:kinsoku/>
        <w:wordWrap/>
        <w:overflowPunct/>
        <w:topLinePunct w:val="0"/>
        <w:autoSpaceDE/>
        <w:autoSpaceDN/>
        <w:bidi w:val="0"/>
        <w:adjustRightInd/>
        <w:snapToGrid/>
        <w:spacing w:after="80"/>
        <w:ind w:firstLine="480" w:firstLineChars="200"/>
        <w:jc w:val="both"/>
        <w:rPr>
          <w:rFonts w:hint="eastAsia"/>
          <w:b w:val="0"/>
          <w:bCs w:val="0"/>
          <w:iCs/>
          <w:sz w:val="24"/>
          <w:szCs w:val="24"/>
          <w:highlight w:val="none"/>
          <w:lang w:val="en-US" w:eastAsia="zh-CN"/>
        </w:rPr>
      </w:pPr>
      <w:r>
        <w:rPr>
          <w:rFonts w:hint="eastAsia"/>
          <w:b w:val="0"/>
          <w:bCs w:val="0"/>
          <w:iCs/>
          <w:sz w:val="24"/>
          <w:szCs w:val="24"/>
          <w:highlight w:val="none"/>
          <w:lang w:val="en-US" w:eastAsia="zh-CN"/>
        </w:rPr>
        <w:t>特别关注：</w:t>
      </w:r>
    </w:p>
    <w:p w14:paraId="623F0F51">
      <w:pPr>
        <w:pageBreakBefore w:val="0"/>
        <w:widowControl/>
        <w:kinsoku/>
        <w:wordWrap/>
        <w:overflowPunct/>
        <w:topLinePunct w:val="0"/>
        <w:autoSpaceDE/>
        <w:autoSpaceDN/>
        <w:bidi w:val="0"/>
        <w:adjustRightInd/>
        <w:snapToGrid/>
        <w:spacing w:after="80"/>
        <w:ind w:firstLine="240" w:firstLineChars="100"/>
        <w:jc w:val="both"/>
        <w:rPr>
          <w:rFonts w:hint="eastAsia"/>
          <w:b w:val="0"/>
          <w:bCs w:val="0"/>
          <w:iCs/>
          <w:sz w:val="24"/>
          <w:szCs w:val="24"/>
          <w:highlight w:val="none"/>
          <w:lang w:val="en-US" w:eastAsia="zh-CN"/>
        </w:rPr>
      </w:pPr>
      <w:r>
        <w:rPr>
          <w:rFonts w:hint="eastAsia"/>
          <w:b w:val="0"/>
          <w:bCs w:val="0"/>
          <w:iCs/>
          <w:sz w:val="24"/>
          <w:szCs w:val="24"/>
          <w:highlight w:val="none"/>
          <w:lang w:val="en-US" w:eastAsia="zh-CN"/>
        </w:rPr>
        <w:t>（1）当地政府手续办理对项目进度的影响：根据阿联酋当地要求，工程项目 100%交工才可以申请 BCC，只有拿到 BCC 才可以申请接入市政水电进行调试，从而完成 TOC（业主验收），如果一直拿不到BCC，则会导致项目工期出现延期风险。</w:t>
      </w:r>
    </w:p>
    <w:p w14:paraId="36041D21">
      <w:pPr>
        <w:pageBreakBefore w:val="0"/>
        <w:widowControl/>
        <w:kinsoku/>
        <w:wordWrap/>
        <w:overflowPunct/>
        <w:topLinePunct w:val="0"/>
        <w:autoSpaceDE/>
        <w:autoSpaceDN/>
        <w:bidi w:val="0"/>
        <w:adjustRightInd/>
        <w:snapToGrid/>
        <w:spacing w:after="80"/>
        <w:ind w:firstLine="240" w:firstLineChars="100"/>
        <w:jc w:val="both"/>
        <w:rPr>
          <w:rFonts w:hint="eastAsia"/>
          <w:b w:val="0"/>
          <w:bCs w:val="0"/>
          <w:iCs/>
          <w:sz w:val="24"/>
          <w:szCs w:val="24"/>
          <w:highlight w:val="none"/>
          <w:lang w:val="en-US" w:eastAsia="zh-CN"/>
        </w:rPr>
      </w:pPr>
      <w:r>
        <w:rPr>
          <w:rFonts w:hint="eastAsia"/>
          <w:b w:val="0"/>
          <w:bCs w:val="0"/>
          <w:iCs/>
          <w:sz w:val="24"/>
          <w:szCs w:val="24"/>
          <w:highlight w:val="none"/>
          <w:lang w:val="en-US" w:eastAsia="zh-CN"/>
        </w:rPr>
        <w:t>（2）无条件见索即付保函的风险：境外项目业主一般要求开立无条件见索即付保函，在此种情况下，对于：预付款保函，应设定收到预付款后生效，并随着预付款的递减而等比例释放保函；履约保函，应加入一定的第三方证据作为限制业主索赔的条件，并尽可能做到预付款保函与履约保函的有效期不重叠。</w:t>
      </w:r>
    </w:p>
    <w:p w14:paraId="505F6CE0">
      <w:pPr>
        <w:pageBreakBefore w:val="0"/>
        <w:widowControl/>
        <w:kinsoku/>
        <w:wordWrap/>
        <w:overflowPunct/>
        <w:topLinePunct w:val="0"/>
        <w:autoSpaceDE/>
        <w:autoSpaceDN/>
        <w:bidi w:val="0"/>
        <w:adjustRightInd/>
        <w:snapToGrid/>
        <w:spacing w:after="80"/>
        <w:ind w:firstLine="240" w:firstLineChars="100"/>
        <w:jc w:val="both"/>
        <w:rPr>
          <w:rFonts w:hint="eastAsia"/>
          <w:b w:val="0"/>
          <w:bCs w:val="0"/>
          <w:iCs/>
          <w:sz w:val="24"/>
          <w:szCs w:val="24"/>
          <w:highlight w:val="none"/>
          <w:lang w:val="en-US" w:eastAsia="zh-CN"/>
        </w:rPr>
      </w:pPr>
      <w:r>
        <w:rPr>
          <w:rFonts w:hint="eastAsia"/>
          <w:b w:val="0"/>
          <w:bCs w:val="0"/>
          <w:iCs/>
          <w:sz w:val="24"/>
          <w:szCs w:val="24"/>
          <w:highlight w:val="none"/>
          <w:lang w:val="en-US" w:eastAsia="zh-CN"/>
        </w:rPr>
        <w:t>（3）对供应商付款的约束问题：涉及大额设备采购时，一般要求供应商开立预付款保函与履约保函，此类情形建议与主合同保持一致。同时，在支付方式层面可以采取信用证付款的形式。当供应商提供的货物存在部分问题时，可以通过保函以及信用证交单审核等环节来进行索赔或对供应商付款进行限制。</w:t>
      </w:r>
    </w:p>
    <w:p w14:paraId="0C41FF93">
      <w:pPr>
        <w:pageBreakBefore w:val="0"/>
        <w:widowControl/>
        <w:kinsoku/>
        <w:wordWrap/>
        <w:overflowPunct/>
        <w:topLinePunct w:val="0"/>
        <w:autoSpaceDE/>
        <w:autoSpaceDN/>
        <w:bidi w:val="0"/>
        <w:adjustRightInd/>
        <w:snapToGrid/>
        <w:spacing w:after="80"/>
        <w:ind w:firstLine="240" w:firstLineChars="100"/>
        <w:jc w:val="both"/>
        <w:rPr>
          <w:rFonts w:hint="default"/>
          <w:b w:val="0"/>
          <w:bCs w:val="0"/>
          <w:iCs/>
          <w:sz w:val="24"/>
          <w:szCs w:val="24"/>
          <w:highlight w:val="none"/>
          <w:lang w:val="en-US" w:eastAsia="zh-CN"/>
        </w:rPr>
      </w:pPr>
      <w:r>
        <w:rPr>
          <w:rFonts w:hint="eastAsia"/>
          <w:b w:val="0"/>
          <w:bCs w:val="0"/>
          <w:iCs/>
          <w:sz w:val="24"/>
          <w:szCs w:val="24"/>
          <w:highlight w:val="none"/>
          <w:lang w:val="en-US" w:eastAsia="zh-CN"/>
        </w:rPr>
        <w:t>（4）税率变动对合同成本的影响：本项目签订合同时阿联酋当地无增值税，项目整体投标报价按照不含增值税成本测算。后项目实施过程中，阿联酋开始实施增值税规定，由于合同中并未约定增值税税率变动对合同总价调整的机制，导致额外承担增值税成本。因此，在合同签订时应注明增值税等税金变动时的调价机制，从而避免税务成本变动对项目总成本的影响。</w:t>
      </w:r>
    </w:p>
    <w:p w14:paraId="784FE946">
      <w:pPr>
        <w:pageBreakBefore w:val="0"/>
        <w:widowControl/>
        <w:kinsoku/>
        <w:wordWrap/>
        <w:overflowPunct/>
        <w:topLinePunct w:val="0"/>
        <w:autoSpaceDE/>
        <w:autoSpaceDN/>
        <w:bidi w:val="0"/>
        <w:adjustRightInd/>
        <w:snapToGrid/>
        <w:spacing w:after="80"/>
        <w:ind w:firstLine="480" w:firstLineChars="200"/>
        <w:jc w:val="both"/>
        <w:rPr>
          <w:rFonts w:hint="eastAsia"/>
          <w:b w:val="0"/>
          <w:bCs w:val="0"/>
          <w:iCs/>
          <w:sz w:val="24"/>
          <w:szCs w:val="24"/>
          <w:highlight w:val="none"/>
          <w:lang w:val="en-US" w:eastAsia="zh-CN"/>
        </w:rPr>
      </w:pPr>
      <w:r>
        <w:rPr>
          <w:rFonts w:hint="eastAsia"/>
          <w:b w:val="0"/>
          <w:bCs w:val="0"/>
          <w:iCs/>
          <w:sz w:val="24"/>
          <w:szCs w:val="24"/>
          <w:highlight w:val="none"/>
          <w:lang w:val="en-US" w:eastAsia="zh-CN"/>
        </w:rPr>
        <w:t>2、全球氟化工项目</w:t>
      </w:r>
    </w:p>
    <w:p w14:paraId="68D7704F">
      <w:pPr>
        <w:pageBreakBefore w:val="0"/>
        <w:widowControl/>
        <w:kinsoku/>
        <w:wordWrap/>
        <w:overflowPunct/>
        <w:topLinePunct w:val="0"/>
        <w:autoSpaceDE/>
        <w:autoSpaceDN/>
        <w:bidi w:val="0"/>
        <w:adjustRightInd/>
        <w:snapToGrid/>
        <w:spacing w:after="80"/>
        <w:ind w:firstLine="480" w:firstLineChars="200"/>
        <w:jc w:val="both"/>
        <w:rPr>
          <w:rFonts w:hint="default"/>
          <w:sz w:val="24"/>
          <w:szCs w:val="24"/>
          <w:lang w:val="en-US" w:eastAsia="zh-CN"/>
        </w:rPr>
      </w:pPr>
      <w:r>
        <w:rPr>
          <w:rFonts w:hint="eastAsia"/>
          <w:b w:val="0"/>
          <w:bCs w:val="0"/>
          <w:iCs/>
          <w:sz w:val="24"/>
          <w:szCs w:val="24"/>
          <w:highlight w:val="none"/>
          <w:lang w:val="en-US" w:eastAsia="zh-CN"/>
        </w:rPr>
        <w:t>项目简介：项目最终结算金额11,765万AED，北京公司子公司与阿布扎比当地业主签订合同，业主为</w:t>
      </w:r>
      <w:r>
        <w:rPr>
          <w:sz w:val="24"/>
          <w:szCs w:val="24"/>
        </w:rPr>
        <w:t>巨化集团有限公司在阿联酋设立</w:t>
      </w:r>
      <w:r>
        <w:rPr>
          <w:rFonts w:hint="eastAsia"/>
          <w:sz w:val="24"/>
          <w:szCs w:val="24"/>
        </w:rPr>
        <w:t>的一家控股子公司，开展化工项目的筹建</w:t>
      </w:r>
      <w:r>
        <w:rPr>
          <w:rFonts w:hint="eastAsia"/>
          <w:sz w:val="24"/>
          <w:szCs w:val="24"/>
          <w:lang w:eastAsia="zh-CN"/>
        </w:rPr>
        <w:t>。</w:t>
      </w:r>
      <w:r>
        <w:rPr>
          <w:rFonts w:hint="eastAsia"/>
          <w:sz w:val="24"/>
          <w:szCs w:val="24"/>
          <w:lang w:val="en-US" w:eastAsia="zh-CN"/>
        </w:rPr>
        <w:t>项目主要资金在当地收付，部分资金由中国母公司代收。</w:t>
      </w:r>
    </w:p>
    <w:p w14:paraId="7DEF8F16">
      <w:pPr>
        <w:pageBreakBefore w:val="0"/>
        <w:widowControl/>
        <w:kinsoku/>
        <w:wordWrap/>
        <w:overflowPunct/>
        <w:topLinePunct w:val="0"/>
        <w:autoSpaceDE/>
        <w:autoSpaceDN/>
        <w:bidi w:val="0"/>
        <w:adjustRightInd/>
        <w:snapToGrid/>
        <w:spacing w:after="80"/>
        <w:ind w:firstLine="480" w:firstLineChars="200"/>
        <w:jc w:val="both"/>
        <w:rPr>
          <w:rFonts w:hint="eastAsia"/>
          <w:b w:val="0"/>
          <w:bCs w:val="0"/>
          <w:iCs/>
          <w:sz w:val="24"/>
          <w:szCs w:val="24"/>
          <w:highlight w:val="none"/>
          <w:lang w:val="en-US" w:eastAsia="zh-CN"/>
        </w:rPr>
      </w:pPr>
      <w:r>
        <w:rPr>
          <w:rFonts w:hint="eastAsia"/>
          <w:b w:val="0"/>
          <w:bCs w:val="0"/>
          <w:iCs/>
          <w:sz w:val="24"/>
          <w:szCs w:val="24"/>
          <w:highlight w:val="none"/>
          <w:lang w:val="en-US" w:eastAsia="zh-CN"/>
        </w:rPr>
        <w:t>特别关注：</w:t>
      </w:r>
    </w:p>
    <w:p w14:paraId="269B7677">
      <w:pPr>
        <w:pageBreakBefore w:val="0"/>
        <w:widowControl/>
        <w:kinsoku/>
        <w:wordWrap/>
        <w:overflowPunct/>
        <w:topLinePunct w:val="0"/>
        <w:autoSpaceDE/>
        <w:autoSpaceDN/>
        <w:bidi w:val="0"/>
        <w:adjustRightInd/>
        <w:snapToGrid/>
        <w:spacing w:after="80"/>
        <w:ind w:firstLine="240" w:firstLineChars="100"/>
        <w:jc w:val="both"/>
        <w:rPr>
          <w:rFonts w:hint="eastAsia"/>
          <w:b w:val="0"/>
          <w:bCs w:val="0"/>
          <w:iCs/>
          <w:sz w:val="24"/>
          <w:szCs w:val="24"/>
          <w:highlight w:val="none"/>
          <w:lang w:val="en-US" w:eastAsia="zh-CN"/>
        </w:rPr>
      </w:pPr>
      <w:r>
        <w:rPr>
          <w:rFonts w:hint="eastAsia"/>
          <w:b w:val="0"/>
          <w:bCs w:val="0"/>
          <w:iCs/>
          <w:sz w:val="24"/>
          <w:szCs w:val="24"/>
          <w:highlight w:val="none"/>
          <w:lang w:val="en-US" w:eastAsia="zh-CN"/>
        </w:rPr>
        <w:t>（1）合同主体与资质一致性问题：在阿布扎比当地开展工程业务需要具备当地资质，而只有当地注册成立的机构，包括分公司与子公司，才具备当地施工资质。最初考虑到降低境外资金留存的目的，拟采用国内母公司与业主签约的模式，因母公司不具备资质，进而采用境外公司与业主签约，确保合规。</w:t>
      </w:r>
    </w:p>
    <w:p w14:paraId="7EEAB037">
      <w:pPr>
        <w:pageBreakBefore w:val="0"/>
        <w:widowControl/>
        <w:kinsoku/>
        <w:wordWrap/>
        <w:overflowPunct/>
        <w:topLinePunct w:val="0"/>
        <w:autoSpaceDE/>
        <w:autoSpaceDN/>
        <w:bidi w:val="0"/>
        <w:adjustRightInd/>
        <w:snapToGrid/>
        <w:spacing w:after="80"/>
        <w:ind w:firstLine="240" w:firstLineChars="100"/>
        <w:jc w:val="both"/>
        <w:rPr>
          <w:rFonts w:hint="eastAsia"/>
          <w:b w:val="0"/>
          <w:bCs w:val="0"/>
          <w:iCs/>
          <w:sz w:val="24"/>
          <w:szCs w:val="24"/>
          <w:highlight w:val="none"/>
          <w:lang w:val="en-US" w:eastAsia="zh-CN"/>
        </w:rPr>
      </w:pPr>
      <w:r>
        <w:rPr>
          <w:rFonts w:hint="eastAsia"/>
          <w:b w:val="0"/>
          <w:bCs w:val="0"/>
          <w:iCs/>
          <w:sz w:val="24"/>
          <w:szCs w:val="24"/>
          <w:highlight w:val="none"/>
          <w:lang w:val="en-US" w:eastAsia="zh-CN"/>
        </w:rPr>
        <w:t>（2）降低境外留存资金的问题：由于阿联酋非外汇管制国家，资金汇入汇出相对自由。子公司签约时，项目款均收在当地，为减少境外资金留存，在与业主谈定合同时，在合同中约定了业主将部分工程款支付到国内母公司，由国内母公司代境外子公司收取。</w:t>
      </w:r>
    </w:p>
    <w:p w14:paraId="43D81389">
      <w:pPr>
        <w:pageBreakBefore w:val="0"/>
        <w:widowControl/>
        <w:kinsoku/>
        <w:wordWrap/>
        <w:overflowPunct/>
        <w:topLinePunct w:val="0"/>
        <w:autoSpaceDE/>
        <w:autoSpaceDN/>
        <w:bidi w:val="0"/>
        <w:adjustRightInd/>
        <w:snapToGrid/>
        <w:spacing w:after="80"/>
        <w:ind w:firstLine="240" w:firstLineChars="100"/>
        <w:jc w:val="both"/>
        <w:rPr>
          <w:rFonts w:hint="default"/>
          <w:b w:val="0"/>
          <w:bCs w:val="0"/>
          <w:iCs/>
          <w:sz w:val="24"/>
          <w:szCs w:val="24"/>
          <w:highlight w:val="none"/>
          <w:lang w:val="en-US" w:eastAsia="zh-CN"/>
        </w:rPr>
      </w:pPr>
      <w:r>
        <w:rPr>
          <w:rFonts w:hint="eastAsia"/>
          <w:b w:val="0"/>
          <w:bCs w:val="0"/>
          <w:iCs/>
          <w:sz w:val="24"/>
          <w:szCs w:val="24"/>
          <w:highlight w:val="none"/>
          <w:lang w:val="en-US" w:eastAsia="zh-CN"/>
        </w:rPr>
        <w:t>（3）当地税务申报合规性问题：尽管部分项目款不是通过境外子公司直接收取，但是开具给业主的发票为子公司全额开具，当地企业所得税、增值税申报均需按照项目整体在当地进行申报缴税。</w:t>
      </w:r>
    </w:p>
    <w:p w14:paraId="2DE60413">
      <w:pPr>
        <w:pStyle w:val="4"/>
        <w:pageBreakBefore w:val="0"/>
        <w:widowControl/>
        <w:kinsoku/>
        <w:wordWrap/>
        <w:overflowPunct/>
        <w:topLinePunct w:val="0"/>
        <w:autoSpaceDE/>
        <w:autoSpaceDN/>
        <w:bidi w:val="0"/>
        <w:adjustRightInd/>
        <w:snapToGrid/>
        <w:jc w:val="both"/>
        <w:rPr>
          <w:rFonts w:ascii="微软雅黑" w:hAnsi="微软雅黑" w:eastAsia="微软雅黑"/>
          <w:color w:val="auto"/>
          <w:lang w:eastAsia="zh-CN"/>
        </w:rPr>
      </w:pPr>
      <w:bookmarkStart w:id="45" w:name="_Toc15776"/>
      <w:r>
        <w:rPr>
          <w:rFonts w:ascii="微软雅黑" w:hAnsi="微软雅黑" w:eastAsia="微软雅黑"/>
          <w:color w:val="auto"/>
          <w:lang w:val="zh-CN" w:eastAsia="zh-CN"/>
        </w:rPr>
        <w:t>5.2  建设实施阶段</w:t>
      </w:r>
      <w:bookmarkEnd w:id="45"/>
    </w:p>
    <w:p w14:paraId="6C37138F">
      <w:pPr>
        <w:pStyle w:val="5"/>
        <w:pageBreakBefore w:val="0"/>
        <w:widowControl/>
        <w:kinsoku/>
        <w:wordWrap/>
        <w:overflowPunct/>
        <w:topLinePunct w:val="0"/>
        <w:autoSpaceDE/>
        <w:autoSpaceDN/>
        <w:bidi w:val="0"/>
        <w:adjustRightInd/>
        <w:snapToGrid/>
        <w:jc w:val="both"/>
        <w:rPr>
          <w:rFonts w:ascii="微软雅黑" w:hAnsi="微软雅黑" w:eastAsia="微软雅黑"/>
          <w:color w:val="auto"/>
          <w:lang w:eastAsia="zh-CN"/>
        </w:rPr>
      </w:pPr>
      <w:bookmarkStart w:id="46" w:name="_Toc18266"/>
      <w:r>
        <w:rPr>
          <w:rFonts w:ascii="微软雅黑" w:hAnsi="微软雅黑" w:eastAsia="微软雅黑"/>
          <w:color w:val="auto"/>
          <w:lang w:val="zh-CN" w:eastAsia="zh-CN"/>
        </w:rPr>
        <w:t>5.2.1  会计核算管理</w:t>
      </w:r>
      <w:bookmarkEnd w:id="46"/>
    </w:p>
    <w:p w14:paraId="17AD625C">
      <w:pPr>
        <w:keepNext w:val="0"/>
        <w:keepLines w:val="0"/>
        <w:pageBreakBefore w:val="0"/>
        <w:widowControl/>
        <w:numPr>
          <w:ilvl w:val="0"/>
          <w:numId w:val="0"/>
        </w:numPr>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en-US" w:eastAsia="zh-CN"/>
        </w:rPr>
      </w:pPr>
      <w:r>
        <w:rPr>
          <w:rFonts w:hint="eastAsia"/>
          <w:sz w:val="24"/>
          <w:szCs w:val="28"/>
          <w:lang w:val="en-US" w:eastAsia="zh-CN"/>
        </w:rPr>
        <w:t>1、境外账务（阿联酋当地账）</w:t>
      </w:r>
    </w:p>
    <w:p w14:paraId="645A9A00">
      <w:pPr>
        <w:keepNext w:val="0"/>
        <w:keepLines w:val="0"/>
        <w:pageBreakBefore w:val="0"/>
        <w:widowControl/>
        <w:numPr>
          <w:ilvl w:val="0"/>
          <w:numId w:val="0"/>
        </w:numPr>
        <w:kinsoku/>
        <w:wordWrap/>
        <w:overflowPunct/>
        <w:topLinePunct w:val="0"/>
        <w:autoSpaceDE/>
        <w:autoSpaceDN/>
        <w:bidi w:val="0"/>
        <w:adjustRightInd/>
        <w:snapToGrid/>
        <w:spacing w:before="40" w:after="40"/>
        <w:ind w:firstLine="240" w:firstLineChars="100"/>
        <w:jc w:val="both"/>
        <w:textAlignment w:val="auto"/>
        <w:rPr>
          <w:rFonts w:hint="eastAsia"/>
          <w:sz w:val="24"/>
          <w:szCs w:val="28"/>
          <w:lang w:val="en-US" w:eastAsia="zh-CN"/>
        </w:rPr>
      </w:pPr>
      <w:r>
        <w:rPr>
          <w:rFonts w:hint="eastAsia"/>
          <w:sz w:val="24"/>
          <w:szCs w:val="28"/>
          <w:lang w:val="en-US" w:eastAsia="zh-CN"/>
        </w:rPr>
        <w:t>（1）记账安排：</w:t>
      </w:r>
    </w:p>
    <w:p w14:paraId="6B4766C1">
      <w:pPr>
        <w:keepNext w:val="0"/>
        <w:keepLines w:val="0"/>
        <w:pageBreakBefore w:val="0"/>
        <w:widowControl/>
        <w:numPr>
          <w:ilvl w:val="0"/>
          <w:numId w:val="0"/>
        </w:numPr>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en-US" w:eastAsia="zh-CN"/>
        </w:rPr>
      </w:pPr>
      <w:r>
        <w:rPr>
          <w:rFonts w:hint="eastAsia"/>
          <w:sz w:val="24"/>
          <w:szCs w:val="28"/>
          <w:lang w:val="en-US" w:eastAsia="zh-CN"/>
        </w:rPr>
        <w:t>每月项目财务将当月分/子公司在阿联酋当地发生的收支凭据按照代理记账公司所需的文件要求，提交文件扫描件给代理记账公司，代理记账公司按当地会计准则要求进行账务处理。项目财务复核代理记账公司账务处理结果，并与代理记账公司沟通特殊事项。代理记账公司按照项目财务复核结果出具报表，项目财务按照代理记账结果进行凭证归档。</w:t>
      </w:r>
    </w:p>
    <w:p w14:paraId="3222114F">
      <w:pPr>
        <w:keepNext w:val="0"/>
        <w:keepLines w:val="0"/>
        <w:pageBreakBefore w:val="0"/>
        <w:widowControl/>
        <w:numPr>
          <w:ilvl w:val="0"/>
          <w:numId w:val="0"/>
        </w:numPr>
        <w:kinsoku/>
        <w:wordWrap/>
        <w:overflowPunct/>
        <w:topLinePunct w:val="0"/>
        <w:autoSpaceDE/>
        <w:autoSpaceDN/>
        <w:bidi w:val="0"/>
        <w:adjustRightInd/>
        <w:snapToGrid/>
        <w:spacing w:before="40" w:after="40"/>
        <w:ind w:firstLine="240" w:firstLineChars="100"/>
        <w:jc w:val="both"/>
        <w:textAlignment w:val="auto"/>
        <w:rPr>
          <w:rFonts w:hint="eastAsia"/>
          <w:sz w:val="24"/>
          <w:szCs w:val="28"/>
          <w:lang w:val="en-US" w:eastAsia="zh-CN"/>
        </w:rPr>
      </w:pPr>
      <w:r>
        <w:rPr>
          <w:rFonts w:hint="eastAsia"/>
          <w:sz w:val="24"/>
          <w:szCs w:val="28"/>
          <w:lang w:val="en-US" w:eastAsia="zh-CN"/>
        </w:rPr>
        <w:t>（2）会计期间：公历1月1日-12月31日。</w:t>
      </w:r>
    </w:p>
    <w:p w14:paraId="58621C0A">
      <w:pPr>
        <w:keepNext w:val="0"/>
        <w:keepLines w:val="0"/>
        <w:pageBreakBefore w:val="0"/>
        <w:widowControl/>
        <w:numPr>
          <w:ilvl w:val="0"/>
          <w:numId w:val="0"/>
        </w:numPr>
        <w:kinsoku/>
        <w:wordWrap/>
        <w:overflowPunct/>
        <w:topLinePunct w:val="0"/>
        <w:autoSpaceDE/>
        <w:autoSpaceDN/>
        <w:bidi w:val="0"/>
        <w:adjustRightInd/>
        <w:snapToGrid/>
        <w:spacing w:before="40" w:after="40"/>
        <w:ind w:firstLine="240" w:firstLineChars="100"/>
        <w:jc w:val="both"/>
        <w:textAlignment w:val="auto"/>
        <w:rPr>
          <w:rFonts w:hint="eastAsia"/>
          <w:sz w:val="24"/>
          <w:szCs w:val="28"/>
          <w:lang w:val="en-US" w:eastAsia="zh-CN"/>
        </w:rPr>
      </w:pPr>
      <w:r>
        <w:rPr>
          <w:rFonts w:hint="eastAsia"/>
          <w:sz w:val="24"/>
          <w:szCs w:val="28"/>
          <w:lang w:val="en-US" w:eastAsia="zh-CN"/>
        </w:rPr>
        <w:t>（3）具体核算：核心是属地化核算、权责发生制、本地税务合规。</w:t>
      </w:r>
    </w:p>
    <w:p w14:paraId="050AEEFC">
      <w:pPr>
        <w:keepNext w:val="0"/>
        <w:keepLines w:val="0"/>
        <w:pageBreakBefore w:val="0"/>
        <w:widowControl/>
        <w:numPr>
          <w:ilvl w:val="0"/>
          <w:numId w:val="0"/>
        </w:numPr>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en-US" w:eastAsia="zh-CN"/>
        </w:rPr>
      </w:pPr>
      <w:r>
        <w:rPr>
          <w:rFonts w:hint="eastAsia"/>
          <w:sz w:val="24"/>
          <w:szCs w:val="28"/>
          <w:lang w:val="en-US" w:eastAsia="zh-CN"/>
        </w:rPr>
        <w:t>收入确认，按照国际财务报告准则要求进行收入确认，提供完工量单、发票等支撑材料。</w:t>
      </w:r>
    </w:p>
    <w:p w14:paraId="6E93FCF8">
      <w:pPr>
        <w:keepNext w:val="0"/>
        <w:keepLines w:val="0"/>
        <w:pageBreakBefore w:val="0"/>
        <w:widowControl/>
        <w:numPr>
          <w:ilvl w:val="0"/>
          <w:numId w:val="0"/>
        </w:numPr>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en-US" w:eastAsia="zh-CN"/>
        </w:rPr>
      </w:pPr>
      <w:r>
        <w:rPr>
          <w:rFonts w:hint="eastAsia"/>
          <w:sz w:val="24"/>
          <w:szCs w:val="28"/>
          <w:lang w:val="en-US" w:eastAsia="zh-CN"/>
        </w:rPr>
        <w:t>成本归集，主要涉及属地分包成本归集、分/子公司行政管理费用、员工薪酬福利、税费社保、资产折旧摊销等方面。其中：属地分包成本归集与分/子公司行政管理费用，必须取得在阿联酋注册、取得商业执照的公司开具的本地增值税发票，否则票据不合规，不得入账；员工薪酬福利按照每月分/子公司外账工资表所列明细进行账务处理，注意薪酬福利应按人员类型分开核算；各项税费及社保按照实际申报缴纳金额进行账务处理；资产折旧摊销按照当地要求的摊销比例按月计提折旧摊销。</w:t>
      </w:r>
    </w:p>
    <w:p w14:paraId="1FBDC71B">
      <w:pPr>
        <w:keepNext w:val="0"/>
        <w:keepLines w:val="0"/>
        <w:pageBreakBefore w:val="0"/>
        <w:widowControl/>
        <w:numPr>
          <w:ilvl w:val="0"/>
          <w:numId w:val="0"/>
        </w:numPr>
        <w:kinsoku/>
        <w:wordWrap/>
        <w:overflowPunct/>
        <w:topLinePunct w:val="0"/>
        <w:autoSpaceDE/>
        <w:autoSpaceDN/>
        <w:bidi w:val="0"/>
        <w:adjustRightInd/>
        <w:snapToGrid/>
        <w:spacing w:before="40" w:after="40"/>
        <w:ind w:firstLine="240" w:firstLineChars="100"/>
        <w:jc w:val="both"/>
        <w:textAlignment w:val="auto"/>
        <w:rPr>
          <w:rFonts w:hint="default"/>
          <w:sz w:val="24"/>
          <w:szCs w:val="28"/>
          <w:lang w:val="en-US" w:eastAsia="zh-CN"/>
        </w:rPr>
      </w:pPr>
      <w:r>
        <w:rPr>
          <w:rFonts w:hint="eastAsia"/>
          <w:sz w:val="24"/>
          <w:szCs w:val="28"/>
          <w:lang w:val="en-US" w:eastAsia="zh-CN"/>
        </w:rPr>
        <w:t>（4）年度审计：次年6月底前需完成财务报表审计，经具有阿联酋执业资格的会计师事务所出具审计报告。</w:t>
      </w:r>
    </w:p>
    <w:p w14:paraId="77D72B68">
      <w:pPr>
        <w:keepNext w:val="0"/>
        <w:keepLines w:val="0"/>
        <w:pageBreakBefore w:val="0"/>
        <w:widowControl/>
        <w:numPr>
          <w:ilvl w:val="0"/>
          <w:numId w:val="0"/>
        </w:numPr>
        <w:kinsoku/>
        <w:wordWrap/>
        <w:overflowPunct/>
        <w:topLinePunct w:val="0"/>
        <w:autoSpaceDE/>
        <w:autoSpaceDN/>
        <w:bidi w:val="0"/>
        <w:adjustRightInd/>
        <w:snapToGrid/>
        <w:spacing w:before="40" w:after="40"/>
        <w:ind w:firstLine="480" w:firstLineChars="200"/>
        <w:jc w:val="both"/>
        <w:textAlignment w:val="auto"/>
        <w:rPr>
          <w:rFonts w:hint="default"/>
          <w:sz w:val="24"/>
          <w:szCs w:val="28"/>
          <w:lang w:val="en-US" w:eastAsia="zh-CN"/>
        </w:rPr>
      </w:pPr>
      <w:r>
        <w:rPr>
          <w:rFonts w:hint="eastAsia"/>
          <w:sz w:val="24"/>
          <w:szCs w:val="28"/>
          <w:lang w:val="en-US" w:eastAsia="zh-CN"/>
        </w:rPr>
        <w:t>2、境内账务</w:t>
      </w:r>
    </w:p>
    <w:p w14:paraId="5C610C43">
      <w:pPr>
        <w:keepNext w:val="0"/>
        <w:keepLines w:val="0"/>
        <w:pageBreakBefore w:val="0"/>
        <w:widowControl/>
        <w:numPr>
          <w:ilvl w:val="0"/>
          <w:numId w:val="0"/>
        </w:numPr>
        <w:kinsoku/>
        <w:wordWrap/>
        <w:overflowPunct/>
        <w:topLinePunct w:val="0"/>
        <w:autoSpaceDE/>
        <w:autoSpaceDN/>
        <w:bidi w:val="0"/>
        <w:adjustRightInd/>
        <w:snapToGrid/>
        <w:spacing w:before="40" w:after="40"/>
        <w:ind w:firstLine="240" w:firstLineChars="100"/>
        <w:jc w:val="both"/>
        <w:textAlignment w:val="auto"/>
        <w:rPr>
          <w:rFonts w:hint="default"/>
          <w:sz w:val="24"/>
          <w:szCs w:val="28"/>
          <w:lang w:val="en-US" w:eastAsia="zh-CN"/>
        </w:rPr>
      </w:pPr>
      <w:r>
        <w:rPr>
          <w:rFonts w:hint="eastAsia"/>
          <w:sz w:val="24"/>
          <w:szCs w:val="28"/>
          <w:lang w:val="en-US" w:eastAsia="zh-CN"/>
        </w:rPr>
        <w:t>（1）</w:t>
      </w:r>
      <w:r>
        <w:rPr>
          <w:rFonts w:hint="default"/>
          <w:sz w:val="24"/>
          <w:szCs w:val="28"/>
          <w:lang w:val="en-US" w:eastAsia="zh-CN"/>
        </w:rPr>
        <w:t>基本方式：</w:t>
      </w:r>
    </w:p>
    <w:p w14:paraId="771CAC40">
      <w:pPr>
        <w:keepNext w:val="0"/>
        <w:keepLines w:val="0"/>
        <w:pageBreakBefore w:val="0"/>
        <w:widowControl/>
        <w:numPr>
          <w:ilvl w:val="0"/>
          <w:numId w:val="0"/>
        </w:numPr>
        <w:kinsoku/>
        <w:wordWrap/>
        <w:overflowPunct/>
        <w:topLinePunct w:val="0"/>
        <w:autoSpaceDE/>
        <w:autoSpaceDN/>
        <w:bidi w:val="0"/>
        <w:adjustRightInd/>
        <w:snapToGrid/>
        <w:spacing w:before="40" w:after="40"/>
        <w:ind w:firstLine="480" w:firstLineChars="200"/>
        <w:jc w:val="both"/>
        <w:textAlignment w:val="auto"/>
        <w:rPr>
          <w:rFonts w:hint="default"/>
          <w:sz w:val="24"/>
          <w:szCs w:val="28"/>
          <w:lang w:val="en-US" w:eastAsia="zh-CN"/>
        </w:rPr>
      </w:pPr>
      <w:r>
        <w:rPr>
          <w:rFonts w:hint="default"/>
          <w:sz w:val="24"/>
          <w:szCs w:val="28"/>
          <w:lang w:val="en-US" w:eastAsia="zh-CN"/>
        </w:rPr>
        <w:t>项目财务负责各项账务处理，与</w:t>
      </w:r>
      <w:r>
        <w:rPr>
          <w:rFonts w:hint="eastAsia"/>
          <w:sz w:val="24"/>
          <w:szCs w:val="28"/>
          <w:lang w:val="en-US" w:eastAsia="zh-CN"/>
        </w:rPr>
        <w:t>总/母公司</w:t>
      </w:r>
      <w:r>
        <w:rPr>
          <w:rFonts w:hint="default"/>
          <w:sz w:val="24"/>
          <w:szCs w:val="28"/>
          <w:lang w:val="en-US" w:eastAsia="zh-CN"/>
        </w:rPr>
        <w:t>各项账务处理保持一致，遵循中国海诚《会计核算标准化指导手册》要求，并编制内账报表交</w:t>
      </w:r>
      <w:r>
        <w:rPr>
          <w:rFonts w:hint="eastAsia"/>
          <w:sz w:val="24"/>
          <w:szCs w:val="28"/>
          <w:lang w:val="en-US" w:eastAsia="zh-CN"/>
        </w:rPr>
        <w:t>总/母公司</w:t>
      </w:r>
      <w:r>
        <w:rPr>
          <w:rFonts w:hint="default"/>
          <w:sz w:val="24"/>
          <w:szCs w:val="28"/>
          <w:lang w:val="en-US" w:eastAsia="zh-CN"/>
        </w:rPr>
        <w:t>总账会计合并。</w:t>
      </w:r>
    </w:p>
    <w:p w14:paraId="5848330D">
      <w:pPr>
        <w:keepNext w:val="0"/>
        <w:keepLines w:val="0"/>
        <w:pageBreakBefore w:val="0"/>
        <w:widowControl/>
        <w:numPr>
          <w:ilvl w:val="0"/>
          <w:numId w:val="0"/>
        </w:numPr>
        <w:kinsoku/>
        <w:wordWrap/>
        <w:overflowPunct/>
        <w:topLinePunct w:val="0"/>
        <w:autoSpaceDE/>
        <w:autoSpaceDN/>
        <w:bidi w:val="0"/>
        <w:adjustRightInd/>
        <w:snapToGrid/>
        <w:spacing w:before="40" w:after="40"/>
        <w:ind w:firstLine="240" w:firstLineChars="100"/>
        <w:jc w:val="both"/>
        <w:textAlignment w:val="auto"/>
        <w:rPr>
          <w:rFonts w:hint="default"/>
          <w:sz w:val="24"/>
          <w:szCs w:val="28"/>
          <w:lang w:val="en-US" w:eastAsia="zh-CN"/>
        </w:rPr>
      </w:pPr>
      <w:r>
        <w:rPr>
          <w:rFonts w:hint="eastAsia"/>
          <w:sz w:val="24"/>
          <w:szCs w:val="28"/>
          <w:lang w:val="en-US" w:eastAsia="zh-CN"/>
        </w:rPr>
        <w:t>（2）</w:t>
      </w:r>
      <w:r>
        <w:rPr>
          <w:rFonts w:hint="default"/>
          <w:sz w:val="24"/>
          <w:szCs w:val="28"/>
          <w:lang w:val="en-US" w:eastAsia="zh-CN"/>
        </w:rPr>
        <w:t>总</w:t>
      </w:r>
      <w:r>
        <w:rPr>
          <w:rFonts w:hint="eastAsia"/>
          <w:sz w:val="24"/>
          <w:szCs w:val="28"/>
          <w:lang w:val="en-US" w:eastAsia="zh-CN"/>
        </w:rPr>
        <w:t>/母公司</w:t>
      </w:r>
      <w:r>
        <w:rPr>
          <w:rFonts w:hint="default"/>
          <w:sz w:val="24"/>
          <w:szCs w:val="28"/>
          <w:lang w:val="en-US" w:eastAsia="zh-CN"/>
        </w:rPr>
        <w:t>代付费用</w:t>
      </w:r>
    </w:p>
    <w:p w14:paraId="028E27D5">
      <w:pPr>
        <w:keepNext w:val="0"/>
        <w:keepLines w:val="0"/>
        <w:pageBreakBefore w:val="0"/>
        <w:widowControl/>
        <w:numPr>
          <w:ilvl w:val="0"/>
          <w:numId w:val="0"/>
        </w:numPr>
        <w:kinsoku/>
        <w:wordWrap/>
        <w:overflowPunct/>
        <w:topLinePunct w:val="0"/>
        <w:autoSpaceDE/>
        <w:autoSpaceDN/>
        <w:bidi w:val="0"/>
        <w:adjustRightInd/>
        <w:snapToGrid/>
        <w:spacing w:before="40" w:after="40"/>
        <w:ind w:firstLine="480" w:firstLineChars="200"/>
        <w:jc w:val="both"/>
        <w:textAlignment w:val="auto"/>
        <w:rPr>
          <w:rFonts w:hint="default"/>
          <w:sz w:val="24"/>
          <w:szCs w:val="28"/>
          <w:lang w:val="en-US" w:eastAsia="zh-CN"/>
        </w:rPr>
      </w:pPr>
      <w:r>
        <w:rPr>
          <w:rFonts w:hint="default"/>
          <w:sz w:val="24"/>
          <w:szCs w:val="28"/>
          <w:lang w:val="en-US" w:eastAsia="zh-CN"/>
        </w:rPr>
        <w:t>由于存在应归属于分</w:t>
      </w:r>
      <w:r>
        <w:rPr>
          <w:rFonts w:hint="eastAsia"/>
          <w:sz w:val="24"/>
          <w:szCs w:val="28"/>
          <w:lang w:val="en-US" w:eastAsia="zh-CN"/>
        </w:rPr>
        <w:t>/</w:t>
      </w:r>
      <w:r>
        <w:rPr>
          <w:rFonts w:hint="default"/>
          <w:sz w:val="24"/>
          <w:szCs w:val="28"/>
          <w:lang w:val="en-US" w:eastAsia="zh-CN"/>
        </w:rPr>
        <w:t>子公司业务在中国发生的支出，该类支出由总</w:t>
      </w:r>
      <w:r>
        <w:rPr>
          <w:rFonts w:hint="eastAsia"/>
          <w:sz w:val="24"/>
          <w:szCs w:val="28"/>
          <w:lang w:val="en-US" w:eastAsia="zh-CN"/>
        </w:rPr>
        <w:t>/母公司</w:t>
      </w:r>
      <w:r>
        <w:rPr>
          <w:rFonts w:hint="default"/>
          <w:sz w:val="24"/>
          <w:szCs w:val="28"/>
          <w:lang w:val="en-US" w:eastAsia="zh-CN"/>
        </w:rPr>
        <w:t>代付，费用承担主体应为分/子公司，且票据无法归集到外账中。因此，在内账中作为</w:t>
      </w:r>
      <w:r>
        <w:rPr>
          <w:rFonts w:hint="eastAsia"/>
          <w:sz w:val="24"/>
          <w:szCs w:val="28"/>
          <w:lang w:val="en-US" w:eastAsia="zh-CN"/>
        </w:rPr>
        <w:t>总/母公司</w:t>
      </w:r>
      <w:r>
        <w:rPr>
          <w:rFonts w:hint="default"/>
          <w:sz w:val="24"/>
          <w:szCs w:val="28"/>
          <w:lang w:val="en-US" w:eastAsia="zh-CN"/>
        </w:rPr>
        <w:t>代</w:t>
      </w:r>
      <w:r>
        <w:rPr>
          <w:rFonts w:hint="eastAsia"/>
          <w:sz w:val="24"/>
          <w:szCs w:val="28"/>
          <w:lang w:val="en-US" w:eastAsia="zh-CN"/>
        </w:rPr>
        <w:t>分/</w:t>
      </w:r>
      <w:r>
        <w:rPr>
          <w:rFonts w:hint="default"/>
          <w:sz w:val="24"/>
          <w:szCs w:val="28"/>
          <w:lang w:val="en-US" w:eastAsia="zh-CN"/>
        </w:rPr>
        <w:t>子公司支付的相关费用，记双方往来。</w:t>
      </w:r>
    </w:p>
    <w:p w14:paraId="4CD3E66D">
      <w:pPr>
        <w:keepNext w:val="0"/>
        <w:keepLines w:val="0"/>
        <w:pageBreakBefore w:val="0"/>
        <w:widowControl/>
        <w:numPr>
          <w:ilvl w:val="0"/>
          <w:numId w:val="0"/>
        </w:numPr>
        <w:kinsoku/>
        <w:wordWrap/>
        <w:overflowPunct/>
        <w:topLinePunct w:val="0"/>
        <w:autoSpaceDE/>
        <w:autoSpaceDN/>
        <w:bidi w:val="0"/>
        <w:adjustRightInd/>
        <w:snapToGrid/>
        <w:spacing w:before="40" w:after="40"/>
        <w:ind w:leftChars="200"/>
        <w:jc w:val="both"/>
        <w:textAlignment w:val="auto"/>
        <w:rPr>
          <w:rFonts w:hint="default"/>
          <w:sz w:val="24"/>
          <w:szCs w:val="28"/>
          <w:lang w:val="en-US" w:eastAsia="zh-CN"/>
        </w:rPr>
      </w:pPr>
      <w:r>
        <w:rPr>
          <w:rFonts w:hint="eastAsia"/>
          <w:sz w:val="24"/>
          <w:szCs w:val="28"/>
          <w:lang w:val="en-US" w:eastAsia="zh-CN"/>
        </w:rPr>
        <w:t>3、</w:t>
      </w:r>
      <w:r>
        <w:rPr>
          <w:rFonts w:hint="default"/>
          <w:sz w:val="24"/>
          <w:szCs w:val="28"/>
          <w:lang w:val="en-US" w:eastAsia="zh-CN"/>
        </w:rPr>
        <w:t>档案管理</w:t>
      </w:r>
    </w:p>
    <w:p w14:paraId="74A3CEEB">
      <w:pPr>
        <w:keepNext w:val="0"/>
        <w:keepLines w:val="0"/>
        <w:pageBreakBefore w:val="0"/>
        <w:widowControl/>
        <w:numPr>
          <w:ilvl w:val="0"/>
          <w:numId w:val="0"/>
        </w:numPr>
        <w:kinsoku/>
        <w:wordWrap/>
        <w:overflowPunct/>
        <w:topLinePunct w:val="0"/>
        <w:autoSpaceDE/>
        <w:autoSpaceDN/>
        <w:bidi w:val="0"/>
        <w:adjustRightInd/>
        <w:snapToGrid/>
        <w:spacing w:before="40" w:after="40"/>
        <w:ind w:firstLine="480" w:firstLineChars="200"/>
        <w:jc w:val="both"/>
        <w:textAlignment w:val="auto"/>
        <w:rPr>
          <w:rFonts w:hint="default"/>
          <w:sz w:val="24"/>
          <w:szCs w:val="28"/>
          <w:highlight w:val="none"/>
          <w:lang w:val="en-US" w:eastAsia="zh-CN"/>
        </w:rPr>
      </w:pPr>
      <w:r>
        <w:rPr>
          <w:rFonts w:hint="eastAsia"/>
          <w:sz w:val="24"/>
          <w:szCs w:val="28"/>
          <w:highlight w:val="none"/>
          <w:lang w:val="en-US" w:eastAsia="zh-CN"/>
        </w:rPr>
        <w:t>境外</w:t>
      </w:r>
      <w:r>
        <w:rPr>
          <w:rFonts w:hint="default"/>
          <w:sz w:val="24"/>
          <w:szCs w:val="28"/>
          <w:highlight w:val="none"/>
          <w:lang w:val="en-US" w:eastAsia="zh-CN"/>
        </w:rPr>
        <w:t>账套</w:t>
      </w:r>
      <w:r>
        <w:rPr>
          <w:rFonts w:hint="eastAsia"/>
          <w:sz w:val="24"/>
          <w:szCs w:val="28"/>
          <w:highlight w:val="none"/>
          <w:lang w:val="en-US" w:eastAsia="zh-CN"/>
        </w:rPr>
        <w:t>：</w:t>
      </w:r>
      <w:r>
        <w:rPr>
          <w:rFonts w:hint="default"/>
          <w:sz w:val="24"/>
          <w:szCs w:val="28"/>
          <w:highlight w:val="none"/>
          <w:lang w:val="en-US" w:eastAsia="zh-CN"/>
        </w:rPr>
        <w:t>项目财务应按照</w:t>
      </w:r>
      <w:r>
        <w:rPr>
          <w:rFonts w:hint="eastAsia"/>
          <w:sz w:val="24"/>
          <w:szCs w:val="28"/>
          <w:highlight w:val="none"/>
          <w:lang w:val="en-US" w:eastAsia="zh-CN"/>
        </w:rPr>
        <w:t>境外</w:t>
      </w:r>
      <w:r>
        <w:rPr>
          <w:rFonts w:hint="default"/>
          <w:sz w:val="24"/>
          <w:szCs w:val="28"/>
          <w:highlight w:val="none"/>
          <w:lang w:val="en-US" w:eastAsia="zh-CN"/>
        </w:rPr>
        <w:t>账套中凭证序号打印相关凭证，按照所对应的凭证附件进行归档。</w:t>
      </w:r>
    </w:p>
    <w:p w14:paraId="50EB18A5">
      <w:pPr>
        <w:keepNext w:val="0"/>
        <w:keepLines w:val="0"/>
        <w:pageBreakBefore w:val="0"/>
        <w:widowControl/>
        <w:numPr>
          <w:ilvl w:val="0"/>
          <w:numId w:val="0"/>
        </w:numPr>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en-US" w:eastAsia="zh-CN"/>
        </w:rPr>
      </w:pPr>
      <w:r>
        <w:rPr>
          <w:rFonts w:hint="eastAsia"/>
          <w:sz w:val="24"/>
          <w:szCs w:val="28"/>
          <w:highlight w:val="none"/>
          <w:lang w:val="en-US" w:eastAsia="zh-CN"/>
        </w:rPr>
        <w:t>境内</w:t>
      </w:r>
      <w:r>
        <w:rPr>
          <w:rFonts w:hint="default"/>
          <w:sz w:val="24"/>
          <w:szCs w:val="28"/>
          <w:highlight w:val="none"/>
          <w:lang w:val="en-US" w:eastAsia="zh-CN"/>
        </w:rPr>
        <w:t>账套</w:t>
      </w:r>
      <w:r>
        <w:rPr>
          <w:rFonts w:hint="eastAsia"/>
          <w:sz w:val="24"/>
          <w:szCs w:val="28"/>
          <w:highlight w:val="none"/>
          <w:lang w:val="en-US" w:eastAsia="zh-CN"/>
        </w:rPr>
        <w:t>：按照BIP账套中凭证进行归档，同时建立与境外</w:t>
      </w:r>
      <w:r>
        <w:rPr>
          <w:rFonts w:hint="default"/>
          <w:sz w:val="24"/>
          <w:szCs w:val="28"/>
          <w:highlight w:val="none"/>
          <w:lang w:val="en-US" w:eastAsia="zh-CN"/>
        </w:rPr>
        <w:t>账套</w:t>
      </w:r>
      <w:r>
        <w:rPr>
          <w:rFonts w:hint="eastAsia"/>
          <w:sz w:val="24"/>
          <w:szCs w:val="28"/>
          <w:highlight w:val="none"/>
          <w:lang w:val="en-US" w:eastAsia="zh-CN"/>
        </w:rPr>
        <w:t>的凭证索引，便于境内、外账套交叉</w:t>
      </w:r>
      <w:r>
        <w:rPr>
          <w:rFonts w:hint="eastAsia"/>
          <w:sz w:val="24"/>
          <w:szCs w:val="28"/>
          <w:lang w:val="en-US" w:eastAsia="zh-CN"/>
        </w:rPr>
        <w:t>查找核实。</w:t>
      </w:r>
    </w:p>
    <w:p w14:paraId="0A061D4D">
      <w:pPr>
        <w:keepNext w:val="0"/>
        <w:keepLines w:val="0"/>
        <w:pageBreakBefore w:val="0"/>
        <w:widowControl/>
        <w:numPr>
          <w:ilvl w:val="0"/>
          <w:numId w:val="0"/>
        </w:numPr>
        <w:kinsoku/>
        <w:wordWrap/>
        <w:overflowPunct/>
        <w:topLinePunct w:val="0"/>
        <w:autoSpaceDE/>
        <w:autoSpaceDN/>
        <w:bidi w:val="0"/>
        <w:adjustRightInd/>
        <w:snapToGrid/>
        <w:spacing w:before="40" w:after="40"/>
        <w:ind w:firstLine="480" w:firstLineChars="200"/>
        <w:jc w:val="both"/>
        <w:textAlignment w:val="auto"/>
        <w:rPr>
          <w:rFonts w:hint="default"/>
          <w:sz w:val="24"/>
          <w:szCs w:val="28"/>
          <w:lang w:val="en-US" w:eastAsia="zh-CN"/>
        </w:rPr>
      </w:pPr>
      <w:r>
        <w:rPr>
          <w:rFonts w:hint="default"/>
          <w:sz w:val="24"/>
          <w:szCs w:val="28"/>
          <w:lang w:val="en-US" w:eastAsia="zh-CN"/>
        </w:rPr>
        <w:t>阿联酋财务档案保存期限，按税法、商法、央行法（AML）三类法规划分，核心为：企业所得税7年、商业法5年、不动产15年，短于国内保存期限要求，建议与国内财务档案同步保存。</w:t>
      </w:r>
    </w:p>
    <w:p w14:paraId="6C66D722">
      <w:pPr>
        <w:pStyle w:val="5"/>
        <w:pageBreakBefore w:val="0"/>
        <w:widowControl/>
        <w:kinsoku/>
        <w:wordWrap/>
        <w:overflowPunct/>
        <w:topLinePunct w:val="0"/>
        <w:autoSpaceDE/>
        <w:autoSpaceDN/>
        <w:bidi w:val="0"/>
        <w:adjustRightInd/>
        <w:snapToGrid/>
        <w:jc w:val="both"/>
        <w:rPr>
          <w:rFonts w:ascii="微软雅黑" w:hAnsi="微软雅黑" w:eastAsia="微软雅黑"/>
          <w:color w:val="auto"/>
          <w:lang w:eastAsia="zh-CN"/>
        </w:rPr>
      </w:pPr>
      <w:bookmarkStart w:id="47" w:name="_Toc17585"/>
      <w:r>
        <w:rPr>
          <w:rFonts w:ascii="微软雅黑" w:hAnsi="微软雅黑" w:eastAsia="微软雅黑"/>
          <w:color w:val="auto"/>
          <w:lang w:val="zh-CN" w:eastAsia="zh-CN"/>
        </w:rPr>
        <w:t>5.2.2  资金管理</w:t>
      </w:r>
      <w:bookmarkEnd w:id="47"/>
    </w:p>
    <w:p w14:paraId="502B5A86">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en-US" w:eastAsia="zh-CN"/>
        </w:rPr>
      </w:pPr>
      <w:r>
        <w:rPr>
          <w:rFonts w:hint="eastAsia"/>
          <w:sz w:val="24"/>
          <w:szCs w:val="28"/>
          <w:lang w:val="en-US" w:eastAsia="zh-CN"/>
        </w:rPr>
        <w:t>1、现场现金与备用金</w:t>
      </w:r>
    </w:p>
    <w:p w14:paraId="6A7FB839">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en-US" w:eastAsia="zh-CN"/>
        </w:rPr>
      </w:pPr>
      <w:r>
        <w:rPr>
          <w:rFonts w:hint="default"/>
          <w:sz w:val="24"/>
          <w:szCs w:val="28"/>
          <w:lang w:val="en-US" w:eastAsia="zh-CN"/>
        </w:rPr>
        <w:t>阿联酋当地针对非自贸区企业账户现金存现多限制在单笔≤20万迪拉姆，超额需说明用途与来源。阿联酋严控大额现金交易，</w:t>
      </w:r>
      <w:r>
        <w:rPr>
          <w:rFonts w:hint="eastAsia"/>
          <w:sz w:val="24"/>
          <w:szCs w:val="28"/>
          <w:lang w:val="en-US" w:eastAsia="zh-CN"/>
        </w:rPr>
        <w:t>但</w:t>
      </w:r>
      <w:r>
        <w:rPr>
          <w:rFonts w:hint="default"/>
          <w:sz w:val="24"/>
          <w:szCs w:val="28"/>
          <w:lang w:val="en-US" w:eastAsia="zh-CN"/>
        </w:rPr>
        <w:t>无明确现金支付限额，针对自贸区普遍要求优先非现金支付，部分自贸区对现金交易有更严格报备要求。现金不得用于支付工程款与工资。</w:t>
      </w:r>
      <w:r>
        <w:rPr>
          <w:rFonts w:hint="eastAsia"/>
          <w:sz w:val="24"/>
          <w:szCs w:val="28"/>
          <w:lang w:val="en-US" w:eastAsia="zh-CN"/>
        </w:rPr>
        <w:t>现场备用金按照中国海诚《员工借款管理办法》和各经营单位制定的备用金管理办法执行。</w:t>
      </w:r>
    </w:p>
    <w:p w14:paraId="644FE10F">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default"/>
          <w:sz w:val="24"/>
          <w:szCs w:val="28"/>
          <w:lang w:val="en-US" w:eastAsia="zh-CN"/>
        </w:rPr>
      </w:pPr>
      <w:r>
        <w:rPr>
          <w:rFonts w:hint="eastAsia"/>
          <w:sz w:val="24"/>
          <w:szCs w:val="28"/>
          <w:lang w:val="en-US" w:eastAsia="zh-CN"/>
        </w:rPr>
        <w:t>2、保函与授信</w:t>
      </w:r>
    </w:p>
    <w:p w14:paraId="5171586C">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default"/>
          <w:sz w:val="24"/>
          <w:szCs w:val="28"/>
          <w:lang w:val="en-US" w:eastAsia="zh-CN"/>
        </w:rPr>
      </w:pPr>
      <w:r>
        <w:rPr>
          <w:rFonts w:hint="default"/>
          <w:sz w:val="24"/>
          <w:szCs w:val="28"/>
          <w:lang w:val="en-US" w:eastAsia="zh-CN"/>
        </w:rPr>
        <w:t>阿联酋工程项目常用保函类型</w:t>
      </w:r>
      <w:r>
        <w:rPr>
          <w:rFonts w:hint="eastAsia"/>
          <w:sz w:val="24"/>
          <w:szCs w:val="28"/>
          <w:lang w:val="en-US" w:eastAsia="zh-CN"/>
        </w:rPr>
        <w:t>包括</w:t>
      </w:r>
      <w:r>
        <w:rPr>
          <w:rFonts w:hint="default"/>
          <w:sz w:val="24"/>
          <w:szCs w:val="28"/>
          <w:lang w:val="en-US" w:eastAsia="zh-CN"/>
        </w:rPr>
        <w:t>投标保函、预付款保函、履约保函、质量保函。本地银行保函格式标准化，无特殊差异化要求</w:t>
      </w:r>
      <w:r>
        <w:rPr>
          <w:rFonts w:hint="eastAsia"/>
          <w:sz w:val="24"/>
          <w:szCs w:val="28"/>
          <w:lang w:val="en-US" w:eastAsia="zh-CN"/>
        </w:rPr>
        <w:t>。</w:t>
      </w:r>
      <w:r>
        <w:rPr>
          <w:rFonts w:hint="default"/>
          <w:sz w:val="24"/>
          <w:szCs w:val="28"/>
          <w:lang w:val="en-US" w:eastAsia="zh-CN"/>
        </w:rPr>
        <w:t>可依托国内授信额度开具</w:t>
      </w:r>
      <w:r>
        <w:rPr>
          <w:rFonts w:hint="eastAsia"/>
          <w:sz w:val="24"/>
          <w:szCs w:val="28"/>
          <w:lang w:val="en-US" w:eastAsia="zh-CN"/>
        </w:rPr>
        <w:t>分离式</w:t>
      </w:r>
      <w:r>
        <w:rPr>
          <w:rFonts w:hint="default"/>
          <w:sz w:val="24"/>
          <w:szCs w:val="28"/>
          <w:lang w:val="en-US" w:eastAsia="zh-CN"/>
        </w:rPr>
        <w:t>跨境保函，也可通过本地银行办理属地保函。</w:t>
      </w:r>
      <w:r>
        <w:rPr>
          <w:rFonts w:hint="eastAsia"/>
          <w:sz w:val="24"/>
          <w:szCs w:val="28"/>
          <w:lang w:val="en-US" w:eastAsia="zh-CN"/>
        </w:rPr>
        <w:t>但属地开具保函多要求保证金，建议优先开具分离式跨境保函，前提为阿联酋分/子公司已在国内办理好外汇ODI登记。</w:t>
      </w:r>
    </w:p>
    <w:p w14:paraId="205AAA97">
      <w:pPr>
        <w:keepNext w:val="0"/>
        <w:keepLines w:val="0"/>
        <w:pageBreakBefore w:val="0"/>
        <w:widowControl/>
        <w:numPr>
          <w:ilvl w:val="0"/>
          <w:numId w:val="0"/>
        </w:numPr>
        <w:kinsoku/>
        <w:wordWrap/>
        <w:overflowPunct/>
        <w:topLinePunct w:val="0"/>
        <w:autoSpaceDE/>
        <w:autoSpaceDN/>
        <w:bidi w:val="0"/>
        <w:adjustRightInd/>
        <w:snapToGrid/>
        <w:spacing w:before="40" w:after="40"/>
        <w:ind w:leftChars="200"/>
        <w:jc w:val="both"/>
        <w:textAlignment w:val="auto"/>
        <w:rPr>
          <w:rFonts w:hint="eastAsia"/>
          <w:sz w:val="24"/>
          <w:szCs w:val="28"/>
          <w:lang w:val="en-US" w:eastAsia="zh-CN"/>
        </w:rPr>
      </w:pPr>
      <w:r>
        <w:rPr>
          <w:rFonts w:hint="eastAsia"/>
          <w:sz w:val="24"/>
          <w:szCs w:val="28"/>
          <w:lang w:val="en-US" w:eastAsia="zh-CN"/>
        </w:rPr>
        <w:t>3、资金跨境流动</w:t>
      </w:r>
    </w:p>
    <w:p w14:paraId="37D7AC70">
      <w:pPr>
        <w:keepNext w:val="0"/>
        <w:keepLines w:val="0"/>
        <w:pageBreakBefore w:val="0"/>
        <w:widowControl/>
        <w:numPr>
          <w:ilvl w:val="0"/>
          <w:numId w:val="0"/>
        </w:numPr>
        <w:kinsoku/>
        <w:wordWrap/>
        <w:overflowPunct/>
        <w:topLinePunct w:val="0"/>
        <w:autoSpaceDE/>
        <w:autoSpaceDN/>
        <w:bidi w:val="0"/>
        <w:adjustRightInd/>
        <w:snapToGrid/>
        <w:spacing w:before="40" w:after="40"/>
        <w:ind w:firstLine="480" w:firstLineChars="200"/>
        <w:jc w:val="both"/>
        <w:textAlignment w:val="auto"/>
        <w:rPr>
          <w:rFonts w:hint="default"/>
          <w:sz w:val="24"/>
          <w:szCs w:val="28"/>
          <w:lang w:val="en-US" w:eastAsia="zh-CN"/>
        </w:rPr>
      </w:pPr>
      <w:r>
        <w:rPr>
          <w:rFonts w:hint="eastAsia"/>
          <w:sz w:val="24"/>
          <w:szCs w:val="28"/>
          <w:lang w:val="en-US" w:eastAsia="zh-CN"/>
        </w:rPr>
        <w:t>阿联酋</w:t>
      </w:r>
      <w:r>
        <w:rPr>
          <w:rFonts w:hint="default"/>
          <w:sz w:val="24"/>
          <w:szCs w:val="28"/>
          <w:lang w:val="en-US" w:eastAsia="zh-CN"/>
        </w:rPr>
        <w:t>资金跨境汇入汇出无政策障碍，常规结算周期1-3个工作日。</w:t>
      </w:r>
    </w:p>
    <w:p w14:paraId="6CBD8B9B">
      <w:pPr>
        <w:keepNext w:val="0"/>
        <w:keepLines w:val="0"/>
        <w:pageBreakBefore w:val="0"/>
        <w:widowControl/>
        <w:numPr>
          <w:ilvl w:val="0"/>
          <w:numId w:val="0"/>
        </w:numPr>
        <w:kinsoku/>
        <w:wordWrap/>
        <w:overflowPunct/>
        <w:topLinePunct w:val="0"/>
        <w:autoSpaceDE/>
        <w:autoSpaceDN/>
        <w:bidi w:val="0"/>
        <w:adjustRightInd/>
        <w:snapToGrid/>
        <w:spacing w:before="40" w:after="40"/>
        <w:ind w:firstLine="480" w:firstLineChars="200"/>
        <w:jc w:val="both"/>
        <w:textAlignment w:val="auto"/>
        <w:rPr>
          <w:rFonts w:hint="default"/>
          <w:sz w:val="24"/>
          <w:szCs w:val="28"/>
          <w:lang w:val="en-US" w:eastAsia="zh-CN"/>
        </w:rPr>
      </w:pPr>
      <w:r>
        <w:rPr>
          <w:rFonts w:hint="default"/>
          <w:sz w:val="24"/>
          <w:szCs w:val="28"/>
          <w:lang w:val="en-US" w:eastAsia="zh-CN"/>
        </w:rPr>
        <w:t>针对迪拉姆对人民币汇率波动风险</w:t>
      </w:r>
      <w:r>
        <w:rPr>
          <w:rFonts w:hint="eastAsia"/>
          <w:sz w:val="24"/>
          <w:szCs w:val="28"/>
          <w:lang w:val="en-US" w:eastAsia="zh-CN"/>
        </w:rPr>
        <w:t>：</w:t>
      </w:r>
    </w:p>
    <w:p w14:paraId="712A0C07">
      <w:pPr>
        <w:keepNext w:val="0"/>
        <w:keepLines w:val="0"/>
        <w:pageBreakBefore w:val="0"/>
        <w:widowControl/>
        <w:numPr>
          <w:ilvl w:val="0"/>
          <w:numId w:val="0"/>
        </w:numPr>
        <w:kinsoku/>
        <w:wordWrap/>
        <w:overflowPunct/>
        <w:topLinePunct w:val="0"/>
        <w:autoSpaceDE/>
        <w:autoSpaceDN/>
        <w:bidi w:val="0"/>
        <w:adjustRightInd/>
        <w:snapToGrid/>
        <w:spacing w:before="40" w:after="40"/>
        <w:ind w:firstLine="240" w:firstLineChars="100"/>
        <w:jc w:val="both"/>
        <w:textAlignment w:val="auto"/>
        <w:rPr>
          <w:rFonts w:hint="default"/>
          <w:sz w:val="24"/>
          <w:szCs w:val="28"/>
          <w:lang w:val="en-US" w:eastAsia="zh-CN"/>
        </w:rPr>
      </w:pPr>
      <w:r>
        <w:rPr>
          <w:rFonts w:hint="eastAsia"/>
          <w:sz w:val="24"/>
          <w:szCs w:val="28"/>
          <w:lang w:val="en-US" w:eastAsia="zh-CN"/>
        </w:rPr>
        <w:t>（1）</w:t>
      </w:r>
      <w:r>
        <w:rPr>
          <w:rFonts w:hint="default"/>
          <w:sz w:val="24"/>
          <w:szCs w:val="28"/>
          <w:lang w:val="en-US" w:eastAsia="zh-CN"/>
        </w:rPr>
        <w:t>项目投标时</w:t>
      </w:r>
      <w:r>
        <w:rPr>
          <w:rFonts w:hint="eastAsia"/>
          <w:sz w:val="24"/>
          <w:szCs w:val="28"/>
          <w:lang w:val="en-US" w:eastAsia="zh-CN"/>
        </w:rPr>
        <w:t>，</w:t>
      </w:r>
      <w:r>
        <w:rPr>
          <w:rFonts w:hint="default"/>
          <w:sz w:val="24"/>
          <w:szCs w:val="28"/>
          <w:lang w:val="en-US" w:eastAsia="zh-CN"/>
        </w:rPr>
        <w:t>按照远期结汇模型，基于项目资金流量测算不同时点的汇兑损益情况，并结合实际汇率走势再保守预估10%的损失作为整体汇兑损益成本，作为整体报价成本项之一。</w:t>
      </w:r>
    </w:p>
    <w:p w14:paraId="6F88803E">
      <w:pPr>
        <w:keepNext w:val="0"/>
        <w:keepLines w:val="0"/>
        <w:pageBreakBefore w:val="0"/>
        <w:widowControl/>
        <w:numPr>
          <w:ilvl w:val="0"/>
          <w:numId w:val="0"/>
        </w:numPr>
        <w:kinsoku/>
        <w:wordWrap/>
        <w:overflowPunct/>
        <w:topLinePunct w:val="0"/>
        <w:autoSpaceDE/>
        <w:autoSpaceDN/>
        <w:bidi w:val="0"/>
        <w:adjustRightInd/>
        <w:snapToGrid/>
        <w:spacing w:before="40" w:after="40"/>
        <w:ind w:firstLine="240" w:firstLineChars="100"/>
        <w:jc w:val="both"/>
        <w:textAlignment w:val="auto"/>
        <w:rPr>
          <w:rFonts w:hint="eastAsia"/>
          <w:sz w:val="24"/>
          <w:szCs w:val="28"/>
          <w:lang w:val="en-US" w:eastAsia="zh-CN"/>
        </w:rPr>
      </w:pPr>
      <w:r>
        <w:rPr>
          <w:rFonts w:hint="eastAsia"/>
          <w:sz w:val="24"/>
          <w:szCs w:val="28"/>
          <w:lang w:val="en-US" w:eastAsia="zh-CN"/>
        </w:rPr>
        <w:t>（2）</w:t>
      </w:r>
      <w:r>
        <w:rPr>
          <w:rFonts w:hint="default"/>
          <w:sz w:val="24"/>
          <w:szCs w:val="28"/>
          <w:lang w:val="en-US" w:eastAsia="zh-CN"/>
        </w:rPr>
        <w:t>项目执行时</w:t>
      </w:r>
      <w:r>
        <w:rPr>
          <w:rFonts w:hint="eastAsia"/>
          <w:sz w:val="24"/>
          <w:szCs w:val="28"/>
          <w:lang w:val="en-US" w:eastAsia="zh-CN"/>
        </w:rPr>
        <w:t>，</w:t>
      </w:r>
      <w:r>
        <w:rPr>
          <w:rFonts w:hint="default"/>
          <w:sz w:val="24"/>
          <w:szCs w:val="28"/>
          <w:lang w:val="en-US" w:eastAsia="zh-CN"/>
        </w:rPr>
        <w:t>优先选择合同收款币种签订采购及分包合同，通过</w:t>
      </w:r>
      <w:r>
        <w:rPr>
          <w:rFonts w:hint="eastAsia"/>
          <w:sz w:val="24"/>
          <w:szCs w:val="28"/>
          <w:lang w:val="en-US" w:eastAsia="zh-CN"/>
        </w:rPr>
        <w:t>结合收款情况合理安排付款</w:t>
      </w:r>
      <w:r>
        <w:rPr>
          <w:rFonts w:hint="default"/>
          <w:sz w:val="24"/>
          <w:szCs w:val="28"/>
          <w:lang w:val="en-US" w:eastAsia="zh-CN"/>
        </w:rPr>
        <w:t>的原则降低合同主要结算货币汇率波动的影响</w:t>
      </w:r>
      <w:r>
        <w:rPr>
          <w:rFonts w:hint="eastAsia"/>
          <w:sz w:val="24"/>
          <w:szCs w:val="28"/>
          <w:lang w:val="en-US" w:eastAsia="zh-CN"/>
        </w:rPr>
        <w:t>。</w:t>
      </w:r>
    </w:p>
    <w:p w14:paraId="745BCEE0">
      <w:pPr>
        <w:keepNext w:val="0"/>
        <w:keepLines w:val="0"/>
        <w:pageBreakBefore w:val="0"/>
        <w:widowControl/>
        <w:numPr>
          <w:ilvl w:val="0"/>
          <w:numId w:val="0"/>
        </w:numPr>
        <w:kinsoku/>
        <w:wordWrap/>
        <w:overflowPunct/>
        <w:topLinePunct w:val="0"/>
        <w:autoSpaceDE/>
        <w:autoSpaceDN/>
        <w:bidi w:val="0"/>
        <w:adjustRightInd/>
        <w:snapToGrid/>
        <w:spacing w:before="40" w:after="40"/>
        <w:ind w:firstLine="240" w:firstLineChars="100"/>
        <w:jc w:val="both"/>
        <w:textAlignment w:val="auto"/>
        <w:rPr>
          <w:rFonts w:hint="eastAsia"/>
          <w:sz w:val="24"/>
          <w:szCs w:val="28"/>
          <w:lang w:val="en-US" w:eastAsia="zh-CN"/>
        </w:rPr>
      </w:pPr>
      <w:r>
        <w:rPr>
          <w:rFonts w:hint="eastAsia"/>
          <w:sz w:val="24"/>
          <w:szCs w:val="28"/>
          <w:lang w:val="en-US" w:eastAsia="zh-CN"/>
        </w:rPr>
        <w:t>（3）</w:t>
      </w:r>
      <w:r>
        <w:rPr>
          <w:rFonts w:hint="default"/>
          <w:sz w:val="24"/>
          <w:szCs w:val="28"/>
          <w:lang w:val="en-US" w:eastAsia="zh-CN"/>
        </w:rPr>
        <w:t>关注外汇政策变动</w:t>
      </w:r>
      <w:r>
        <w:rPr>
          <w:rFonts w:hint="eastAsia"/>
          <w:sz w:val="24"/>
          <w:szCs w:val="28"/>
          <w:lang w:val="en-US" w:eastAsia="zh-CN"/>
        </w:rPr>
        <w:t>，</w:t>
      </w:r>
      <w:r>
        <w:rPr>
          <w:rFonts w:hint="default"/>
          <w:sz w:val="24"/>
          <w:szCs w:val="28"/>
          <w:lang w:val="en-US" w:eastAsia="zh-CN"/>
        </w:rPr>
        <w:t>定期跟踪阿联酋外汇政策变动情况，在账面资金留存充足时选择合理的方式及时进行资金汇回</w:t>
      </w:r>
      <w:r>
        <w:rPr>
          <w:rFonts w:hint="eastAsia"/>
          <w:sz w:val="24"/>
          <w:szCs w:val="28"/>
          <w:lang w:val="en-US" w:eastAsia="zh-CN"/>
        </w:rPr>
        <w:t>。</w:t>
      </w:r>
    </w:p>
    <w:p w14:paraId="3367A0F5">
      <w:pPr>
        <w:keepNext w:val="0"/>
        <w:keepLines w:val="0"/>
        <w:pageBreakBefore w:val="0"/>
        <w:widowControl/>
        <w:numPr>
          <w:ilvl w:val="0"/>
          <w:numId w:val="0"/>
        </w:numPr>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en-US" w:eastAsia="zh-CN"/>
        </w:rPr>
      </w:pPr>
      <w:r>
        <w:rPr>
          <w:rFonts w:hint="eastAsia"/>
          <w:sz w:val="24"/>
          <w:szCs w:val="28"/>
          <w:lang w:val="en-US" w:eastAsia="zh-CN"/>
        </w:rPr>
        <w:t>4、中方人员工资</w:t>
      </w:r>
    </w:p>
    <w:p w14:paraId="511BD56C">
      <w:pPr>
        <w:keepNext w:val="0"/>
        <w:keepLines w:val="0"/>
        <w:pageBreakBefore w:val="0"/>
        <w:widowControl/>
        <w:kinsoku/>
        <w:wordWrap/>
        <w:overflowPunct/>
        <w:topLinePunct w:val="0"/>
        <w:autoSpaceDE/>
        <w:autoSpaceDN/>
        <w:bidi w:val="0"/>
        <w:adjustRightInd/>
        <w:snapToGrid/>
        <w:ind w:firstLine="240" w:firstLineChars="100"/>
        <w:jc w:val="both"/>
        <w:textAlignment w:val="auto"/>
        <w:rPr>
          <w:rFonts w:hint="default"/>
          <w:sz w:val="24"/>
          <w:szCs w:val="24"/>
          <w:lang w:val="en-US" w:eastAsia="zh-CN"/>
        </w:rPr>
      </w:pPr>
      <w:r>
        <w:rPr>
          <w:rFonts w:hint="eastAsia"/>
          <w:sz w:val="24"/>
          <w:szCs w:val="24"/>
          <w:lang w:val="en-US" w:eastAsia="zh-CN"/>
        </w:rPr>
        <w:t>（1）基本要求</w:t>
      </w:r>
    </w:p>
    <w:p w14:paraId="39FE2751">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eastAsia"/>
          <w:sz w:val="24"/>
          <w:szCs w:val="24"/>
          <w:lang w:val="en-US" w:eastAsia="zh-CN"/>
        </w:rPr>
      </w:pPr>
      <w:r>
        <w:rPr>
          <w:rFonts w:hint="eastAsia"/>
          <w:sz w:val="24"/>
          <w:szCs w:val="24"/>
          <w:lang w:val="zh-CN" w:eastAsia="zh-CN"/>
        </w:rPr>
        <w:t>阿联酋大陆公司</w:t>
      </w:r>
      <w:r>
        <w:rPr>
          <w:rFonts w:hint="eastAsia"/>
          <w:sz w:val="24"/>
          <w:szCs w:val="24"/>
          <w:lang w:val="en-US" w:eastAsia="zh-CN"/>
        </w:rPr>
        <w:t>申请员工</w:t>
      </w:r>
      <w:r>
        <w:rPr>
          <w:rFonts w:hint="eastAsia"/>
          <w:sz w:val="24"/>
          <w:szCs w:val="24"/>
          <w:lang w:val="zh-CN" w:eastAsia="zh-CN"/>
        </w:rPr>
        <w:t>工作签</w:t>
      </w:r>
      <w:r>
        <w:rPr>
          <w:rFonts w:hint="eastAsia"/>
          <w:sz w:val="24"/>
          <w:szCs w:val="24"/>
          <w:lang w:val="en-US" w:eastAsia="zh-CN"/>
        </w:rPr>
        <w:t>时，要求在工资发放系统WPS系统中进行备案，并在完成申请的次月通过WPS系统发放工资。企业存在 WPS 逾期发薪、漏发、薪资与合同不符的，系统自动冻结该公司所有新工作签审批、现有签证无法续签，并处单人 1,000 迪拉姆起罚款。</w:t>
      </w:r>
    </w:p>
    <w:p w14:paraId="301789D4">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eastAsia"/>
          <w:sz w:val="24"/>
          <w:szCs w:val="24"/>
          <w:lang w:val="en-US" w:eastAsia="zh-CN"/>
        </w:rPr>
      </w:pPr>
      <w:r>
        <w:rPr>
          <w:rFonts w:hint="eastAsia"/>
          <w:sz w:val="24"/>
          <w:szCs w:val="24"/>
          <w:lang w:val="en-US" w:eastAsia="zh-CN"/>
        </w:rPr>
        <w:t>阿联酋劳工部对劳动合同、WPS 申报最低标准要求：</w:t>
      </w:r>
    </w:p>
    <w:tbl>
      <w:tblPr>
        <w:tblStyle w:val="37"/>
        <w:tblW w:w="4997" w:type="pct"/>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097"/>
        <w:gridCol w:w="3932"/>
        <w:gridCol w:w="2816"/>
      </w:tblGrid>
      <w:tr w14:paraId="32276DC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097" w:type="dxa"/>
            <w:shd w:val="clear" w:color="auto" w:fill="1F4E79"/>
            <w:vAlign w:val="center"/>
          </w:tcPr>
          <w:p w14:paraId="2314B49C">
            <w:pPr>
              <w:keepNext w:val="0"/>
              <w:keepLines w:val="0"/>
              <w:widowControl/>
              <w:suppressLineNumbers w:val="0"/>
              <w:jc w:val="center"/>
              <w:textAlignment w:val="center"/>
              <w:rPr>
                <w:rFonts w:hint="eastAsia" w:ascii="微软雅黑" w:hAnsi="微软雅黑" w:eastAsia="微软雅黑" w:cs="微软雅黑"/>
                <w:color w:val="FFFFFF" w:themeColor="background1"/>
                <w:sz w:val="21"/>
                <w:szCs w:val="21"/>
                <w:lang w:val="en-US"/>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技能等级</w:t>
            </w:r>
          </w:p>
        </w:tc>
        <w:tc>
          <w:tcPr>
            <w:tcW w:w="3932" w:type="dxa"/>
            <w:shd w:val="clear" w:color="auto" w:fill="1F4E79"/>
            <w:vAlign w:val="center"/>
          </w:tcPr>
          <w:p w14:paraId="27849BAC">
            <w:pPr>
              <w:keepNext w:val="0"/>
              <w:keepLines w:val="0"/>
              <w:widowControl/>
              <w:suppressLineNumbers w:val="0"/>
              <w:jc w:val="center"/>
              <w:textAlignment w:val="center"/>
              <w:rPr>
                <w:rFonts w:hint="eastAsia" w:ascii="微软雅黑" w:hAnsi="微软雅黑" w:eastAsia="微软雅黑" w:cs="微软雅黑"/>
                <w:color w:val="FFFFFF" w:themeColor="background1"/>
                <w:sz w:val="21"/>
                <w:szCs w:val="21"/>
                <w:lang w:val="en-US"/>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岗位类型</w:t>
            </w:r>
          </w:p>
        </w:tc>
        <w:tc>
          <w:tcPr>
            <w:tcW w:w="2816" w:type="dxa"/>
            <w:shd w:val="clear" w:color="auto" w:fill="1F4E79"/>
            <w:vAlign w:val="center"/>
          </w:tcPr>
          <w:p w14:paraId="1A84454C">
            <w:pPr>
              <w:keepNext w:val="0"/>
              <w:keepLines w:val="0"/>
              <w:widowControl/>
              <w:suppressLineNumbers w:val="0"/>
              <w:jc w:val="center"/>
              <w:textAlignment w:val="cente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工签最低申报月薪（AED）</w:t>
            </w:r>
          </w:p>
        </w:tc>
      </w:tr>
      <w:tr w14:paraId="5919A58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788" w:hRule="atLeast"/>
          <w:jc w:val="center"/>
        </w:trPr>
        <w:tc>
          <w:tcPr>
            <w:tcW w:w="2097" w:type="dxa"/>
            <w:vAlign w:val="center"/>
          </w:tcPr>
          <w:p w14:paraId="6F8B3892">
            <w:pPr>
              <w:keepNext w:val="0"/>
              <w:keepLines w:val="0"/>
              <w:widowControl/>
              <w:suppressLineNumbers w:val="0"/>
              <w:jc w:val="left"/>
              <w:textAlignment w:val="center"/>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i w:val="0"/>
                <w:iCs w:val="0"/>
                <w:color w:val="000000"/>
                <w:kern w:val="0"/>
                <w:sz w:val="21"/>
                <w:szCs w:val="21"/>
                <w:u w:val="none"/>
                <w:lang w:val="en-US" w:eastAsia="zh-CN" w:bidi="ar"/>
              </w:rPr>
              <w:t>1 级（高级专业岗）</w:t>
            </w:r>
          </w:p>
        </w:tc>
        <w:tc>
          <w:tcPr>
            <w:tcW w:w="3932" w:type="dxa"/>
            <w:vAlign w:val="center"/>
          </w:tcPr>
          <w:p w14:paraId="31DBD9E9">
            <w:pPr>
              <w:keepNext w:val="0"/>
              <w:keepLines w:val="0"/>
              <w:widowControl/>
              <w:suppressLineNumbers w:val="0"/>
              <w:jc w:val="left"/>
              <w:textAlignment w:val="center"/>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i w:val="0"/>
                <w:iCs w:val="0"/>
                <w:color w:val="000000"/>
                <w:kern w:val="0"/>
                <w:sz w:val="21"/>
                <w:szCs w:val="21"/>
                <w:u w:val="none"/>
                <w:lang w:val="en-US" w:eastAsia="zh-CN" w:bidi="ar"/>
              </w:rPr>
              <w:t>项目经理、工程师、财务、高管、技术研发、翻译、管理岗</w:t>
            </w:r>
          </w:p>
        </w:tc>
        <w:tc>
          <w:tcPr>
            <w:tcW w:w="2816" w:type="dxa"/>
            <w:vAlign w:val="center"/>
          </w:tcPr>
          <w:p w14:paraId="329F958E">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i w:val="0"/>
                <w:iCs w:val="0"/>
                <w:color w:val="000000"/>
                <w:kern w:val="0"/>
                <w:sz w:val="21"/>
                <w:szCs w:val="21"/>
                <w:u w:val="none"/>
                <w:lang w:val="en-US" w:eastAsia="zh-CN" w:bidi="ar"/>
              </w:rPr>
              <w:t>12</w:t>
            </w:r>
            <w:r>
              <w:rPr>
                <w:rFonts w:hint="eastAsia" w:cs="微软雅黑"/>
                <w:b w:val="0"/>
                <w:bCs w:val="0"/>
                <w:i w:val="0"/>
                <w:iCs w:val="0"/>
                <w:color w:val="000000"/>
                <w:kern w:val="0"/>
                <w:sz w:val="21"/>
                <w:szCs w:val="21"/>
                <w:u w:val="none"/>
                <w:lang w:val="en-US" w:eastAsia="zh-CN" w:bidi="ar"/>
              </w:rPr>
              <w:t>,</w:t>
            </w:r>
            <w:r>
              <w:rPr>
                <w:rFonts w:hint="eastAsia" w:ascii="微软雅黑" w:hAnsi="微软雅黑" w:eastAsia="微软雅黑" w:cs="微软雅黑"/>
                <w:b w:val="0"/>
                <w:bCs w:val="0"/>
                <w:i w:val="0"/>
                <w:iCs w:val="0"/>
                <w:color w:val="000000"/>
                <w:kern w:val="0"/>
                <w:sz w:val="21"/>
                <w:szCs w:val="21"/>
                <w:u w:val="none"/>
                <w:lang w:val="en-US" w:eastAsia="zh-CN" w:bidi="ar"/>
              </w:rPr>
              <w:t>000</w:t>
            </w:r>
          </w:p>
        </w:tc>
      </w:tr>
      <w:tr w14:paraId="319A392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097" w:type="dxa"/>
            <w:vAlign w:val="center"/>
          </w:tcPr>
          <w:p w14:paraId="264A6877">
            <w:pPr>
              <w:keepNext w:val="0"/>
              <w:keepLines w:val="0"/>
              <w:widowControl/>
              <w:suppressLineNumbers w:val="0"/>
              <w:jc w:val="left"/>
              <w:textAlignment w:val="center"/>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i w:val="0"/>
                <w:iCs w:val="0"/>
                <w:color w:val="000000"/>
                <w:kern w:val="0"/>
                <w:sz w:val="21"/>
                <w:szCs w:val="21"/>
                <w:u w:val="none"/>
                <w:lang w:val="en-US" w:eastAsia="zh-CN" w:bidi="ar"/>
              </w:rPr>
              <w:t>2 级（技术岗）</w:t>
            </w:r>
          </w:p>
        </w:tc>
        <w:tc>
          <w:tcPr>
            <w:tcW w:w="3932" w:type="dxa"/>
            <w:vAlign w:val="center"/>
          </w:tcPr>
          <w:p w14:paraId="042061D3">
            <w:pPr>
              <w:keepNext w:val="0"/>
              <w:keepLines w:val="0"/>
              <w:widowControl/>
              <w:suppressLineNumbers w:val="0"/>
              <w:jc w:val="left"/>
              <w:textAlignment w:val="center"/>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i w:val="0"/>
                <w:iCs w:val="0"/>
                <w:color w:val="000000"/>
                <w:kern w:val="0"/>
                <w:sz w:val="21"/>
                <w:szCs w:val="21"/>
                <w:u w:val="none"/>
                <w:lang w:val="en-US" w:eastAsia="zh-CN" w:bidi="ar"/>
              </w:rPr>
              <w:t>技术员、造价、行政主管、市场专员、会计助理</w:t>
            </w:r>
          </w:p>
        </w:tc>
        <w:tc>
          <w:tcPr>
            <w:tcW w:w="2816" w:type="dxa"/>
            <w:vAlign w:val="center"/>
          </w:tcPr>
          <w:p w14:paraId="20397671">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i w:val="0"/>
                <w:iCs w:val="0"/>
                <w:color w:val="000000"/>
                <w:kern w:val="0"/>
                <w:sz w:val="21"/>
                <w:szCs w:val="21"/>
                <w:u w:val="none"/>
                <w:lang w:val="en-US" w:eastAsia="zh-CN" w:bidi="ar"/>
              </w:rPr>
              <w:t>5</w:t>
            </w:r>
            <w:r>
              <w:rPr>
                <w:rFonts w:hint="eastAsia" w:cs="微软雅黑"/>
                <w:b w:val="0"/>
                <w:bCs w:val="0"/>
                <w:i w:val="0"/>
                <w:iCs w:val="0"/>
                <w:color w:val="000000"/>
                <w:kern w:val="0"/>
                <w:sz w:val="21"/>
                <w:szCs w:val="21"/>
                <w:u w:val="none"/>
                <w:lang w:val="en-US" w:eastAsia="zh-CN" w:bidi="ar"/>
              </w:rPr>
              <w:t>,</w:t>
            </w:r>
            <w:r>
              <w:rPr>
                <w:rFonts w:hint="eastAsia" w:ascii="微软雅黑" w:hAnsi="微软雅黑" w:eastAsia="微软雅黑" w:cs="微软雅黑"/>
                <w:b w:val="0"/>
                <w:bCs w:val="0"/>
                <w:i w:val="0"/>
                <w:iCs w:val="0"/>
                <w:color w:val="000000"/>
                <w:kern w:val="0"/>
                <w:sz w:val="21"/>
                <w:szCs w:val="21"/>
                <w:u w:val="none"/>
                <w:lang w:val="en-US" w:eastAsia="zh-CN" w:bidi="ar"/>
              </w:rPr>
              <w:t>000</w:t>
            </w:r>
          </w:p>
        </w:tc>
      </w:tr>
      <w:tr w14:paraId="127E9E9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097" w:type="dxa"/>
            <w:vAlign w:val="center"/>
          </w:tcPr>
          <w:p w14:paraId="6673E706">
            <w:pPr>
              <w:keepNext w:val="0"/>
              <w:keepLines w:val="0"/>
              <w:widowControl/>
              <w:suppressLineNumbers w:val="0"/>
              <w:jc w:val="left"/>
              <w:textAlignment w:val="center"/>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i w:val="0"/>
                <w:iCs w:val="0"/>
                <w:color w:val="000000"/>
                <w:kern w:val="0"/>
                <w:sz w:val="21"/>
                <w:szCs w:val="21"/>
                <w:u w:val="none"/>
                <w:lang w:val="en-US" w:eastAsia="zh-CN" w:bidi="ar"/>
              </w:rPr>
              <w:t>3 级（文职普通岗）</w:t>
            </w:r>
          </w:p>
        </w:tc>
        <w:tc>
          <w:tcPr>
            <w:tcW w:w="3932" w:type="dxa"/>
            <w:vAlign w:val="center"/>
          </w:tcPr>
          <w:p w14:paraId="74B1A450">
            <w:pPr>
              <w:keepNext w:val="0"/>
              <w:keepLines w:val="0"/>
              <w:widowControl/>
              <w:suppressLineNumbers w:val="0"/>
              <w:jc w:val="left"/>
              <w:textAlignment w:val="center"/>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i w:val="0"/>
                <w:iCs w:val="0"/>
                <w:color w:val="000000"/>
                <w:kern w:val="0"/>
                <w:sz w:val="21"/>
                <w:szCs w:val="21"/>
                <w:u w:val="none"/>
                <w:lang w:val="en-US" w:eastAsia="zh-CN" w:bidi="ar"/>
              </w:rPr>
              <w:t>文员、出纳、销售、商务内勤、单证</w:t>
            </w:r>
          </w:p>
        </w:tc>
        <w:tc>
          <w:tcPr>
            <w:tcW w:w="2816" w:type="dxa"/>
            <w:vAlign w:val="center"/>
          </w:tcPr>
          <w:p w14:paraId="0D242D10">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i w:val="0"/>
                <w:iCs w:val="0"/>
                <w:color w:val="000000"/>
                <w:kern w:val="0"/>
                <w:sz w:val="21"/>
                <w:szCs w:val="21"/>
                <w:u w:val="none"/>
                <w:lang w:val="en-US" w:eastAsia="zh-CN" w:bidi="ar"/>
              </w:rPr>
              <w:t>4</w:t>
            </w:r>
            <w:r>
              <w:rPr>
                <w:rFonts w:hint="eastAsia" w:cs="微软雅黑"/>
                <w:b w:val="0"/>
                <w:bCs w:val="0"/>
                <w:i w:val="0"/>
                <w:iCs w:val="0"/>
                <w:color w:val="000000"/>
                <w:kern w:val="0"/>
                <w:sz w:val="21"/>
                <w:szCs w:val="21"/>
                <w:u w:val="none"/>
                <w:lang w:val="en-US" w:eastAsia="zh-CN" w:bidi="ar"/>
              </w:rPr>
              <w:t>,</w:t>
            </w:r>
            <w:r>
              <w:rPr>
                <w:rFonts w:hint="eastAsia" w:ascii="微软雅黑" w:hAnsi="微软雅黑" w:eastAsia="微软雅黑" w:cs="微软雅黑"/>
                <w:b w:val="0"/>
                <w:bCs w:val="0"/>
                <w:i w:val="0"/>
                <w:iCs w:val="0"/>
                <w:color w:val="000000"/>
                <w:kern w:val="0"/>
                <w:sz w:val="21"/>
                <w:szCs w:val="21"/>
                <w:u w:val="none"/>
                <w:lang w:val="en-US" w:eastAsia="zh-CN" w:bidi="ar"/>
              </w:rPr>
              <w:t>000</w:t>
            </w:r>
          </w:p>
        </w:tc>
      </w:tr>
      <w:tr w14:paraId="6AF5A9A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097" w:type="dxa"/>
            <w:vAlign w:val="center"/>
          </w:tcPr>
          <w:p w14:paraId="67280DED">
            <w:pPr>
              <w:keepNext w:val="0"/>
              <w:keepLines w:val="0"/>
              <w:widowControl/>
              <w:suppressLineNumbers w:val="0"/>
              <w:jc w:val="left"/>
              <w:textAlignment w:val="center"/>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i w:val="0"/>
                <w:iCs w:val="0"/>
                <w:color w:val="000000"/>
                <w:kern w:val="0"/>
                <w:sz w:val="21"/>
                <w:szCs w:val="21"/>
                <w:u w:val="none"/>
                <w:lang w:val="en-US" w:eastAsia="zh-CN" w:bidi="ar"/>
              </w:rPr>
              <w:t>4 级（普工体力岗）</w:t>
            </w:r>
          </w:p>
        </w:tc>
        <w:tc>
          <w:tcPr>
            <w:tcW w:w="3932" w:type="dxa"/>
            <w:vAlign w:val="center"/>
          </w:tcPr>
          <w:p w14:paraId="37AC04F6">
            <w:pPr>
              <w:keepNext w:val="0"/>
              <w:keepLines w:val="0"/>
              <w:widowControl/>
              <w:suppressLineNumbers w:val="0"/>
              <w:jc w:val="left"/>
              <w:textAlignment w:val="center"/>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i w:val="0"/>
                <w:iCs w:val="0"/>
                <w:color w:val="000000"/>
                <w:kern w:val="0"/>
                <w:sz w:val="21"/>
                <w:szCs w:val="21"/>
                <w:u w:val="none"/>
                <w:lang w:val="en-US" w:eastAsia="zh-CN" w:bidi="ar"/>
              </w:rPr>
              <w:t>司机、仓库、保洁、安保、工地劳务</w:t>
            </w:r>
          </w:p>
        </w:tc>
        <w:tc>
          <w:tcPr>
            <w:tcW w:w="2816" w:type="dxa"/>
            <w:vAlign w:val="center"/>
          </w:tcPr>
          <w:p w14:paraId="211ADFD4">
            <w:pPr>
              <w:keepNext w:val="0"/>
              <w:keepLines w:val="0"/>
              <w:widowControl/>
              <w:suppressLineNumbers w:val="0"/>
              <w:jc w:val="center"/>
              <w:textAlignment w:val="center"/>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i w:val="0"/>
                <w:iCs w:val="0"/>
                <w:color w:val="000000"/>
                <w:kern w:val="0"/>
                <w:sz w:val="21"/>
                <w:szCs w:val="21"/>
                <w:u w:val="none"/>
                <w:lang w:val="en-US" w:eastAsia="zh-CN" w:bidi="ar"/>
              </w:rPr>
              <w:t>1</w:t>
            </w:r>
            <w:r>
              <w:rPr>
                <w:rFonts w:hint="eastAsia" w:cs="微软雅黑"/>
                <w:b w:val="0"/>
                <w:bCs w:val="0"/>
                <w:i w:val="0"/>
                <w:iCs w:val="0"/>
                <w:color w:val="000000"/>
                <w:kern w:val="0"/>
                <w:sz w:val="21"/>
                <w:szCs w:val="21"/>
                <w:u w:val="none"/>
                <w:lang w:val="en-US" w:eastAsia="zh-CN" w:bidi="ar"/>
              </w:rPr>
              <w:t>,</w:t>
            </w:r>
            <w:r>
              <w:rPr>
                <w:rFonts w:hint="eastAsia" w:ascii="微软雅黑" w:hAnsi="微软雅黑" w:eastAsia="微软雅黑" w:cs="微软雅黑"/>
                <w:b w:val="0"/>
                <w:bCs w:val="0"/>
                <w:i w:val="0"/>
                <w:iCs w:val="0"/>
                <w:color w:val="000000"/>
                <w:kern w:val="0"/>
                <w:sz w:val="21"/>
                <w:szCs w:val="21"/>
                <w:u w:val="none"/>
                <w:lang w:val="en-US" w:eastAsia="zh-CN" w:bidi="ar"/>
              </w:rPr>
              <w:t>500 起</w:t>
            </w:r>
          </w:p>
        </w:tc>
      </w:tr>
    </w:tbl>
    <w:p w14:paraId="7FC348D3">
      <w:pPr>
        <w:keepNext w:val="0"/>
        <w:keepLines w:val="0"/>
        <w:pageBreakBefore w:val="0"/>
        <w:widowControl/>
        <w:numPr>
          <w:ilvl w:val="0"/>
          <w:numId w:val="0"/>
        </w:numPr>
        <w:kinsoku/>
        <w:wordWrap/>
        <w:overflowPunct/>
        <w:topLinePunct w:val="0"/>
        <w:autoSpaceDE/>
        <w:autoSpaceDN/>
        <w:bidi w:val="0"/>
        <w:adjustRightInd/>
        <w:snapToGrid/>
        <w:spacing w:before="40" w:after="40"/>
        <w:ind w:firstLine="240" w:firstLineChars="100"/>
        <w:jc w:val="both"/>
        <w:textAlignment w:val="auto"/>
        <w:rPr>
          <w:rFonts w:hint="eastAsia"/>
          <w:sz w:val="24"/>
          <w:szCs w:val="28"/>
          <w:lang w:val="en-US" w:eastAsia="zh-CN"/>
        </w:rPr>
      </w:pPr>
      <w:r>
        <w:rPr>
          <w:rFonts w:hint="eastAsia"/>
          <w:sz w:val="24"/>
          <w:szCs w:val="28"/>
          <w:lang w:val="en-US" w:eastAsia="zh-CN"/>
        </w:rPr>
        <w:t>（2）注意事项</w:t>
      </w:r>
    </w:p>
    <w:p w14:paraId="5624ED7F">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eastAsia"/>
          <w:sz w:val="24"/>
          <w:szCs w:val="24"/>
          <w:lang w:val="en-US" w:eastAsia="zh-CN"/>
        </w:rPr>
      </w:pPr>
      <w:r>
        <w:rPr>
          <w:rFonts w:hint="eastAsia"/>
          <w:sz w:val="24"/>
          <w:szCs w:val="24"/>
          <w:lang w:val="en-US" w:eastAsia="zh-CN"/>
        </w:rPr>
        <w:t>赴阿联酋开展业务且需办理工作签的中方人员必须通过在当地设立的分支机构或子公司进行工资发放，需要注意：</w:t>
      </w:r>
    </w:p>
    <w:p w14:paraId="76BAC787">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eastAsia"/>
          <w:sz w:val="24"/>
          <w:szCs w:val="24"/>
          <w:lang w:val="en-US" w:eastAsia="zh-CN"/>
        </w:rPr>
      </w:pPr>
      <w:r>
        <w:rPr>
          <w:rFonts w:hint="eastAsia"/>
          <w:sz w:val="24"/>
          <w:szCs w:val="24"/>
          <w:lang w:val="en-US" w:eastAsia="zh-CN"/>
        </w:rPr>
        <w:t>第一，提前合理安排赴阿中方人员工作计划，减少在阿停留时间，从而减少需要在当地办理工作签证的人员数量。</w:t>
      </w:r>
    </w:p>
    <w:p w14:paraId="04DD6E6D">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eastAsia"/>
          <w:sz w:val="24"/>
          <w:szCs w:val="24"/>
          <w:lang w:val="en-US" w:eastAsia="zh-CN"/>
        </w:rPr>
      </w:pPr>
      <w:r>
        <w:rPr>
          <w:rFonts w:hint="eastAsia"/>
          <w:sz w:val="24"/>
          <w:szCs w:val="24"/>
          <w:lang w:val="en-US" w:eastAsia="zh-CN"/>
        </w:rPr>
        <w:t>第二，对于确需办理当地工作签证的人员，申请工作签证时选择适当从低的岗位等级，减少在阿当地需要实际发放的工资金额。并提前与员工就在阿当地发放工资做好沟通，涉及员工国内部分收入切换至当地，且员工需在当地办理银行卡用于收取当地工资。</w:t>
      </w:r>
    </w:p>
    <w:p w14:paraId="090E4515">
      <w:pPr>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default"/>
          <w:sz w:val="24"/>
          <w:szCs w:val="28"/>
          <w:lang w:val="en-US" w:eastAsia="zh-CN"/>
        </w:rPr>
      </w:pPr>
      <w:r>
        <w:rPr>
          <w:rFonts w:hint="eastAsia"/>
          <w:sz w:val="24"/>
          <w:szCs w:val="24"/>
          <w:lang w:val="en-US" w:eastAsia="zh-CN"/>
        </w:rPr>
        <w:t>第三，由于员工在境外领取的收入不能作为国内社保公积金基数，建议需要通过阿联酋WPS系统发放的工资作为员工国内工资代发的一部分，员工国内个税、社保公积金基数仍然按照全部收入申报，从而既做到国内税务、社保合规，也满足阿联酋当地合规要求。</w:t>
      </w:r>
    </w:p>
    <w:p w14:paraId="18BC25FC">
      <w:pPr>
        <w:pStyle w:val="5"/>
        <w:pageBreakBefore w:val="0"/>
        <w:widowControl/>
        <w:kinsoku/>
        <w:wordWrap/>
        <w:overflowPunct/>
        <w:topLinePunct w:val="0"/>
        <w:autoSpaceDE/>
        <w:autoSpaceDN/>
        <w:bidi w:val="0"/>
        <w:adjustRightInd/>
        <w:snapToGrid/>
        <w:jc w:val="both"/>
        <w:rPr>
          <w:rFonts w:ascii="微软雅黑" w:hAnsi="微软雅黑" w:eastAsia="微软雅黑"/>
          <w:color w:val="auto"/>
          <w:lang w:eastAsia="zh-CN"/>
        </w:rPr>
      </w:pPr>
      <w:bookmarkStart w:id="48" w:name="_Toc30151"/>
      <w:r>
        <w:rPr>
          <w:rFonts w:ascii="微软雅黑" w:hAnsi="微软雅黑" w:eastAsia="微软雅黑"/>
          <w:color w:val="auto"/>
          <w:lang w:val="zh-CN" w:eastAsia="zh-CN"/>
        </w:rPr>
        <w:t>5.2.3  税务管理</w:t>
      </w:r>
      <w:bookmarkEnd w:id="48"/>
    </w:p>
    <w:p w14:paraId="1BE50BC0">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en-US" w:eastAsia="zh-CN"/>
        </w:rPr>
      </w:pPr>
      <w:r>
        <w:rPr>
          <w:rFonts w:hint="eastAsia"/>
          <w:sz w:val="24"/>
          <w:szCs w:val="28"/>
          <w:lang w:val="en-US" w:eastAsia="zh-CN"/>
        </w:rPr>
        <w:t>1、税务登记</w:t>
      </w:r>
    </w:p>
    <w:p w14:paraId="77F3600D">
      <w:pPr>
        <w:keepNext w:val="0"/>
        <w:keepLines w:val="0"/>
        <w:pageBreakBefore w:val="0"/>
        <w:widowControl/>
        <w:kinsoku/>
        <w:wordWrap/>
        <w:overflowPunct/>
        <w:topLinePunct w:val="0"/>
        <w:autoSpaceDE/>
        <w:autoSpaceDN/>
        <w:bidi w:val="0"/>
        <w:adjustRightInd/>
        <w:snapToGrid/>
        <w:spacing w:before="40" w:after="40"/>
        <w:ind w:firstLine="240" w:firstLineChars="100"/>
        <w:jc w:val="both"/>
        <w:textAlignment w:val="auto"/>
        <w:rPr>
          <w:rFonts w:hint="default"/>
          <w:sz w:val="24"/>
          <w:szCs w:val="28"/>
          <w:lang w:val="en-US" w:eastAsia="zh-CN"/>
        </w:rPr>
      </w:pPr>
      <w:r>
        <w:rPr>
          <w:rFonts w:hint="eastAsia"/>
          <w:sz w:val="24"/>
          <w:szCs w:val="28"/>
          <w:lang w:val="en-US" w:eastAsia="zh-CN"/>
        </w:rPr>
        <w:t>（1）</w:t>
      </w:r>
      <w:r>
        <w:rPr>
          <w:rFonts w:hint="default"/>
          <w:sz w:val="24"/>
          <w:szCs w:val="28"/>
          <w:lang w:val="en-US" w:eastAsia="zh-CN"/>
        </w:rPr>
        <w:t>基本原则：阿联酋税务登记执行企业所得税与增值税双重登记。</w:t>
      </w:r>
    </w:p>
    <w:p w14:paraId="68B45DF9">
      <w:pPr>
        <w:keepNext w:val="0"/>
        <w:keepLines w:val="0"/>
        <w:pageBreakBefore w:val="0"/>
        <w:widowControl/>
        <w:kinsoku/>
        <w:wordWrap/>
        <w:overflowPunct/>
        <w:topLinePunct w:val="0"/>
        <w:autoSpaceDE/>
        <w:autoSpaceDN/>
        <w:bidi w:val="0"/>
        <w:adjustRightInd/>
        <w:snapToGrid/>
        <w:spacing w:before="40" w:after="40"/>
        <w:ind w:firstLine="240" w:firstLineChars="100"/>
        <w:jc w:val="both"/>
        <w:textAlignment w:val="auto"/>
        <w:rPr>
          <w:rFonts w:hint="default"/>
          <w:sz w:val="24"/>
          <w:szCs w:val="28"/>
          <w:lang w:val="en-US" w:eastAsia="zh-CN"/>
        </w:rPr>
      </w:pPr>
      <w:r>
        <w:rPr>
          <w:rFonts w:hint="eastAsia"/>
          <w:sz w:val="24"/>
          <w:szCs w:val="28"/>
          <w:lang w:val="en-US" w:eastAsia="zh-CN"/>
        </w:rPr>
        <w:t>（2）</w:t>
      </w:r>
      <w:r>
        <w:rPr>
          <w:rFonts w:hint="default"/>
          <w:sz w:val="24"/>
          <w:szCs w:val="28"/>
          <w:lang w:val="en-US" w:eastAsia="zh-CN"/>
        </w:rPr>
        <w:t>核心要点：企业所得税强制登记（不含非常设机构）、非居民企业增值税强制登记、居民企业增值税按营业额门槛登记（过去12个月或未来30天内应税营业额≥375,000AED强制登记）</w:t>
      </w:r>
      <w:r>
        <w:rPr>
          <w:rFonts w:hint="eastAsia"/>
          <w:sz w:val="24"/>
          <w:szCs w:val="28"/>
          <w:lang w:val="en-US" w:eastAsia="zh-CN"/>
        </w:rPr>
        <w:t>。</w:t>
      </w:r>
      <w:r>
        <w:rPr>
          <w:rFonts w:hint="default"/>
          <w:sz w:val="24"/>
          <w:szCs w:val="28"/>
          <w:lang w:val="en-US" w:eastAsia="zh-CN"/>
        </w:rPr>
        <w:t>子公司/分公司营业执照签发之日起3个月内、项目部（常设机构）设立之日起6个月内在联邦税务局（FTA）官方平台EmaraTax线上办理企业所得税登记</w:t>
      </w:r>
      <w:r>
        <w:rPr>
          <w:rFonts w:hint="eastAsia"/>
          <w:sz w:val="24"/>
          <w:szCs w:val="28"/>
          <w:lang w:val="en-US" w:eastAsia="zh-CN"/>
        </w:rPr>
        <w:t>，提交营业执照、开户证明、地址证明、法人资料、项目备案文件等</w:t>
      </w:r>
      <w:r>
        <w:rPr>
          <w:rFonts w:hint="default"/>
          <w:sz w:val="24"/>
          <w:szCs w:val="28"/>
          <w:lang w:val="en-US" w:eastAsia="zh-CN"/>
        </w:rPr>
        <w:t>，项目部强制本地税务代表（本地注册税务师）</w:t>
      </w:r>
      <w:r>
        <w:rPr>
          <w:rFonts w:hint="eastAsia"/>
          <w:sz w:val="24"/>
          <w:szCs w:val="28"/>
          <w:lang w:val="en-US" w:eastAsia="zh-CN"/>
        </w:rPr>
        <w:t>，办理周期5-20个工作日；</w:t>
      </w:r>
      <w:r>
        <w:rPr>
          <w:rFonts w:hint="default"/>
          <w:sz w:val="24"/>
          <w:szCs w:val="28"/>
          <w:lang w:val="en-US" w:eastAsia="zh-CN"/>
        </w:rPr>
        <w:t>经营主体过去12个月或未来30天内应税营业额≥375,000AED的，应于达标之日起30日内通过 EmaraTax 完成增值税登记并取得TRN，未达门槛企业无强制增值税登记时限，可自愿登记。</w:t>
      </w:r>
    </w:p>
    <w:p w14:paraId="43C24713">
      <w:pPr>
        <w:keepNext w:val="0"/>
        <w:keepLines w:val="0"/>
        <w:pageBreakBefore w:val="0"/>
        <w:widowControl/>
        <w:kinsoku/>
        <w:wordWrap/>
        <w:overflowPunct/>
        <w:topLinePunct w:val="0"/>
        <w:autoSpaceDE/>
        <w:autoSpaceDN/>
        <w:bidi w:val="0"/>
        <w:adjustRightInd/>
        <w:snapToGrid/>
        <w:spacing w:before="40" w:after="40"/>
        <w:ind w:firstLine="240" w:firstLineChars="100"/>
        <w:jc w:val="both"/>
        <w:textAlignment w:val="auto"/>
        <w:rPr>
          <w:rFonts w:hint="default"/>
          <w:sz w:val="24"/>
          <w:szCs w:val="28"/>
          <w:lang w:val="en-US" w:eastAsia="zh-CN"/>
        </w:rPr>
      </w:pPr>
      <w:r>
        <w:rPr>
          <w:rFonts w:hint="eastAsia"/>
          <w:sz w:val="24"/>
          <w:szCs w:val="28"/>
          <w:lang w:val="en-US" w:eastAsia="zh-CN"/>
        </w:rPr>
        <w:t>（3）</w:t>
      </w:r>
      <w:r>
        <w:rPr>
          <w:rFonts w:hint="default"/>
          <w:sz w:val="24"/>
          <w:szCs w:val="28"/>
          <w:lang w:val="en-US" w:eastAsia="zh-CN"/>
        </w:rPr>
        <w:t>登记流程：注册账号→创建应税主体→填报信息→上传材料→提交审核→获取税务登记号（TRN）。</w:t>
      </w:r>
    </w:p>
    <w:p w14:paraId="21805165">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en-US" w:eastAsia="zh-CN"/>
        </w:rPr>
      </w:pPr>
      <w:r>
        <w:rPr>
          <w:rFonts w:hint="eastAsia"/>
          <w:sz w:val="24"/>
          <w:szCs w:val="28"/>
          <w:lang w:val="en-US" w:eastAsia="zh-CN"/>
        </w:rPr>
        <w:t>2、各税种实操</w:t>
      </w:r>
    </w:p>
    <w:p w14:paraId="4227637E">
      <w:pPr>
        <w:keepNext w:val="0"/>
        <w:keepLines w:val="0"/>
        <w:pageBreakBefore w:val="0"/>
        <w:widowControl/>
        <w:kinsoku/>
        <w:wordWrap/>
        <w:overflowPunct/>
        <w:topLinePunct w:val="0"/>
        <w:autoSpaceDE/>
        <w:autoSpaceDN/>
        <w:bidi w:val="0"/>
        <w:adjustRightInd/>
        <w:snapToGrid/>
        <w:spacing w:before="40" w:after="40"/>
        <w:ind w:firstLine="240" w:firstLineChars="100"/>
        <w:jc w:val="both"/>
        <w:textAlignment w:val="auto"/>
        <w:rPr>
          <w:rFonts w:hint="default"/>
          <w:sz w:val="24"/>
          <w:szCs w:val="28"/>
          <w:lang w:val="en-US" w:eastAsia="zh-CN"/>
        </w:rPr>
      </w:pPr>
      <w:r>
        <w:rPr>
          <w:rFonts w:hint="eastAsia"/>
          <w:sz w:val="24"/>
          <w:szCs w:val="28"/>
          <w:lang w:val="en-US" w:eastAsia="zh-CN"/>
        </w:rPr>
        <w:t>（1）</w:t>
      </w:r>
      <w:r>
        <w:rPr>
          <w:rFonts w:hint="default"/>
          <w:sz w:val="24"/>
          <w:szCs w:val="28"/>
          <w:lang w:val="en-US" w:eastAsia="zh-CN"/>
        </w:rPr>
        <w:t>增值税</w:t>
      </w:r>
    </w:p>
    <w:p w14:paraId="5F41C0DC">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default"/>
          <w:sz w:val="24"/>
          <w:szCs w:val="28"/>
          <w:lang w:val="en-US" w:eastAsia="zh-CN"/>
        </w:rPr>
      </w:pPr>
      <w:r>
        <w:rPr>
          <w:rFonts w:hint="default"/>
          <w:sz w:val="24"/>
          <w:szCs w:val="28"/>
          <w:lang w:val="en-US" w:eastAsia="zh-CN"/>
        </w:rPr>
        <w:t>纳税义务时点：采用“三者孰早”原则——货物交付/服务完成、收到款项、开具发票，以最早发生者确定当期申报纳税，实务处理时基本按照外账收入确认、收款、开票孰早进行销项税申报。</w:t>
      </w:r>
    </w:p>
    <w:p w14:paraId="104C8E7E">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default"/>
          <w:sz w:val="24"/>
          <w:szCs w:val="28"/>
          <w:lang w:val="en-US" w:eastAsia="zh-CN"/>
        </w:rPr>
      </w:pPr>
      <w:r>
        <w:rPr>
          <w:rFonts w:hint="default"/>
          <w:sz w:val="24"/>
          <w:szCs w:val="28"/>
          <w:lang w:val="en-US" w:eastAsia="zh-CN"/>
        </w:rPr>
        <w:t>申报缴纳：项目财务按</w:t>
      </w:r>
      <w:r>
        <w:rPr>
          <w:rFonts w:hint="eastAsia"/>
          <w:sz w:val="24"/>
          <w:szCs w:val="28"/>
          <w:lang w:val="en-US" w:eastAsia="zh-CN"/>
        </w:rPr>
        <w:t>申报周期</w:t>
      </w:r>
      <w:r>
        <w:rPr>
          <w:rFonts w:hint="default"/>
          <w:sz w:val="24"/>
          <w:szCs w:val="28"/>
          <w:lang w:val="en-US" w:eastAsia="zh-CN"/>
        </w:rPr>
        <w:t>将销项申报材料与进项可抵扣发票整理成清单发送给税务代理，税务代理在阿联酋税务系统中填写纳税申报表，反馈纳税申报表由项目财务-总部税务主管-总部财务部负责人审核无误后完成申报，并缴纳税款</w:t>
      </w:r>
      <w:r>
        <w:rPr>
          <w:rFonts w:hint="eastAsia"/>
          <w:sz w:val="24"/>
          <w:szCs w:val="28"/>
          <w:lang w:val="en-US" w:eastAsia="zh-CN"/>
        </w:rPr>
        <w:t>，同时留存申报材料和完税凭证，及时归档</w:t>
      </w:r>
      <w:r>
        <w:rPr>
          <w:rFonts w:hint="default"/>
          <w:sz w:val="24"/>
          <w:szCs w:val="28"/>
          <w:lang w:val="en-US" w:eastAsia="zh-CN"/>
        </w:rPr>
        <w:t>。</w:t>
      </w:r>
    </w:p>
    <w:p w14:paraId="2717CB0B">
      <w:pPr>
        <w:keepNext w:val="0"/>
        <w:keepLines w:val="0"/>
        <w:pageBreakBefore w:val="0"/>
        <w:widowControl/>
        <w:kinsoku/>
        <w:wordWrap/>
        <w:overflowPunct/>
        <w:topLinePunct w:val="0"/>
        <w:autoSpaceDE/>
        <w:autoSpaceDN/>
        <w:bidi w:val="0"/>
        <w:adjustRightInd/>
        <w:snapToGrid/>
        <w:spacing w:before="40" w:after="40"/>
        <w:ind w:firstLine="240" w:firstLineChars="100"/>
        <w:jc w:val="both"/>
        <w:textAlignment w:val="auto"/>
        <w:rPr>
          <w:rFonts w:hint="eastAsia"/>
          <w:sz w:val="24"/>
          <w:szCs w:val="28"/>
          <w:lang w:val="en-US" w:eastAsia="zh-CN"/>
        </w:rPr>
      </w:pPr>
      <w:r>
        <w:rPr>
          <w:rFonts w:hint="eastAsia"/>
          <w:sz w:val="24"/>
          <w:szCs w:val="28"/>
          <w:lang w:val="en-US" w:eastAsia="zh-CN"/>
        </w:rPr>
        <w:t>（2）企业所得税</w:t>
      </w:r>
    </w:p>
    <w:p w14:paraId="4EEEF5F0">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default"/>
          <w:sz w:val="24"/>
          <w:szCs w:val="28"/>
          <w:lang w:val="en-US" w:eastAsia="zh-CN"/>
        </w:rPr>
      </w:pPr>
      <w:r>
        <w:rPr>
          <w:rFonts w:hint="default"/>
          <w:sz w:val="24"/>
          <w:szCs w:val="28"/>
          <w:lang w:val="en-US" w:eastAsia="zh-CN"/>
        </w:rPr>
        <w:t>纳税义务时点：遵从权责发生制原则，与会计核算收入一致。次年9月</w:t>
      </w:r>
      <w:r>
        <w:rPr>
          <w:rFonts w:hint="eastAsia"/>
          <w:sz w:val="24"/>
          <w:szCs w:val="28"/>
          <w:lang w:val="en-US" w:eastAsia="zh-CN"/>
        </w:rPr>
        <w:t>底前</w:t>
      </w:r>
      <w:r>
        <w:rPr>
          <w:rFonts w:hint="default"/>
          <w:sz w:val="24"/>
          <w:szCs w:val="28"/>
          <w:lang w:val="en-US" w:eastAsia="zh-CN"/>
        </w:rPr>
        <w:t>申报缴纳，无季度预缴。</w:t>
      </w:r>
    </w:p>
    <w:p w14:paraId="64861277">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default"/>
          <w:sz w:val="24"/>
          <w:szCs w:val="28"/>
          <w:lang w:val="en-US" w:eastAsia="zh-CN"/>
        </w:rPr>
      </w:pPr>
      <w:r>
        <w:rPr>
          <w:rFonts w:hint="default"/>
          <w:sz w:val="24"/>
          <w:szCs w:val="28"/>
          <w:lang w:val="en-US" w:eastAsia="zh-CN"/>
        </w:rPr>
        <w:t>申报缴纳：基于阿联酋当地会计师事务所已审定的年度财务报表进行纳税申报，由税务代理在税务系统中填写纳税申报表，与项目财务沟通纳税调整事项，纳税申报表经总部税务主管-总部财务部负责人审核无误后完成申报，并缴纳税款</w:t>
      </w:r>
      <w:r>
        <w:rPr>
          <w:rFonts w:hint="eastAsia"/>
          <w:sz w:val="24"/>
          <w:szCs w:val="28"/>
          <w:lang w:val="en-US" w:eastAsia="zh-CN"/>
        </w:rPr>
        <w:t>，同时留存申报材料和完税凭证，及时归档</w:t>
      </w:r>
      <w:r>
        <w:rPr>
          <w:rFonts w:hint="default"/>
          <w:sz w:val="24"/>
          <w:szCs w:val="28"/>
          <w:lang w:val="en-US" w:eastAsia="zh-CN"/>
        </w:rPr>
        <w:t>。</w:t>
      </w:r>
    </w:p>
    <w:p w14:paraId="2CA019B2">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en-US" w:eastAsia="zh-CN"/>
        </w:rPr>
      </w:pPr>
      <w:r>
        <w:rPr>
          <w:rFonts w:hint="eastAsia"/>
          <w:sz w:val="24"/>
          <w:szCs w:val="28"/>
          <w:lang w:val="en-US" w:eastAsia="zh-CN"/>
        </w:rPr>
        <w:t>3、税务稽查应对</w:t>
      </w:r>
    </w:p>
    <w:p w14:paraId="6617BE4C">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default"/>
          <w:sz w:val="24"/>
          <w:szCs w:val="28"/>
          <w:lang w:val="en-US" w:eastAsia="zh-CN"/>
        </w:rPr>
      </w:pPr>
      <w:r>
        <w:rPr>
          <w:rFonts w:hint="default"/>
          <w:sz w:val="24"/>
          <w:szCs w:val="28"/>
          <w:lang w:val="en-US" w:eastAsia="zh-CN"/>
        </w:rPr>
        <w:t>检查周期：阿联酋税务检查无法定固定周期，结合当地实际情况，一般3-5年进行一次整体税务检查。但是对于申报异常、退税频繁、大额抵扣、收入与行业不符等情形存在不定期专项检查。</w:t>
      </w:r>
    </w:p>
    <w:p w14:paraId="6214B227">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default"/>
          <w:sz w:val="24"/>
          <w:szCs w:val="28"/>
          <w:lang w:val="en-US" w:eastAsia="zh-CN"/>
        </w:rPr>
      </w:pPr>
      <w:r>
        <w:rPr>
          <w:rFonts w:hint="default"/>
          <w:sz w:val="24"/>
          <w:szCs w:val="28"/>
          <w:lang w:val="en-US" w:eastAsia="zh-CN"/>
        </w:rPr>
        <w:t>检查应对</w:t>
      </w:r>
      <w:r>
        <w:rPr>
          <w:rFonts w:hint="eastAsia"/>
          <w:sz w:val="24"/>
          <w:szCs w:val="28"/>
          <w:lang w:val="en-US" w:eastAsia="zh-CN"/>
        </w:rPr>
        <w:t>：</w:t>
      </w:r>
    </w:p>
    <w:p w14:paraId="222FB640">
      <w:pPr>
        <w:keepNext w:val="0"/>
        <w:keepLines w:val="0"/>
        <w:pageBreakBefore w:val="0"/>
        <w:widowControl/>
        <w:kinsoku/>
        <w:wordWrap/>
        <w:overflowPunct/>
        <w:topLinePunct w:val="0"/>
        <w:autoSpaceDE/>
        <w:autoSpaceDN/>
        <w:bidi w:val="0"/>
        <w:adjustRightInd/>
        <w:snapToGrid/>
        <w:spacing w:before="40" w:after="40"/>
        <w:ind w:firstLine="240" w:firstLineChars="100"/>
        <w:jc w:val="both"/>
        <w:textAlignment w:val="auto"/>
        <w:rPr>
          <w:rFonts w:hint="default"/>
          <w:sz w:val="24"/>
          <w:szCs w:val="28"/>
          <w:lang w:val="en-US" w:eastAsia="zh-CN"/>
        </w:rPr>
      </w:pPr>
      <w:r>
        <w:rPr>
          <w:rFonts w:hint="eastAsia"/>
          <w:sz w:val="24"/>
          <w:szCs w:val="28"/>
          <w:lang w:val="en-US" w:eastAsia="zh-CN"/>
        </w:rPr>
        <w:t>（1）</w:t>
      </w:r>
      <w:r>
        <w:rPr>
          <w:rFonts w:hint="default"/>
          <w:sz w:val="24"/>
          <w:szCs w:val="28"/>
          <w:lang w:val="en-US" w:eastAsia="zh-CN"/>
        </w:rPr>
        <w:t>确保账、票、钱、货/服务四流一致；增值税进项抵扣必须真实、有合同、有验收；收入确认与项目进度匹配。</w:t>
      </w:r>
    </w:p>
    <w:p w14:paraId="70715D43">
      <w:pPr>
        <w:keepNext w:val="0"/>
        <w:keepLines w:val="0"/>
        <w:pageBreakBefore w:val="0"/>
        <w:widowControl/>
        <w:kinsoku/>
        <w:wordWrap/>
        <w:overflowPunct/>
        <w:topLinePunct w:val="0"/>
        <w:autoSpaceDE/>
        <w:autoSpaceDN/>
        <w:bidi w:val="0"/>
        <w:adjustRightInd/>
        <w:snapToGrid/>
        <w:spacing w:before="40" w:after="40"/>
        <w:ind w:firstLine="240" w:firstLineChars="100"/>
        <w:jc w:val="both"/>
        <w:textAlignment w:val="auto"/>
        <w:rPr>
          <w:rFonts w:hint="default"/>
          <w:sz w:val="24"/>
          <w:szCs w:val="28"/>
          <w:lang w:val="en-US" w:eastAsia="zh-CN"/>
        </w:rPr>
      </w:pPr>
      <w:r>
        <w:rPr>
          <w:rFonts w:hint="eastAsia"/>
          <w:sz w:val="24"/>
          <w:szCs w:val="28"/>
          <w:lang w:val="en-US" w:eastAsia="zh-CN"/>
        </w:rPr>
        <w:t>（2）</w:t>
      </w:r>
      <w:r>
        <w:rPr>
          <w:rFonts w:hint="default"/>
          <w:sz w:val="24"/>
          <w:szCs w:val="28"/>
          <w:lang w:val="en-US" w:eastAsia="zh-CN"/>
        </w:rPr>
        <w:t>提前准备近5年会计凭证、发票、合同、银行流水；年度审计报告；项目进度单、验收单、移交证书；员工工资WPS系统记录、劳动合同、签证等。</w:t>
      </w:r>
    </w:p>
    <w:p w14:paraId="7D4D9D78">
      <w:pPr>
        <w:keepNext w:val="0"/>
        <w:keepLines w:val="0"/>
        <w:pageBreakBefore w:val="0"/>
        <w:widowControl/>
        <w:kinsoku/>
        <w:wordWrap/>
        <w:overflowPunct/>
        <w:topLinePunct w:val="0"/>
        <w:autoSpaceDE/>
        <w:autoSpaceDN/>
        <w:bidi w:val="0"/>
        <w:adjustRightInd/>
        <w:snapToGrid/>
        <w:spacing w:before="40" w:after="40"/>
        <w:ind w:firstLine="240" w:firstLineChars="100"/>
        <w:jc w:val="both"/>
        <w:textAlignment w:val="auto"/>
        <w:rPr>
          <w:rFonts w:hint="default"/>
          <w:sz w:val="24"/>
          <w:szCs w:val="28"/>
          <w:lang w:val="en-US" w:eastAsia="zh-CN"/>
        </w:rPr>
      </w:pPr>
      <w:r>
        <w:rPr>
          <w:rFonts w:hint="eastAsia"/>
          <w:sz w:val="24"/>
          <w:szCs w:val="28"/>
          <w:lang w:val="en-US" w:eastAsia="zh-CN"/>
        </w:rPr>
        <w:t>（3）</w:t>
      </w:r>
      <w:r>
        <w:rPr>
          <w:rFonts w:hint="default"/>
          <w:sz w:val="24"/>
          <w:szCs w:val="28"/>
          <w:lang w:val="en-US" w:eastAsia="zh-CN"/>
        </w:rPr>
        <w:t>积极配合税务检查人员对于各项材料的检查，有理有据的进行解释沟通，并尽可能让税务代理协助答疑。</w:t>
      </w:r>
    </w:p>
    <w:p w14:paraId="2D4CEB7D">
      <w:pPr>
        <w:keepNext w:val="0"/>
        <w:keepLines w:val="0"/>
        <w:pageBreakBefore w:val="0"/>
        <w:widowControl/>
        <w:kinsoku/>
        <w:wordWrap/>
        <w:overflowPunct/>
        <w:topLinePunct w:val="0"/>
        <w:autoSpaceDE/>
        <w:autoSpaceDN/>
        <w:bidi w:val="0"/>
        <w:adjustRightInd/>
        <w:snapToGrid/>
        <w:spacing w:before="40" w:after="40"/>
        <w:ind w:firstLine="240" w:firstLineChars="100"/>
        <w:jc w:val="both"/>
        <w:textAlignment w:val="auto"/>
        <w:rPr>
          <w:rFonts w:hint="default"/>
          <w:sz w:val="24"/>
          <w:szCs w:val="28"/>
          <w:lang w:val="en-US" w:eastAsia="zh-CN"/>
        </w:rPr>
      </w:pPr>
      <w:r>
        <w:rPr>
          <w:rFonts w:hint="eastAsia"/>
          <w:sz w:val="24"/>
          <w:szCs w:val="28"/>
          <w:lang w:val="en-US" w:eastAsia="zh-CN"/>
        </w:rPr>
        <w:t>（4）</w:t>
      </w:r>
      <w:r>
        <w:rPr>
          <w:rFonts w:hint="default"/>
          <w:sz w:val="24"/>
          <w:szCs w:val="28"/>
          <w:lang w:val="en-US" w:eastAsia="zh-CN"/>
        </w:rPr>
        <w:t>尽早获取检查报告初稿，以便确定报告中所列示的结果是否存在不合理之处，并为沟通预留充分时间。</w:t>
      </w:r>
    </w:p>
    <w:p w14:paraId="07DB7E48">
      <w:pPr>
        <w:keepNext w:val="0"/>
        <w:keepLines w:val="0"/>
        <w:pageBreakBefore w:val="0"/>
        <w:widowControl/>
        <w:kinsoku/>
        <w:wordWrap/>
        <w:overflowPunct/>
        <w:topLinePunct w:val="0"/>
        <w:autoSpaceDE/>
        <w:autoSpaceDN/>
        <w:bidi w:val="0"/>
        <w:adjustRightInd/>
        <w:snapToGrid/>
        <w:spacing w:before="40" w:after="40"/>
        <w:ind w:firstLine="240" w:firstLineChars="100"/>
        <w:jc w:val="both"/>
        <w:textAlignment w:val="auto"/>
        <w:rPr>
          <w:rFonts w:hint="default"/>
          <w:sz w:val="24"/>
          <w:szCs w:val="28"/>
          <w:lang w:val="en-US" w:eastAsia="zh-CN"/>
        </w:rPr>
      </w:pPr>
      <w:r>
        <w:rPr>
          <w:rFonts w:hint="eastAsia"/>
          <w:sz w:val="24"/>
          <w:szCs w:val="28"/>
          <w:lang w:val="en-US" w:eastAsia="zh-CN"/>
        </w:rPr>
        <w:t>（5）</w:t>
      </w:r>
      <w:r>
        <w:rPr>
          <w:rFonts w:hint="default"/>
          <w:sz w:val="24"/>
          <w:szCs w:val="28"/>
          <w:lang w:val="en-US" w:eastAsia="zh-CN"/>
        </w:rPr>
        <w:t>每次检查结案必须获取税务局出具的结案报告或证明，形成闭环。</w:t>
      </w:r>
    </w:p>
    <w:p w14:paraId="51AB2791">
      <w:pPr>
        <w:pStyle w:val="5"/>
        <w:pageBreakBefore w:val="0"/>
        <w:widowControl/>
        <w:kinsoku/>
        <w:wordWrap/>
        <w:overflowPunct/>
        <w:topLinePunct w:val="0"/>
        <w:autoSpaceDE/>
        <w:autoSpaceDN/>
        <w:bidi w:val="0"/>
        <w:adjustRightInd/>
        <w:snapToGrid/>
        <w:jc w:val="both"/>
        <w:rPr>
          <w:rFonts w:hint="eastAsia"/>
          <w:b w:val="0"/>
          <w:bCs w:val="0"/>
          <w:iCs/>
          <w:sz w:val="24"/>
          <w:szCs w:val="24"/>
          <w:highlight w:val="none"/>
          <w:lang w:val="en-US" w:eastAsia="zh-CN"/>
        </w:rPr>
      </w:pPr>
      <w:bookmarkStart w:id="49" w:name="_Toc15649"/>
      <w:r>
        <w:rPr>
          <w:rFonts w:ascii="微软雅黑" w:hAnsi="微软雅黑" w:eastAsia="微软雅黑"/>
          <w:color w:val="auto"/>
          <w:lang w:val="zh-CN" w:eastAsia="zh-CN"/>
        </w:rPr>
        <w:t>5.2.4  具体项目案例</w:t>
      </w:r>
      <w:bookmarkEnd w:id="49"/>
    </w:p>
    <w:p w14:paraId="51D5C90A">
      <w:pPr>
        <w:pageBreakBefore w:val="0"/>
        <w:widowControl/>
        <w:kinsoku/>
        <w:wordWrap/>
        <w:overflowPunct/>
        <w:topLinePunct w:val="0"/>
        <w:autoSpaceDE/>
        <w:autoSpaceDN/>
        <w:bidi w:val="0"/>
        <w:adjustRightInd/>
        <w:snapToGrid/>
        <w:spacing w:after="80"/>
        <w:ind w:firstLine="480" w:firstLineChars="200"/>
        <w:jc w:val="both"/>
        <w:rPr>
          <w:rFonts w:hint="default"/>
          <w:b w:val="0"/>
          <w:bCs w:val="0"/>
          <w:iCs/>
          <w:sz w:val="24"/>
          <w:szCs w:val="24"/>
          <w:highlight w:val="none"/>
          <w:lang w:val="en-US" w:eastAsia="zh-CN"/>
        </w:rPr>
      </w:pPr>
      <w:r>
        <w:rPr>
          <w:rFonts w:hint="eastAsia"/>
          <w:b w:val="0"/>
          <w:bCs w:val="0"/>
          <w:iCs/>
          <w:sz w:val="24"/>
          <w:szCs w:val="24"/>
          <w:highlight w:val="none"/>
          <w:lang w:val="en-US" w:eastAsia="zh-CN"/>
        </w:rPr>
        <w:t>1、机修车间项目</w:t>
      </w:r>
    </w:p>
    <w:p w14:paraId="61406368">
      <w:pPr>
        <w:pageBreakBefore w:val="0"/>
        <w:widowControl/>
        <w:kinsoku/>
        <w:wordWrap/>
        <w:overflowPunct/>
        <w:topLinePunct w:val="0"/>
        <w:autoSpaceDE/>
        <w:autoSpaceDN/>
        <w:bidi w:val="0"/>
        <w:adjustRightInd/>
        <w:snapToGrid/>
        <w:spacing w:after="80"/>
        <w:ind w:firstLine="480" w:firstLineChars="200"/>
        <w:jc w:val="both"/>
        <w:rPr>
          <w:rFonts w:hint="eastAsia"/>
          <w:b w:val="0"/>
          <w:bCs w:val="0"/>
          <w:iCs/>
          <w:sz w:val="24"/>
          <w:szCs w:val="24"/>
          <w:highlight w:val="none"/>
          <w:lang w:val="en-US" w:eastAsia="zh-CN"/>
        </w:rPr>
      </w:pPr>
      <w:r>
        <w:rPr>
          <w:rFonts w:hint="eastAsia"/>
          <w:b w:val="0"/>
          <w:bCs w:val="0"/>
          <w:iCs/>
          <w:sz w:val="24"/>
          <w:szCs w:val="24"/>
          <w:highlight w:val="none"/>
          <w:lang w:val="en-US" w:eastAsia="zh-CN"/>
        </w:rPr>
        <w:t>项目简介：项目合同额3,450万AED，北京公司阿布扎比子公司与阿布扎比当地业主签订合同，项目内容主要为当地土建施工，需要以子公司名义办理施工资质并报批报建，合同约定需要开具15%预付款保函以及5%质保保函。</w:t>
      </w:r>
    </w:p>
    <w:p w14:paraId="5300F894">
      <w:pPr>
        <w:pageBreakBefore w:val="0"/>
        <w:widowControl/>
        <w:kinsoku/>
        <w:wordWrap/>
        <w:overflowPunct/>
        <w:topLinePunct w:val="0"/>
        <w:autoSpaceDE/>
        <w:autoSpaceDN/>
        <w:bidi w:val="0"/>
        <w:adjustRightInd/>
        <w:snapToGrid/>
        <w:spacing w:after="80"/>
        <w:ind w:firstLine="480" w:firstLineChars="200"/>
        <w:jc w:val="both"/>
        <w:rPr>
          <w:rFonts w:hint="eastAsia"/>
          <w:b w:val="0"/>
          <w:bCs w:val="0"/>
          <w:iCs/>
          <w:sz w:val="24"/>
          <w:szCs w:val="24"/>
          <w:highlight w:val="none"/>
          <w:lang w:val="en-US" w:eastAsia="zh-CN"/>
        </w:rPr>
      </w:pPr>
      <w:r>
        <w:rPr>
          <w:rFonts w:hint="eastAsia"/>
          <w:b w:val="0"/>
          <w:bCs w:val="0"/>
          <w:iCs/>
          <w:sz w:val="24"/>
          <w:szCs w:val="24"/>
          <w:highlight w:val="none"/>
          <w:lang w:val="en-US" w:eastAsia="zh-CN"/>
        </w:rPr>
        <w:t>主要问题：</w:t>
      </w:r>
    </w:p>
    <w:p w14:paraId="10E8A4EB">
      <w:pPr>
        <w:pageBreakBefore w:val="0"/>
        <w:widowControl/>
        <w:kinsoku/>
        <w:wordWrap/>
        <w:overflowPunct/>
        <w:topLinePunct w:val="0"/>
        <w:autoSpaceDE/>
        <w:autoSpaceDN/>
        <w:bidi w:val="0"/>
        <w:adjustRightInd/>
        <w:snapToGrid/>
        <w:spacing w:after="80"/>
        <w:ind w:firstLine="240" w:firstLineChars="100"/>
        <w:jc w:val="both"/>
        <w:rPr>
          <w:rFonts w:hint="eastAsia"/>
          <w:b w:val="0"/>
          <w:bCs w:val="0"/>
          <w:iCs/>
          <w:sz w:val="24"/>
          <w:szCs w:val="24"/>
          <w:highlight w:val="none"/>
          <w:lang w:val="en-US" w:eastAsia="zh-CN"/>
        </w:rPr>
      </w:pPr>
      <w:r>
        <w:rPr>
          <w:rFonts w:hint="eastAsia"/>
          <w:b w:val="0"/>
          <w:bCs w:val="0"/>
          <w:iCs/>
          <w:sz w:val="24"/>
          <w:szCs w:val="24"/>
          <w:highlight w:val="none"/>
          <w:lang w:val="en-US" w:eastAsia="zh-CN"/>
        </w:rPr>
        <w:t>（1）北京公司阿布扎比子公司（前期为分公司，后转为子公司）注册成立时未在中国办理ODI外汇登记，子公司开立保函无法通过使用母公司授信并由母公司开立分离式保函的形式实现，而子公司从阿布扎比当地无法取得免保授信，只能缴纳100%保证金后开立保函。</w:t>
      </w:r>
    </w:p>
    <w:p w14:paraId="47CBB8D8">
      <w:pPr>
        <w:pageBreakBefore w:val="0"/>
        <w:widowControl/>
        <w:kinsoku/>
        <w:wordWrap/>
        <w:overflowPunct/>
        <w:topLinePunct w:val="0"/>
        <w:autoSpaceDE/>
        <w:autoSpaceDN/>
        <w:bidi w:val="0"/>
        <w:adjustRightInd/>
        <w:snapToGrid/>
        <w:spacing w:after="80"/>
        <w:ind w:firstLine="240" w:firstLineChars="100"/>
        <w:jc w:val="both"/>
        <w:rPr>
          <w:rFonts w:hint="default"/>
          <w:b w:val="0"/>
          <w:bCs w:val="0"/>
          <w:iCs/>
          <w:sz w:val="24"/>
          <w:szCs w:val="24"/>
          <w:highlight w:val="none"/>
          <w:lang w:val="en-US" w:eastAsia="zh-CN"/>
        </w:rPr>
      </w:pPr>
      <w:r>
        <w:rPr>
          <w:rFonts w:hint="eastAsia"/>
          <w:b w:val="0"/>
          <w:bCs w:val="0"/>
          <w:iCs/>
          <w:sz w:val="24"/>
          <w:szCs w:val="24"/>
          <w:highlight w:val="none"/>
          <w:lang w:val="en-US" w:eastAsia="zh-CN"/>
        </w:rPr>
        <w:t>（2）同时，子公司留存在阿联酋当地的利润无法通过分红的形式汇回到国内，只能通过关联交易的形式处理，面临转移定价合理性以及当地税务合规性问题。</w:t>
      </w:r>
    </w:p>
    <w:p w14:paraId="703A598E">
      <w:pPr>
        <w:pageBreakBefore w:val="0"/>
        <w:widowControl/>
        <w:kinsoku/>
        <w:wordWrap/>
        <w:overflowPunct/>
        <w:topLinePunct w:val="0"/>
        <w:autoSpaceDE/>
        <w:autoSpaceDN/>
        <w:bidi w:val="0"/>
        <w:adjustRightInd/>
        <w:snapToGrid/>
        <w:spacing w:after="80"/>
        <w:ind w:firstLine="480" w:firstLineChars="200"/>
        <w:jc w:val="both"/>
        <w:rPr>
          <w:rFonts w:hint="eastAsia"/>
          <w:b w:val="0"/>
          <w:bCs w:val="0"/>
          <w:iCs/>
          <w:sz w:val="24"/>
          <w:szCs w:val="24"/>
          <w:highlight w:val="none"/>
          <w:lang w:val="en-US" w:eastAsia="zh-CN"/>
        </w:rPr>
      </w:pPr>
      <w:r>
        <w:rPr>
          <w:rFonts w:hint="eastAsia"/>
          <w:b w:val="0"/>
          <w:bCs w:val="0"/>
          <w:iCs/>
          <w:sz w:val="24"/>
          <w:szCs w:val="24"/>
          <w:highlight w:val="none"/>
          <w:lang w:val="en-US" w:eastAsia="zh-CN"/>
        </w:rPr>
        <w:t>解决办法：</w:t>
      </w:r>
    </w:p>
    <w:p w14:paraId="2CBE8534">
      <w:pPr>
        <w:pageBreakBefore w:val="0"/>
        <w:widowControl/>
        <w:kinsoku/>
        <w:wordWrap/>
        <w:overflowPunct/>
        <w:topLinePunct w:val="0"/>
        <w:autoSpaceDE/>
        <w:autoSpaceDN/>
        <w:bidi w:val="0"/>
        <w:adjustRightInd/>
        <w:snapToGrid/>
        <w:spacing w:after="80"/>
        <w:ind w:firstLine="240" w:firstLineChars="100"/>
        <w:jc w:val="both"/>
        <w:rPr>
          <w:rFonts w:hint="eastAsia"/>
          <w:b w:val="0"/>
          <w:bCs w:val="0"/>
          <w:iCs/>
          <w:sz w:val="24"/>
          <w:szCs w:val="24"/>
          <w:highlight w:val="none"/>
          <w:lang w:val="en-US" w:eastAsia="zh-CN"/>
        </w:rPr>
      </w:pPr>
      <w:r>
        <w:rPr>
          <w:rFonts w:hint="eastAsia"/>
          <w:b w:val="0"/>
          <w:bCs w:val="0"/>
          <w:iCs/>
          <w:sz w:val="24"/>
          <w:szCs w:val="24"/>
          <w:highlight w:val="none"/>
          <w:lang w:val="en-US" w:eastAsia="zh-CN"/>
        </w:rPr>
        <w:t>（1）鉴于子公司账面有部分留存资金，经与业主沟通，预付款保函在收到预付款后2个月内开出，从而将收到的预付款作为保证金用于开立保函，子公司账面留存资金结合项目付款安排用于支付部分分包商预付款。项目开始实施后，通过进一步与业主沟通，签订了补充协议，免除了预付款保函开立义务。</w:t>
      </w:r>
    </w:p>
    <w:p w14:paraId="23C8B080">
      <w:pPr>
        <w:pageBreakBefore w:val="0"/>
        <w:widowControl/>
        <w:kinsoku/>
        <w:wordWrap/>
        <w:overflowPunct/>
        <w:topLinePunct w:val="0"/>
        <w:autoSpaceDE/>
        <w:autoSpaceDN/>
        <w:bidi w:val="0"/>
        <w:adjustRightInd/>
        <w:snapToGrid/>
        <w:spacing w:after="80"/>
        <w:ind w:firstLine="240" w:firstLineChars="100"/>
        <w:jc w:val="both"/>
        <w:rPr>
          <w:rFonts w:hint="default"/>
          <w:b w:val="0"/>
          <w:bCs w:val="0"/>
          <w:iCs/>
          <w:sz w:val="24"/>
          <w:szCs w:val="24"/>
          <w:highlight w:val="none"/>
          <w:lang w:val="en-US" w:eastAsia="zh-CN"/>
        </w:rPr>
      </w:pPr>
      <w:r>
        <w:rPr>
          <w:rFonts w:hint="eastAsia"/>
          <w:b w:val="0"/>
          <w:bCs w:val="0"/>
          <w:iCs/>
          <w:sz w:val="24"/>
          <w:szCs w:val="24"/>
          <w:highlight w:val="none"/>
          <w:lang w:val="en-US" w:eastAsia="zh-CN"/>
        </w:rPr>
        <w:t>（2）首先，分包商尽量选择阿联酋当地企业，通过结合收款情况合理安排对当地企业的款项支付，降低当地资金留存；其次，后续其他项目，如CCCI全过程咨询项目，通过将合同拆分出90%由国内母公司与业主国内关联公司签订合同、10%由阿布扎比子公司与业主阿布扎比当地公司签订合同的形式，减少在境外当地的留存资金。</w:t>
      </w:r>
    </w:p>
    <w:p w14:paraId="642753CE">
      <w:pPr>
        <w:pageBreakBefore w:val="0"/>
        <w:widowControl/>
        <w:kinsoku/>
        <w:wordWrap/>
        <w:overflowPunct/>
        <w:topLinePunct w:val="0"/>
        <w:autoSpaceDE/>
        <w:autoSpaceDN/>
        <w:bidi w:val="0"/>
        <w:adjustRightInd/>
        <w:snapToGrid/>
        <w:spacing w:after="80"/>
        <w:ind w:firstLine="480" w:firstLineChars="200"/>
        <w:jc w:val="both"/>
        <w:rPr>
          <w:rFonts w:hint="default"/>
          <w:b w:val="0"/>
          <w:bCs w:val="0"/>
          <w:iCs/>
          <w:sz w:val="24"/>
          <w:szCs w:val="24"/>
          <w:highlight w:val="none"/>
          <w:lang w:val="en-US" w:eastAsia="zh-CN"/>
        </w:rPr>
      </w:pPr>
      <w:r>
        <w:rPr>
          <w:rFonts w:hint="eastAsia"/>
          <w:b/>
          <w:bCs/>
          <w:iCs/>
          <w:sz w:val="24"/>
          <w:szCs w:val="24"/>
          <w:highlight w:val="none"/>
          <w:lang w:val="en-US" w:eastAsia="zh-CN"/>
        </w:rPr>
        <w:t>经验教训：</w:t>
      </w:r>
      <w:r>
        <w:rPr>
          <w:rFonts w:hint="eastAsia"/>
          <w:b w:val="0"/>
          <w:bCs w:val="0"/>
          <w:iCs/>
          <w:sz w:val="24"/>
          <w:szCs w:val="24"/>
          <w:highlight w:val="none"/>
          <w:lang w:val="en-US" w:eastAsia="zh-CN"/>
        </w:rPr>
        <w:t>注册境外分、子公司时，国内商务部、发改委以及ODI外汇登记必须在有效期内及时办理；年度授信申请时必须充分考虑境外子公司无法通过母公司开立保函时所需的百保授信需求；项目签约时合理规划境外留存资金，境外收付资金量尽量做到收支节奏合理安排，减少需要汇回的资金额度。</w:t>
      </w:r>
    </w:p>
    <w:p w14:paraId="189D6082">
      <w:pPr>
        <w:pStyle w:val="4"/>
        <w:pageBreakBefore w:val="0"/>
        <w:widowControl/>
        <w:kinsoku/>
        <w:wordWrap/>
        <w:overflowPunct/>
        <w:topLinePunct w:val="0"/>
        <w:autoSpaceDE/>
        <w:autoSpaceDN/>
        <w:bidi w:val="0"/>
        <w:adjustRightInd/>
        <w:snapToGrid/>
        <w:jc w:val="both"/>
        <w:rPr>
          <w:rFonts w:ascii="微软雅黑" w:hAnsi="微软雅黑" w:eastAsia="微软雅黑"/>
          <w:color w:val="auto"/>
          <w:lang w:eastAsia="zh-CN"/>
        </w:rPr>
      </w:pPr>
      <w:bookmarkStart w:id="50" w:name="_Toc5494"/>
      <w:r>
        <w:rPr>
          <w:rFonts w:ascii="微软雅黑" w:hAnsi="微软雅黑" w:eastAsia="微软雅黑"/>
          <w:color w:val="auto"/>
          <w:lang w:val="zh-CN" w:eastAsia="zh-CN"/>
        </w:rPr>
        <w:t>5.3  收尾清算阶段</w:t>
      </w:r>
      <w:bookmarkEnd w:id="50"/>
    </w:p>
    <w:p w14:paraId="22C15119">
      <w:pPr>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lang w:val="en-US" w:eastAsia="zh-CN"/>
        </w:rPr>
      </w:pPr>
      <w:bookmarkStart w:id="51" w:name="_Toc25712"/>
      <w:r>
        <w:rPr>
          <w:rFonts w:hint="eastAsia"/>
          <w:sz w:val="24"/>
          <w:szCs w:val="24"/>
          <w:lang w:val="en-US" w:eastAsia="zh-CN"/>
        </w:rPr>
        <w:t>中国海诚北京</w:t>
      </w:r>
      <w:r>
        <w:rPr>
          <w:rFonts w:hint="eastAsia"/>
          <w:sz w:val="24"/>
          <w:szCs w:val="24"/>
          <w:lang w:val="zh-CN" w:eastAsia="zh-CN"/>
        </w:rPr>
        <w:t>公司暂未经历相关内容，待后续补充验证</w:t>
      </w:r>
      <w:bookmarkEnd w:id="51"/>
      <w:r>
        <w:rPr>
          <w:rFonts w:hint="eastAsia"/>
          <w:sz w:val="24"/>
          <w:szCs w:val="24"/>
          <w:lang w:val="zh-CN" w:eastAsia="zh-CN"/>
        </w:rPr>
        <w:t>，</w:t>
      </w:r>
      <w:r>
        <w:rPr>
          <w:rFonts w:hint="eastAsia"/>
          <w:sz w:val="24"/>
          <w:szCs w:val="24"/>
          <w:lang w:val="en-US" w:eastAsia="zh-CN"/>
        </w:rPr>
        <w:t>相关信息来自于官方文件、代理机构意见以及其他中资企业实操经验。</w:t>
      </w:r>
    </w:p>
    <w:p w14:paraId="688C2900">
      <w:pPr>
        <w:pStyle w:val="5"/>
        <w:pageBreakBefore w:val="0"/>
        <w:widowControl/>
        <w:kinsoku/>
        <w:wordWrap/>
        <w:overflowPunct/>
        <w:topLinePunct w:val="0"/>
        <w:autoSpaceDE/>
        <w:autoSpaceDN/>
        <w:bidi w:val="0"/>
        <w:adjustRightInd/>
        <w:snapToGrid/>
        <w:jc w:val="both"/>
        <w:rPr>
          <w:rFonts w:ascii="微软雅黑" w:hAnsi="微软雅黑" w:eastAsia="微软雅黑"/>
          <w:color w:val="auto"/>
          <w:lang w:eastAsia="zh-CN"/>
        </w:rPr>
      </w:pPr>
      <w:bookmarkStart w:id="52" w:name="_Toc1725"/>
      <w:r>
        <w:rPr>
          <w:rFonts w:ascii="微软雅黑" w:hAnsi="微软雅黑" w:eastAsia="微软雅黑"/>
          <w:color w:val="auto"/>
          <w:lang w:val="zh-CN" w:eastAsia="zh-CN"/>
        </w:rPr>
        <w:t>5.3.1  核算管理</w:t>
      </w:r>
      <w:bookmarkEnd w:id="52"/>
    </w:p>
    <w:p w14:paraId="0F4F1DBD">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zh-CN" w:eastAsia="zh-CN"/>
        </w:rPr>
      </w:pPr>
      <w:r>
        <w:rPr>
          <w:rFonts w:hint="eastAsia"/>
          <w:sz w:val="24"/>
          <w:szCs w:val="28"/>
          <w:lang w:val="zh-CN" w:eastAsia="zh-CN"/>
        </w:rPr>
        <w:t>项目完工后，及时完成项目收尾账务核算，结清所有收入、成本、费用、往来款项。委托本地审计机构出具清算审计报告，作为主体注销、税务注销的必备文件。同时，严格落实属地财务档案管理要求，主体注销前完成全套账务、凭证、报表、审计资料整理，建立档案台账，按</w:t>
      </w:r>
      <w:r>
        <w:rPr>
          <w:rFonts w:hint="eastAsia"/>
          <w:sz w:val="24"/>
          <w:szCs w:val="28"/>
          <w:lang w:val="en-US" w:eastAsia="zh-CN"/>
        </w:rPr>
        <w:t>公司档案管理</w:t>
      </w:r>
      <w:r>
        <w:rPr>
          <w:rFonts w:hint="eastAsia"/>
          <w:sz w:val="24"/>
          <w:szCs w:val="28"/>
          <w:lang w:val="zh-CN" w:eastAsia="zh-CN"/>
        </w:rPr>
        <w:t>要求完成档案移交归档。</w:t>
      </w:r>
    </w:p>
    <w:p w14:paraId="60641C49">
      <w:pPr>
        <w:pStyle w:val="5"/>
        <w:pageBreakBefore w:val="0"/>
        <w:widowControl/>
        <w:kinsoku/>
        <w:wordWrap/>
        <w:overflowPunct/>
        <w:topLinePunct w:val="0"/>
        <w:autoSpaceDE/>
        <w:autoSpaceDN/>
        <w:bidi w:val="0"/>
        <w:adjustRightInd/>
        <w:snapToGrid/>
        <w:jc w:val="both"/>
        <w:rPr>
          <w:rFonts w:ascii="微软雅黑" w:hAnsi="微软雅黑" w:eastAsia="微软雅黑"/>
          <w:color w:val="auto"/>
          <w:lang w:eastAsia="zh-CN"/>
        </w:rPr>
      </w:pPr>
      <w:bookmarkStart w:id="53" w:name="_Toc29632"/>
      <w:r>
        <w:rPr>
          <w:rFonts w:ascii="微软雅黑" w:hAnsi="微软雅黑" w:eastAsia="微软雅黑"/>
          <w:color w:val="auto"/>
          <w:lang w:val="zh-CN" w:eastAsia="zh-CN"/>
        </w:rPr>
        <w:t>5.3.2  税务管理</w:t>
      </w:r>
      <w:bookmarkEnd w:id="53"/>
    </w:p>
    <w:p w14:paraId="65990A49">
      <w:pPr>
        <w:keepNext w:val="0"/>
        <w:keepLines w:val="0"/>
        <w:pageBreakBefore w:val="0"/>
        <w:widowControl/>
        <w:numPr>
          <w:ilvl w:val="0"/>
          <w:numId w:val="10"/>
        </w:numPr>
        <w:kinsoku/>
        <w:wordWrap/>
        <w:overflowPunct/>
        <w:topLinePunct w:val="0"/>
        <w:autoSpaceDE/>
        <w:autoSpaceDN/>
        <w:bidi w:val="0"/>
        <w:adjustRightInd/>
        <w:snapToGrid/>
        <w:spacing w:before="40" w:after="40"/>
        <w:ind w:firstLine="480" w:firstLineChars="200"/>
        <w:jc w:val="both"/>
        <w:textAlignment w:val="auto"/>
        <w:rPr>
          <w:rFonts w:hint="eastAsia"/>
          <w:sz w:val="24"/>
          <w:szCs w:val="28"/>
          <w:lang w:val="en-US" w:eastAsia="zh-CN"/>
        </w:rPr>
      </w:pPr>
      <w:r>
        <w:rPr>
          <w:rFonts w:hint="eastAsia"/>
          <w:sz w:val="24"/>
          <w:szCs w:val="28"/>
          <w:lang w:val="en-US" w:eastAsia="zh-CN"/>
        </w:rPr>
        <w:t>税费清缴</w:t>
      </w:r>
    </w:p>
    <w:p w14:paraId="53B4B1F7">
      <w:pPr>
        <w:keepNext w:val="0"/>
        <w:keepLines w:val="0"/>
        <w:pageBreakBefore w:val="0"/>
        <w:widowControl/>
        <w:numPr>
          <w:ilvl w:val="0"/>
          <w:numId w:val="0"/>
        </w:numPr>
        <w:kinsoku/>
        <w:wordWrap/>
        <w:overflowPunct/>
        <w:topLinePunct w:val="0"/>
        <w:autoSpaceDE/>
        <w:autoSpaceDN/>
        <w:bidi w:val="0"/>
        <w:adjustRightInd/>
        <w:snapToGrid/>
        <w:spacing w:before="40" w:after="40"/>
        <w:ind w:firstLine="480" w:firstLineChars="200"/>
        <w:jc w:val="both"/>
        <w:textAlignment w:val="auto"/>
        <w:rPr>
          <w:rFonts w:hint="default"/>
          <w:sz w:val="24"/>
          <w:szCs w:val="28"/>
          <w:lang w:val="en-US" w:eastAsia="zh-CN"/>
        </w:rPr>
      </w:pPr>
      <w:r>
        <w:rPr>
          <w:rFonts w:hint="default"/>
          <w:sz w:val="24"/>
          <w:szCs w:val="28"/>
          <w:lang w:val="en-US" w:eastAsia="zh-CN"/>
        </w:rPr>
        <w:t>核对并足额缴纳增值税（VAT）、企业所得税（CT）等各项税费，完成当期及年度纳税申报，确保无欠税、滞纳金及遗留税务事项。</w:t>
      </w:r>
    </w:p>
    <w:p w14:paraId="51BB0388">
      <w:pPr>
        <w:keepNext w:val="0"/>
        <w:keepLines w:val="0"/>
        <w:pageBreakBefore w:val="0"/>
        <w:widowControl/>
        <w:numPr>
          <w:ilvl w:val="0"/>
          <w:numId w:val="0"/>
        </w:numPr>
        <w:kinsoku/>
        <w:wordWrap/>
        <w:overflowPunct/>
        <w:topLinePunct w:val="0"/>
        <w:autoSpaceDE/>
        <w:autoSpaceDN/>
        <w:bidi w:val="0"/>
        <w:adjustRightInd/>
        <w:snapToGrid/>
        <w:spacing w:before="40" w:after="40"/>
        <w:ind w:firstLine="480" w:firstLineChars="200"/>
        <w:jc w:val="both"/>
        <w:textAlignment w:val="auto"/>
        <w:rPr>
          <w:rFonts w:hint="default"/>
          <w:sz w:val="24"/>
          <w:szCs w:val="28"/>
          <w:lang w:val="en-US" w:eastAsia="zh-CN"/>
        </w:rPr>
      </w:pPr>
      <w:r>
        <w:rPr>
          <w:rFonts w:hint="default"/>
          <w:sz w:val="24"/>
          <w:szCs w:val="28"/>
          <w:lang w:val="en-US" w:eastAsia="zh-CN"/>
        </w:rPr>
        <w:t>提交最终增值税申报表，注销时仍持有的库存与固定资产的进项税必须按“视同销售”处理，即按注销日公允价值计算5%销项税，在最终申报表中申报缴纳；结合清算损益完成汇算清缴，提交最终企业所得税申报表。</w:t>
      </w:r>
    </w:p>
    <w:p w14:paraId="19FBF4D4">
      <w:pPr>
        <w:keepNext w:val="0"/>
        <w:keepLines w:val="0"/>
        <w:pageBreakBefore w:val="0"/>
        <w:widowControl/>
        <w:numPr>
          <w:ilvl w:val="0"/>
          <w:numId w:val="10"/>
        </w:numPr>
        <w:kinsoku/>
        <w:wordWrap/>
        <w:overflowPunct/>
        <w:topLinePunct w:val="0"/>
        <w:autoSpaceDE/>
        <w:autoSpaceDN/>
        <w:bidi w:val="0"/>
        <w:adjustRightInd/>
        <w:snapToGrid/>
        <w:spacing w:before="40" w:after="40"/>
        <w:ind w:left="0" w:leftChars="0" w:firstLine="480" w:firstLineChars="200"/>
        <w:jc w:val="both"/>
        <w:textAlignment w:val="auto"/>
        <w:rPr>
          <w:rFonts w:hint="eastAsia"/>
          <w:sz w:val="24"/>
          <w:szCs w:val="28"/>
          <w:lang w:val="en-US" w:eastAsia="zh-CN"/>
        </w:rPr>
      </w:pPr>
      <w:r>
        <w:rPr>
          <w:rFonts w:hint="eastAsia"/>
          <w:sz w:val="24"/>
          <w:szCs w:val="28"/>
          <w:lang w:val="en-US" w:eastAsia="zh-CN"/>
        </w:rPr>
        <w:t>清算注销</w:t>
      </w:r>
    </w:p>
    <w:p w14:paraId="34785AB8">
      <w:pPr>
        <w:keepNext w:val="0"/>
        <w:keepLines w:val="0"/>
        <w:pageBreakBefore w:val="0"/>
        <w:widowControl/>
        <w:numPr>
          <w:ilvl w:val="0"/>
          <w:numId w:val="0"/>
        </w:numPr>
        <w:kinsoku/>
        <w:wordWrap/>
        <w:overflowPunct/>
        <w:topLinePunct w:val="0"/>
        <w:autoSpaceDE/>
        <w:autoSpaceDN/>
        <w:bidi w:val="0"/>
        <w:adjustRightInd/>
        <w:snapToGrid/>
        <w:spacing w:before="40" w:after="40"/>
        <w:ind w:leftChars="0" w:firstLine="480" w:firstLineChars="200"/>
        <w:jc w:val="both"/>
        <w:textAlignment w:val="auto"/>
        <w:rPr>
          <w:rFonts w:hint="default"/>
          <w:sz w:val="24"/>
          <w:szCs w:val="28"/>
          <w:lang w:val="en-US" w:eastAsia="zh-CN"/>
        </w:rPr>
      </w:pPr>
      <w:r>
        <w:rPr>
          <w:rFonts w:hint="default"/>
          <w:sz w:val="24"/>
          <w:szCs w:val="28"/>
          <w:lang w:val="en-US" w:eastAsia="zh-CN"/>
        </w:rPr>
        <w:t>完成所有税费缴纳后，向联邦税务局（FTA）申请出具税费结清证明，留存完税凭证、申报回执，作为后续公司注销、税务注销的核心依据，规避后续税务信用风险。</w:t>
      </w:r>
    </w:p>
    <w:p w14:paraId="5B718BDA">
      <w:pPr>
        <w:keepNext w:val="0"/>
        <w:keepLines w:val="0"/>
        <w:pageBreakBefore w:val="0"/>
        <w:widowControl/>
        <w:numPr>
          <w:ilvl w:val="0"/>
          <w:numId w:val="0"/>
        </w:numPr>
        <w:kinsoku/>
        <w:wordWrap/>
        <w:overflowPunct/>
        <w:topLinePunct w:val="0"/>
        <w:autoSpaceDE/>
        <w:autoSpaceDN/>
        <w:bidi w:val="0"/>
        <w:adjustRightInd/>
        <w:snapToGrid/>
        <w:spacing w:before="40" w:after="40"/>
        <w:ind w:leftChars="0" w:firstLine="480" w:firstLineChars="200"/>
        <w:jc w:val="both"/>
        <w:textAlignment w:val="auto"/>
        <w:rPr>
          <w:rFonts w:hint="default"/>
          <w:sz w:val="24"/>
          <w:szCs w:val="28"/>
          <w:lang w:val="en-US" w:eastAsia="zh-CN"/>
        </w:rPr>
      </w:pPr>
      <w:r>
        <w:rPr>
          <w:rFonts w:hint="default"/>
          <w:sz w:val="24"/>
          <w:szCs w:val="28"/>
          <w:lang w:val="en-US" w:eastAsia="zh-CN"/>
        </w:rPr>
        <w:t>通过联邦税务局（FTA）官方平台（EmaraTax）申请，支付约50AED的申请费，审核通过后下载</w:t>
      </w:r>
      <w:r>
        <w:rPr>
          <w:rFonts w:hint="eastAsia"/>
          <w:sz w:val="24"/>
          <w:szCs w:val="28"/>
          <w:lang w:val="en-US" w:eastAsia="zh-CN"/>
        </w:rPr>
        <w:t>税费结清证明</w:t>
      </w:r>
      <w:r>
        <w:rPr>
          <w:rFonts w:hint="default"/>
          <w:sz w:val="24"/>
          <w:szCs w:val="28"/>
          <w:lang w:val="en-US" w:eastAsia="zh-CN"/>
        </w:rPr>
        <w:t>文件，证明无未结税务责任。</w:t>
      </w:r>
    </w:p>
    <w:p w14:paraId="5008439C">
      <w:pPr>
        <w:keepNext w:val="0"/>
        <w:keepLines w:val="0"/>
        <w:pageBreakBefore w:val="0"/>
        <w:widowControl/>
        <w:numPr>
          <w:ilvl w:val="0"/>
          <w:numId w:val="0"/>
        </w:numPr>
        <w:kinsoku/>
        <w:wordWrap/>
        <w:overflowPunct/>
        <w:topLinePunct w:val="0"/>
        <w:autoSpaceDE/>
        <w:autoSpaceDN/>
        <w:bidi w:val="0"/>
        <w:adjustRightInd/>
        <w:snapToGrid/>
        <w:spacing w:before="40" w:after="40"/>
        <w:ind w:leftChars="0" w:firstLine="480" w:firstLineChars="200"/>
        <w:jc w:val="both"/>
        <w:textAlignment w:val="auto"/>
        <w:rPr>
          <w:rFonts w:hint="default"/>
          <w:sz w:val="24"/>
          <w:szCs w:val="28"/>
          <w:lang w:val="en-US" w:eastAsia="zh-CN"/>
        </w:rPr>
      </w:pPr>
      <w:r>
        <w:rPr>
          <w:rFonts w:hint="default"/>
          <w:sz w:val="24"/>
          <w:szCs w:val="28"/>
          <w:lang w:val="en-US" w:eastAsia="zh-CN"/>
        </w:rPr>
        <w:t>在联邦税务局（FTA）官方平台（EmaraTax）提交注销申请，审核通过后下载注销证书。</w:t>
      </w:r>
    </w:p>
    <w:p w14:paraId="4949005F">
      <w:pPr>
        <w:keepNext w:val="0"/>
        <w:keepLines w:val="0"/>
        <w:pageBreakBefore w:val="0"/>
        <w:widowControl/>
        <w:numPr>
          <w:ilvl w:val="0"/>
          <w:numId w:val="0"/>
        </w:numPr>
        <w:kinsoku/>
        <w:wordWrap/>
        <w:overflowPunct/>
        <w:topLinePunct w:val="0"/>
        <w:autoSpaceDE/>
        <w:autoSpaceDN/>
        <w:bidi w:val="0"/>
        <w:adjustRightInd/>
        <w:snapToGrid/>
        <w:spacing w:before="40" w:after="40"/>
        <w:ind w:leftChars="0" w:firstLine="480" w:firstLineChars="200"/>
        <w:jc w:val="both"/>
        <w:textAlignment w:val="auto"/>
        <w:rPr>
          <w:rFonts w:hint="default"/>
          <w:sz w:val="24"/>
          <w:szCs w:val="28"/>
          <w:lang w:val="en-US" w:eastAsia="zh-CN"/>
        </w:rPr>
      </w:pPr>
      <w:r>
        <w:rPr>
          <w:rFonts w:hint="eastAsia"/>
          <w:sz w:val="24"/>
          <w:szCs w:val="28"/>
          <w:lang w:val="en-US" w:eastAsia="zh-CN"/>
        </w:rPr>
        <w:t>注销增值税、企业所得税登记，从提交注销申请到取得注销证书正常需4-6周（资料齐全，无欠税）。</w:t>
      </w:r>
    </w:p>
    <w:p w14:paraId="785F8944">
      <w:pPr>
        <w:pStyle w:val="5"/>
        <w:pageBreakBefore w:val="0"/>
        <w:widowControl/>
        <w:kinsoku/>
        <w:wordWrap/>
        <w:overflowPunct/>
        <w:topLinePunct w:val="0"/>
        <w:autoSpaceDE/>
        <w:autoSpaceDN/>
        <w:bidi w:val="0"/>
        <w:adjustRightInd/>
        <w:snapToGrid/>
        <w:jc w:val="both"/>
        <w:rPr>
          <w:rFonts w:ascii="微软雅黑" w:hAnsi="微软雅黑" w:eastAsia="微软雅黑"/>
          <w:color w:val="auto"/>
          <w:lang w:eastAsia="zh-CN"/>
        </w:rPr>
      </w:pPr>
      <w:bookmarkStart w:id="54" w:name="_Toc6946"/>
      <w:r>
        <w:rPr>
          <w:rFonts w:ascii="微软雅黑" w:hAnsi="微软雅黑" w:eastAsia="微软雅黑"/>
          <w:color w:val="auto"/>
          <w:lang w:val="zh-CN" w:eastAsia="zh-CN"/>
        </w:rPr>
        <w:t>5.3.3  资金管理</w:t>
      </w:r>
      <w:bookmarkEnd w:id="54"/>
    </w:p>
    <w:p w14:paraId="614CC755">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highlight w:val="none"/>
          <w:lang w:val="zh-CN" w:eastAsia="zh-CN"/>
        </w:rPr>
      </w:pPr>
      <w:r>
        <w:rPr>
          <w:rFonts w:hint="eastAsia"/>
          <w:sz w:val="24"/>
          <w:szCs w:val="28"/>
          <w:highlight w:val="none"/>
          <w:lang w:val="en-US" w:eastAsia="zh-CN"/>
        </w:rPr>
        <w:t>1、</w:t>
      </w:r>
      <w:r>
        <w:rPr>
          <w:rFonts w:hint="eastAsia"/>
          <w:sz w:val="24"/>
          <w:szCs w:val="28"/>
          <w:highlight w:val="none"/>
          <w:lang w:val="zh-CN" w:eastAsia="zh-CN"/>
        </w:rPr>
        <w:t>子公司剩余资金合规汇回路径</w:t>
      </w:r>
    </w:p>
    <w:p w14:paraId="58556541">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highlight w:val="none"/>
          <w:lang w:val="zh-CN" w:eastAsia="zh-CN"/>
        </w:rPr>
      </w:pPr>
      <w:r>
        <w:rPr>
          <w:rFonts w:hint="eastAsia"/>
          <w:sz w:val="24"/>
          <w:szCs w:val="28"/>
          <w:highlight w:val="none"/>
          <w:lang w:val="zh-CN" w:eastAsia="zh-CN"/>
        </w:rPr>
        <w:t>阿联酋无外汇管制、无资本汇出限额、无股息预提税、无资本利得税，但子公司清算期账户被监管锁定，必须由法定清算人按法定顺序清偿债务后，剩余资金才能分配给股东并汇出。</w:t>
      </w:r>
    </w:p>
    <w:p w14:paraId="482E1198">
      <w:pPr>
        <w:keepNext w:val="0"/>
        <w:keepLines w:val="0"/>
        <w:pageBreakBefore w:val="0"/>
        <w:widowControl/>
        <w:kinsoku/>
        <w:wordWrap/>
        <w:overflowPunct/>
        <w:topLinePunct w:val="0"/>
        <w:autoSpaceDE/>
        <w:autoSpaceDN/>
        <w:bidi w:val="0"/>
        <w:adjustRightInd/>
        <w:snapToGrid/>
        <w:spacing w:before="40" w:after="40"/>
        <w:ind w:firstLine="240" w:firstLineChars="100"/>
        <w:jc w:val="both"/>
        <w:textAlignment w:val="auto"/>
        <w:rPr>
          <w:rFonts w:hint="eastAsia"/>
          <w:sz w:val="24"/>
          <w:szCs w:val="28"/>
          <w:highlight w:val="none"/>
          <w:lang w:val="en-US" w:eastAsia="zh-CN"/>
        </w:rPr>
      </w:pPr>
      <w:r>
        <w:rPr>
          <w:rFonts w:hint="eastAsia"/>
          <w:sz w:val="24"/>
          <w:szCs w:val="28"/>
          <w:highlight w:val="none"/>
          <w:lang w:val="zh-CN" w:eastAsia="zh-CN"/>
        </w:rPr>
        <w:t>（</w:t>
      </w:r>
      <w:r>
        <w:rPr>
          <w:rFonts w:hint="eastAsia"/>
          <w:sz w:val="24"/>
          <w:szCs w:val="28"/>
          <w:highlight w:val="none"/>
          <w:lang w:val="en-US" w:eastAsia="zh-CN"/>
        </w:rPr>
        <w:t>1</w:t>
      </w:r>
      <w:r>
        <w:rPr>
          <w:rFonts w:hint="eastAsia"/>
          <w:sz w:val="24"/>
          <w:szCs w:val="28"/>
          <w:highlight w:val="none"/>
          <w:lang w:val="zh-CN" w:eastAsia="zh-CN"/>
        </w:rPr>
        <w:t>）路径</w:t>
      </w:r>
      <w:r>
        <w:rPr>
          <w:rFonts w:hint="eastAsia"/>
          <w:sz w:val="24"/>
          <w:szCs w:val="28"/>
          <w:highlight w:val="none"/>
          <w:lang w:val="en-US" w:eastAsia="zh-CN"/>
        </w:rPr>
        <w:t>A:清算分配，公司注销、清算完毕后，一次性退回资本金和分配清算利润，清算人出具股东分配决议，银行凭清算人委任函、最终清算报告、完税证明、注销证书直接汇至境外股东账户（无额度限制）。</w:t>
      </w:r>
    </w:p>
    <w:p w14:paraId="1E62A4B2">
      <w:pPr>
        <w:keepNext w:val="0"/>
        <w:keepLines w:val="0"/>
        <w:pageBreakBefore w:val="0"/>
        <w:widowControl/>
        <w:kinsoku/>
        <w:wordWrap/>
        <w:overflowPunct/>
        <w:topLinePunct w:val="0"/>
        <w:autoSpaceDE/>
        <w:autoSpaceDN/>
        <w:bidi w:val="0"/>
        <w:adjustRightInd/>
        <w:snapToGrid/>
        <w:spacing w:before="40" w:after="40"/>
        <w:ind w:firstLine="240" w:firstLineChars="100"/>
        <w:jc w:val="both"/>
        <w:textAlignment w:val="auto"/>
        <w:rPr>
          <w:rFonts w:hint="eastAsia"/>
          <w:sz w:val="24"/>
          <w:szCs w:val="28"/>
          <w:highlight w:val="none"/>
          <w:lang w:val="en-US" w:eastAsia="zh-CN"/>
        </w:rPr>
      </w:pPr>
      <w:r>
        <w:rPr>
          <w:rFonts w:hint="eastAsia"/>
          <w:sz w:val="24"/>
          <w:szCs w:val="28"/>
          <w:highlight w:val="none"/>
          <w:lang w:val="en-US" w:eastAsia="zh-CN"/>
        </w:rPr>
        <w:t>（2）路径B：清算前分红（仅利润，不涉及资本金），清算决议前，先把累计未分配利润以股息形式汇出，资本金留到清算时退回，银行凭回款申请表、分红决议、最新审计报告、完税证明汇款至境外股东账户。</w:t>
      </w:r>
    </w:p>
    <w:p w14:paraId="0F592C81">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highlight w:val="none"/>
          <w:lang w:val="en-US" w:eastAsia="zh-CN"/>
        </w:rPr>
      </w:pPr>
      <w:r>
        <w:rPr>
          <w:rFonts w:hint="eastAsia"/>
          <w:sz w:val="24"/>
          <w:szCs w:val="28"/>
          <w:highlight w:val="none"/>
          <w:lang w:val="en-US" w:eastAsia="zh-CN"/>
        </w:rPr>
        <w:t>2、分公司剩余资金合规汇回路径</w:t>
      </w:r>
    </w:p>
    <w:p w14:paraId="6526E477">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highlight w:val="none"/>
          <w:lang w:val="en-US" w:eastAsia="zh-CN"/>
        </w:rPr>
      </w:pPr>
      <w:r>
        <w:rPr>
          <w:rFonts w:hint="eastAsia"/>
          <w:sz w:val="24"/>
          <w:szCs w:val="28"/>
          <w:highlight w:val="none"/>
          <w:lang w:val="en-US" w:eastAsia="zh-CN"/>
        </w:rPr>
        <w:t>分公司剩余资金汇回不需要委任持牌清算人，但需要走关闭/注销流程，银行凭回款申请表、公司决议、公司注销证书、劳工清关证明、税务清关证明、账户对账单、受益人信息汇款至境外账户。</w:t>
      </w:r>
    </w:p>
    <w:p w14:paraId="6E26E877">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highlight w:val="none"/>
          <w:lang w:val="en-US" w:eastAsia="zh-CN"/>
        </w:rPr>
      </w:pPr>
      <w:r>
        <w:rPr>
          <w:rFonts w:hint="eastAsia"/>
          <w:sz w:val="24"/>
          <w:szCs w:val="28"/>
          <w:highlight w:val="none"/>
          <w:lang w:val="en-US" w:eastAsia="zh-CN"/>
        </w:rPr>
        <w:t>3、项目部剩余资金合规汇回路径</w:t>
      </w:r>
    </w:p>
    <w:p w14:paraId="2AC06802">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8"/>
          <w:highlight w:val="none"/>
          <w:lang w:val="en-US" w:eastAsia="zh-CN"/>
        </w:rPr>
      </w:pPr>
      <w:r>
        <w:rPr>
          <w:rFonts w:hint="default"/>
          <w:sz w:val="24"/>
          <w:szCs w:val="28"/>
          <w:highlight w:val="none"/>
          <w:lang w:val="en-US" w:eastAsia="zh-CN"/>
        </w:rPr>
        <w:t>项目部剩余资金汇回</w:t>
      </w:r>
      <w:r>
        <w:rPr>
          <w:rFonts w:hint="eastAsia"/>
          <w:sz w:val="24"/>
          <w:szCs w:val="28"/>
          <w:highlight w:val="none"/>
          <w:lang w:val="en-US" w:eastAsia="zh-CN"/>
        </w:rPr>
        <w:t>按“工程款结余/项目尾款”走服务贸易通道，银行凭回款申请表、公司决议（批准项目完工、结余资金汇回）、项目完工证明、项目收支决算表、银行账户对账单、税务清关证明、无欠款证明汇款至境外账户。</w:t>
      </w:r>
    </w:p>
    <w:p w14:paraId="2D5A639B">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default"/>
          <w:sz w:val="24"/>
          <w:szCs w:val="28"/>
          <w:highlight w:val="none"/>
          <w:lang w:val="en-US" w:eastAsia="zh-CN"/>
        </w:rPr>
      </w:pPr>
      <w:r>
        <w:rPr>
          <w:rFonts w:hint="eastAsia"/>
          <w:sz w:val="24"/>
          <w:szCs w:val="28"/>
          <w:highlight w:val="none"/>
          <w:lang w:val="en-US" w:eastAsia="zh-CN"/>
        </w:rPr>
        <w:t>4、结清授信、释放保函、注销银行账户的流程</w:t>
      </w:r>
    </w:p>
    <w:p w14:paraId="0B9BD014">
      <w:pPr>
        <w:keepNext w:val="0"/>
        <w:keepLines w:val="0"/>
        <w:pageBreakBefore w:val="0"/>
        <w:widowControl/>
        <w:kinsoku/>
        <w:wordWrap/>
        <w:overflowPunct/>
        <w:topLinePunct w:val="0"/>
        <w:autoSpaceDE/>
        <w:autoSpaceDN/>
        <w:bidi w:val="0"/>
        <w:adjustRightInd/>
        <w:snapToGrid/>
        <w:spacing w:before="40" w:after="40"/>
        <w:ind w:firstLine="480" w:firstLineChars="200"/>
        <w:jc w:val="both"/>
        <w:textAlignment w:val="auto"/>
        <w:rPr>
          <w:rFonts w:hint="eastAsia"/>
          <w:sz w:val="24"/>
          <w:szCs w:val="24"/>
          <w:lang w:val="zh-CN" w:eastAsia="zh-CN"/>
        </w:rPr>
      </w:pPr>
      <w:r>
        <w:rPr>
          <w:rFonts w:hint="eastAsia"/>
          <w:sz w:val="24"/>
          <w:szCs w:val="28"/>
          <w:highlight w:val="none"/>
          <w:lang w:val="en-US" w:eastAsia="zh-CN"/>
        </w:rPr>
        <w:t>所有授信结清、保函释放、额度注销是注销银行账户的前置条件，经办人应提前梳理所有未结清授信、未释放保函明细，提前与客户经理沟通确认授信结清金额，向保函受益人申请释放保函（取得保函释放函和保函原件），然后向银行提交书面结清申请、保函注销申请，银行审核通过后出具授信结清证明、保函注销证明。相关事项清理完成，账户余额清零后，按银行要求提交注销材料，办结账户注销手续，留存注销回执。</w:t>
      </w:r>
    </w:p>
    <w:sectPr>
      <w:footerReference r:id="rId6" w:type="default"/>
      <w:pgSz w:w="12240" w:h="15840"/>
      <w:pgMar w:top="1440" w:right="1803" w:bottom="1440" w:left="1803"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宋体"/>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BC607">
    <w:pPr>
      <w:pStyle w:val="26"/>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E02F99">
                          <w:pPr>
                            <w:pStyle w:val="2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79E02F99">
                    <w:pPr>
                      <w:pStyle w:val="2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44</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50DB2">
    <w:pPr>
      <w:pStyle w:val="26"/>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90B655">
                          <w:pPr>
                            <w:pStyle w:val="2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090B655">
                    <w:pPr>
                      <w:pStyle w:val="2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44</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349F0B"/>
    <w:multiLevelType w:val="singleLevel"/>
    <w:tmpl w:val="A7349F0B"/>
    <w:lvl w:ilvl="0" w:tentative="0">
      <w:start w:val="1"/>
      <w:numFmt w:val="decimal"/>
      <w:suff w:val="nothing"/>
      <w:lvlText w:val="%1、"/>
      <w:lvlJc w:val="left"/>
    </w:lvl>
  </w:abstractNum>
  <w:abstractNum w:abstractNumId="1">
    <w:nsid w:val="CCF166A3"/>
    <w:multiLevelType w:val="singleLevel"/>
    <w:tmpl w:val="CCF166A3"/>
    <w:lvl w:ilvl="0" w:tentative="0">
      <w:start w:val="4"/>
      <w:numFmt w:val="decimal"/>
      <w:suff w:val="nothing"/>
      <w:lvlText w:val="%1、"/>
      <w:lvlJc w:val="left"/>
    </w:lvl>
  </w:abstractNum>
  <w:abstractNum w:abstractNumId="2">
    <w:nsid w:val="D5D48597"/>
    <w:multiLevelType w:val="singleLevel"/>
    <w:tmpl w:val="D5D48597"/>
    <w:lvl w:ilvl="0" w:tentative="0">
      <w:start w:val="1"/>
      <w:numFmt w:val="decimal"/>
      <w:suff w:val="nothing"/>
      <w:lvlText w:val="（%1）"/>
      <w:lvlJc w:val="left"/>
    </w:lvl>
  </w:abstractNum>
  <w:abstractNum w:abstractNumId="3">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9">
    <w:nsid w:val="552BEC68"/>
    <w:multiLevelType w:val="singleLevel"/>
    <w:tmpl w:val="552BEC68"/>
    <w:lvl w:ilvl="0" w:tentative="0">
      <w:start w:val="1"/>
      <w:numFmt w:val="decimal"/>
      <w:suff w:val="nothing"/>
      <w:lvlText w:val="%1、"/>
      <w:lvlJc w:val="left"/>
    </w:lvl>
  </w:abstractNum>
  <w:num w:numId="1">
    <w:abstractNumId w:val="4"/>
  </w:num>
  <w:num w:numId="2">
    <w:abstractNumId w:val="7"/>
  </w:num>
  <w:num w:numId="3">
    <w:abstractNumId w:val="8"/>
  </w:num>
  <w:num w:numId="4">
    <w:abstractNumId w:val="5"/>
  </w:num>
  <w:num w:numId="5">
    <w:abstractNumId w:val="3"/>
  </w:num>
  <w:num w:numId="6">
    <w:abstractNumId w:val="6"/>
  </w:num>
  <w:num w:numId="7">
    <w:abstractNumId w:val="1"/>
  </w:num>
  <w:num w:numId="8">
    <w:abstractNumId w:val="9"/>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1604D"/>
    <w:rsid w:val="0029639D"/>
    <w:rsid w:val="00326F90"/>
    <w:rsid w:val="003903C1"/>
    <w:rsid w:val="003E2E74"/>
    <w:rsid w:val="004E7A35"/>
    <w:rsid w:val="005763C4"/>
    <w:rsid w:val="006F05DA"/>
    <w:rsid w:val="008A2763"/>
    <w:rsid w:val="00960260"/>
    <w:rsid w:val="00AA1D8D"/>
    <w:rsid w:val="00B47730"/>
    <w:rsid w:val="00B80C55"/>
    <w:rsid w:val="00CB0664"/>
    <w:rsid w:val="00CF12FF"/>
    <w:rsid w:val="00DE1BE7"/>
    <w:rsid w:val="00EA15FB"/>
    <w:rsid w:val="00F07363"/>
    <w:rsid w:val="00F21088"/>
    <w:rsid w:val="00F26AC0"/>
    <w:rsid w:val="00FC693F"/>
    <w:rsid w:val="01113D6B"/>
    <w:rsid w:val="017B7436"/>
    <w:rsid w:val="01F01BD2"/>
    <w:rsid w:val="01F30663"/>
    <w:rsid w:val="022A6766"/>
    <w:rsid w:val="028B5457"/>
    <w:rsid w:val="02933D06"/>
    <w:rsid w:val="02AB42E6"/>
    <w:rsid w:val="02DC2268"/>
    <w:rsid w:val="02E2356E"/>
    <w:rsid w:val="03052F8A"/>
    <w:rsid w:val="03231B33"/>
    <w:rsid w:val="033C0E47"/>
    <w:rsid w:val="036D1000"/>
    <w:rsid w:val="03710AF1"/>
    <w:rsid w:val="04182AD2"/>
    <w:rsid w:val="04463D2B"/>
    <w:rsid w:val="051A099A"/>
    <w:rsid w:val="05595CE0"/>
    <w:rsid w:val="05A217DD"/>
    <w:rsid w:val="05C96A43"/>
    <w:rsid w:val="066A111E"/>
    <w:rsid w:val="06B55198"/>
    <w:rsid w:val="06B807E5"/>
    <w:rsid w:val="071747CF"/>
    <w:rsid w:val="071A2634"/>
    <w:rsid w:val="07571DAC"/>
    <w:rsid w:val="07ED44BE"/>
    <w:rsid w:val="07EF6488"/>
    <w:rsid w:val="086B5D42"/>
    <w:rsid w:val="086D5D96"/>
    <w:rsid w:val="087E64C3"/>
    <w:rsid w:val="089A2898"/>
    <w:rsid w:val="08DD3C5C"/>
    <w:rsid w:val="08FC3791"/>
    <w:rsid w:val="09063A89"/>
    <w:rsid w:val="09383E5F"/>
    <w:rsid w:val="09B94F9F"/>
    <w:rsid w:val="0A083831"/>
    <w:rsid w:val="0A11244D"/>
    <w:rsid w:val="0A1B17B6"/>
    <w:rsid w:val="0A3A3CDF"/>
    <w:rsid w:val="0AA74DF8"/>
    <w:rsid w:val="0AA90B70"/>
    <w:rsid w:val="0B554854"/>
    <w:rsid w:val="0B831D71"/>
    <w:rsid w:val="0B8542E8"/>
    <w:rsid w:val="0C525237"/>
    <w:rsid w:val="0C786219"/>
    <w:rsid w:val="0CB47CA0"/>
    <w:rsid w:val="0CCC323C"/>
    <w:rsid w:val="0CD22704"/>
    <w:rsid w:val="0D1C32A4"/>
    <w:rsid w:val="0D297203"/>
    <w:rsid w:val="0D606E85"/>
    <w:rsid w:val="0DA10224"/>
    <w:rsid w:val="0DF50570"/>
    <w:rsid w:val="0E4706B2"/>
    <w:rsid w:val="0E4D7179"/>
    <w:rsid w:val="0E651252"/>
    <w:rsid w:val="0F3F5F47"/>
    <w:rsid w:val="0F4E7F38"/>
    <w:rsid w:val="0F753717"/>
    <w:rsid w:val="0F827B04"/>
    <w:rsid w:val="0FD24AAC"/>
    <w:rsid w:val="1034712E"/>
    <w:rsid w:val="10635C65"/>
    <w:rsid w:val="107B2FAF"/>
    <w:rsid w:val="10D7654C"/>
    <w:rsid w:val="10E83FCA"/>
    <w:rsid w:val="10F30745"/>
    <w:rsid w:val="11B60016"/>
    <w:rsid w:val="11C269BB"/>
    <w:rsid w:val="11E16AB5"/>
    <w:rsid w:val="11F70BAD"/>
    <w:rsid w:val="125C471A"/>
    <w:rsid w:val="12BE7145"/>
    <w:rsid w:val="13217712"/>
    <w:rsid w:val="13421B62"/>
    <w:rsid w:val="13433EAC"/>
    <w:rsid w:val="13A10F7E"/>
    <w:rsid w:val="13B50586"/>
    <w:rsid w:val="13ED13E4"/>
    <w:rsid w:val="13F50CB0"/>
    <w:rsid w:val="14382F65"/>
    <w:rsid w:val="14387978"/>
    <w:rsid w:val="143F60A1"/>
    <w:rsid w:val="14790495"/>
    <w:rsid w:val="14817B92"/>
    <w:rsid w:val="14883EEC"/>
    <w:rsid w:val="14A02BEE"/>
    <w:rsid w:val="14F41582"/>
    <w:rsid w:val="1505553D"/>
    <w:rsid w:val="154047C7"/>
    <w:rsid w:val="15DD3DC4"/>
    <w:rsid w:val="15E74C42"/>
    <w:rsid w:val="15FF01DE"/>
    <w:rsid w:val="161B3B7A"/>
    <w:rsid w:val="165F6ECF"/>
    <w:rsid w:val="166D15EC"/>
    <w:rsid w:val="16B03286"/>
    <w:rsid w:val="16BF171B"/>
    <w:rsid w:val="16C60CFC"/>
    <w:rsid w:val="180B0355"/>
    <w:rsid w:val="18695DE3"/>
    <w:rsid w:val="188E5849"/>
    <w:rsid w:val="18B76B4E"/>
    <w:rsid w:val="18EB2C9C"/>
    <w:rsid w:val="192E26CA"/>
    <w:rsid w:val="19B66E06"/>
    <w:rsid w:val="19E15FA2"/>
    <w:rsid w:val="19E96131"/>
    <w:rsid w:val="1A085187"/>
    <w:rsid w:val="1A1A13B6"/>
    <w:rsid w:val="1A6C5716"/>
    <w:rsid w:val="1AD94039"/>
    <w:rsid w:val="1B291859"/>
    <w:rsid w:val="1B440441"/>
    <w:rsid w:val="1B4E306E"/>
    <w:rsid w:val="1BDB6D28"/>
    <w:rsid w:val="1C077DEC"/>
    <w:rsid w:val="1C0A168B"/>
    <w:rsid w:val="1C727E3F"/>
    <w:rsid w:val="1C964CCC"/>
    <w:rsid w:val="1CF85987"/>
    <w:rsid w:val="1CFC7225"/>
    <w:rsid w:val="1D4809E3"/>
    <w:rsid w:val="1EA649FE"/>
    <w:rsid w:val="1EBB6C6C"/>
    <w:rsid w:val="1F8654CC"/>
    <w:rsid w:val="1F9E2816"/>
    <w:rsid w:val="1FA140B4"/>
    <w:rsid w:val="1FAA11BB"/>
    <w:rsid w:val="1FAB6CE1"/>
    <w:rsid w:val="20315438"/>
    <w:rsid w:val="20546A15"/>
    <w:rsid w:val="207417C9"/>
    <w:rsid w:val="207F2647"/>
    <w:rsid w:val="20B10327"/>
    <w:rsid w:val="20FD2F21"/>
    <w:rsid w:val="210E39CB"/>
    <w:rsid w:val="210F4DA1"/>
    <w:rsid w:val="214F67E4"/>
    <w:rsid w:val="217750CC"/>
    <w:rsid w:val="217F0425"/>
    <w:rsid w:val="21B026BD"/>
    <w:rsid w:val="21CB18BC"/>
    <w:rsid w:val="22A2261D"/>
    <w:rsid w:val="230474F0"/>
    <w:rsid w:val="238E0DF3"/>
    <w:rsid w:val="23B75C54"/>
    <w:rsid w:val="243E6375"/>
    <w:rsid w:val="24B26EE3"/>
    <w:rsid w:val="24F609FE"/>
    <w:rsid w:val="2522492D"/>
    <w:rsid w:val="252302A8"/>
    <w:rsid w:val="25331C52"/>
    <w:rsid w:val="25537BFE"/>
    <w:rsid w:val="25950217"/>
    <w:rsid w:val="259939B0"/>
    <w:rsid w:val="25C33055"/>
    <w:rsid w:val="25F64355"/>
    <w:rsid w:val="26445799"/>
    <w:rsid w:val="26754647"/>
    <w:rsid w:val="268362C1"/>
    <w:rsid w:val="26DE78CA"/>
    <w:rsid w:val="2786250D"/>
    <w:rsid w:val="27E92A9C"/>
    <w:rsid w:val="28180C8B"/>
    <w:rsid w:val="28245882"/>
    <w:rsid w:val="28416434"/>
    <w:rsid w:val="28CD5F1A"/>
    <w:rsid w:val="290556B4"/>
    <w:rsid w:val="29756479"/>
    <w:rsid w:val="299E3A6E"/>
    <w:rsid w:val="29FA2D3E"/>
    <w:rsid w:val="2A176035"/>
    <w:rsid w:val="2A88659C"/>
    <w:rsid w:val="2B146082"/>
    <w:rsid w:val="2B373BA3"/>
    <w:rsid w:val="2B6A3EF4"/>
    <w:rsid w:val="2B8366C8"/>
    <w:rsid w:val="2BBC6744"/>
    <w:rsid w:val="2BEE242F"/>
    <w:rsid w:val="2BFA63EA"/>
    <w:rsid w:val="2C02412C"/>
    <w:rsid w:val="2C245921"/>
    <w:rsid w:val="2C251BC9"/>
    <w:rsid w:val="2C414C55"/>
    <w:rsid w:val="2C657289"/>
    <w:rsid w:val="2C6941AB"/>
    <w:rsid w:val="2D4E05F0"/>
    <w:rsid w:val="2DE51610"/>
    <w:rsid w:val="2E043850"/>
    <w:rsid w:val="2E0A72C8"/>
    <w:rsid w:val="2E1B14D5"/>
    <w:rsid w:val="2E7B1F74"/>
    <w:rsid w:val="2ED3590C"/>
    <w:rsid w:val="2F193C67"/>
    <w:rsid w:val="2F1E127D"/>
    <w:rsid w:val="2FF206FB"/>
    <w:rsid w:val="30062180"/>
    <w:rsid w:val="300761B5"/>
    <w:rsid w:val="307373A7"/>
    <w:rsid w:val="309E4BF3"/>
    <w:rsid w:val="30BC0D4E"/>
    <w:rsid w:val="30BD5748"/>
    <w:rsid w:val="312863E3"/>
    <w:rsid w:val="314F750B"/>
    <w:rsid w:val="318C2A87"/>
    <w:rsid w:val="31BA2851"/>
    <w:rsid w:val="32056724"/>
    <w:rsid w:val="321E3342"/>
    <w:rsid w:val="32747406"/>
    <w:rsid w:val="32A45F3D"/>
    <w:rsid w:val="32D103B5"/>
    <w:rsid w:val="32E225C2"/>
    <w:rsid w:val="32EE540A"/>
    <w:rsid w:val="32FD11AA"/>
    <w:rsid w:val="336D632F"/>
    <w:rsid w:val="33BB62A3"/>
    <w:rsid w:val="33D83861"/>
    <w:rsid w:val="33F627C9"/>
    <w:rsid w:val="340824FC"/>
    <w:rsid w:val="34153BBC"/>
    <w:rsid w:val="34224AC9"/>
    <w:rsid w:val="342F1837"/>
    <w:rsid w:val="345F6384"/>
    <w:rsid w:val="34783995"/>
    <w:rsid w:val="348C6744"/>
    <w:rsid w:val="348F0527"/>
    <w:rsid w:val="34C77CC1"/>
    <w:rsid w:val="35011425"/>
    <w:rsid w:val="3551023A"/>
    <w:rsid w:val="35675000"/>
    <w:rsid w:val="357D4824"/>
    <w:rsid w:val="358D2CB9"/>
    <w:rsid w:val="35B244CD"/>
    <w:rsid w:val="35D2691D"/>
    <w:rsid w:val="35F1755E"/>
    <w:rsid w:val="35F745D6"/>
    <w:rsid w:val="36054F45"/>
    <w:rsid w:val="3621728E"/>
    <w:rsid w:val="36321AB2"/>
    <w:rsid w:val="36581519"/>
    <w:rsid w:val="36C7044C"/>
    <w:rsid w:val="37210F1A"/>
    <w:rsid w:val="3751503B"/>
    <w:rsid w:val="378B147A"/>
    <w:rsid w:val="378B76CC"/>
    <w:rsid w:val="378D1CE5"/>
    <w:rsid w:val="37B409D1"/>
    <w:rsid w:val="37C130EE"/>
    <w:rsid w:val="37D650BF"/>
    <w:rsid w:val="37D72911"/>
    <w:rsid w:val="38865745"/>
    <w:rsid w:val="38AA0390"/>
    <w:rsid w:val="38D532FB"/>
    <w:rsid w:val="39063AEC"/>
    <w:rsid w:val="392B4CC2"/>
    <w:rsid w:val="392D1C91"/>
    <w:rsid w:val="397423FA"/>
    <w:rsid w:val="39DE7F87"/>
    <w:rsid w:val="3A053765"/>
    <w:rsid w:val="3ABB2076"/>
    <w:rsid w:val="3AC86541"/>
    <w:rsid w:val="3ACA6E72"/>
    <w:rsid w:val="3AD72F96"/>
    <w:rsid w:val="3AF47336"/>
    <w:rsid w:val="3B2C2F74"/>
    <w:rsid w:val="3B2D0F5F"/>
    <w:rsid w:val="3B464036"/>
    <w:rsid w:val="3B581673"/>
    <w:rsid w:val="3B960EB6"/>
    <w:rsid w:val="3BF1544C"/>
    <w:rsid w:val="3C7249B6"/>
    <w:rsid w:val="3CAD1E92"/>
    <w:rsid w:val="3CAF1767"/>
    <w:rsid w:val="3CB61896"/>
    <w:rsid w:val="3CC66AB0"/>
    <w:rsid w:val="3CE520B7"/>
    <w:rsid w:val="3CE60F00"/>
    <w:rsid w:val="3CF17FD1"/>
    <w:rsid w:val="3CF63839"/>
    <w:rsid w:val="3D474095"/>
    <w:rsid w:val="3D556AB4"/>
    <w:rsid w:val="3D80667C"/>
    <w:rsid w:val="3E4D56DB"/>
    <w:rsid w:val="3E4E3201"/>
    <w:rsid w:val="3E6B1A6B"/>
    <w:rsid w:val="3E907376"/>
    <w:rsid w:val="3ED5122D"/>
    <w:rsid w:val="3F1F45DB"/>
    <w:rsid w:val="3F23468E"/>
    <w:rsid w:val="3F4F7231"/>
    <w:rsid w:val="3F626F64"/>
    <w:rsid w:val="3F7647BE"/>
    <w:rsid w:val="3F7B6278"/>
    <w:rsid w:val="3FE43856"/>
    <w:rsid w:val="3FE91433"/>
    <w:rsid w:val="403D52DB"/>
    <w:rsid w:val="410A1661"/>
    <w:rsid w:val="414B67C3"/>
    <w:rsid w:val="41641A32"/>
    <w:rsid w:val="4251506E"/>
    <w:rsid w:val="426D1BE7"/>
    <w:rsid w:val="42B23D5F"/>
    <w:rsid w:val="43856B53"/>
    <w:rsid w:val="43E51F12"/>
    <w:rsid w:val="445A46AE"/>
    <w:rsid w:val="445D7CFA"/>
    <w:rsid w:val="449B0822"/>
    <w:rsid w:val="44F87A23"/>
    <w:rsid w:val="452151CC"/>
    <w:rsid w:val="460348D1"/>
    <w:rsid w:val="461F68EC"/>
    <w:rsid w:val="463914F2"/>
    <w:rsid w:val="467D28D5"/>
    <w:rsid w:val="468B4FF2"/>
    <w:rsid w:val="46E05A55"/>
    <w:rsid w:val="471A45C8"/>
    <w:rsid w:val="477737C9"/>
    <w:rsid w:val="479C21B7"/>
    <w:rsid w:val="47DB5B06"/>
    <w:rsid w:val="48270D4B"/>
    <w:rsid w:val="48831CF9"/>
    <w:rsid w:val="48D75ACB"/>
    <w:rsid w:val="48DF33D4"/>
    <w:rsid w:val="49270E5C"/>
    <w:rsid w:val="49437E06"/>
    <w:rsid w:val="494641DE"/>
    <w:rsid w:val="49612B05"/>
    <w:rsid w:val="496B5174"/>
    <w:rsid w:val="49997A26"/>
    <w:rsid w:val="49C32CF5"/>
    <w:rsid w:val="4A5E4053"/>
    <w:rsid w:val="4A841B57"/>
    <w:rsid w:val="4AE178D7"/>
    <w:rsid w:val="4B215F25"/>
    <w:rsid w:val="4B387E4A"/>
    <w:rsid w:val="4B4E2A92"/>
    <w:rsid w:val="4B533C05"/>
    <w:rsid w:val="4B7F2C4C"/>
    <w:rsid w:val="4BBC3956"/>
    <w:rsid w:val="4BD5286C"/>
    <w:rsid w:val="4BDD7181"/>
    <w:rsid w:val="4C433C79"/>
    <w:rsid w:val="4C8011C7"/>
    <w:rsid w:val="4CCE5C39"/>
    <w:rsid w:val="4D665E71"/>
    <w:rsid w:val="4DCB03CA"/>
    <w:rsid w:val="4DE07E39"/>
    <w:rsid w:val="4DF14005"/>
    <w:rsid w:val="4E1A6C5C"/>
    <w:rsid w:val="4E393586"/>
    <w:rsid w:val="4E3F4E4B"/>
    <w:rsid w:val="4E5C54C6"/>
    <w:rsid w:val="4E7D41E9"/>
    <w:rsid w:val="4F0D492D"/>
    <w:rsid w:val="4F2E0A82"/>
    <w:rsid w:val="4F3571BC"/>
    <w:rsid w:val="4F480B02"/>
    <w:rsid w:val="4FC6709B"/>
    <w:rsid w:val="4FD67AC8"/>
    <w:rsid w:val="4FE45773"/>
    <w:rsid w:val="50506965"/>
    <w:rsid w:val="50974893"/>
    <w:rsid w:val="50AD025B"/>
    <w:rsid w:val="50F43794"/>
    <w:rsid w:val="517A351F"/>
    <w:rsid w:val="518773B3"/>
    <w:rsid w:val="52173BDE"/>
    <w:rsid w:val="526A6404"/>
    <w:rsid w:val="52974D1F"/>
    <w:rsid w:val="52C13D0D"/>
    <w:rsid w:val="52C85020"/>
    <w:rsid w:val="52D715BF"/>
    <w:rsid w:val="53005FBA"/>
    <w:rsid w:val="53062066"/>
    <w:rsid w:val="53281E94"/>
    <w:rsid w:val="53876B42"/>
    <w:rsid w:val="53A4760D"/>
    <w:rsid w:val="53B35B89"/>
    <w:rsid w:val="54280D1A"/>
    <w:rsid w:val="54BE6593"/>
    <w:rsid w:val="54D2203E"/>
    <w:rsid w:val="54DD6E33"/>
    <w:rsid w:val="551B70A5"/>
    <w:rsid w:val="55630EE8"/>
    <w:rsid w:val="55AD49E9"/>
    <w:rsid w:val="55E1302E"/>
    <w:rsid w:val="55EC2A55"/>
    <w:rsid w:val="56496330"/>
    <w:rsid w:val="568F468B"/>
    <w:rsid w:val="56A943CB"/>
    <w:rsid w:val="56BC4D54"/>
    <w:rsid w:val="57B45FAA"/>
    <w:rsid w:val="57CC546B"/>
    <w:rsid w:val="57FA1FD8"/>
    <w:rsid w:val="580742C8"/>
    <w:rsid w:val="58922210"/>
    <w:rsid w:val="58BE3005"/>
    <w:rsid w:val="595474C6"/>
    <w:rsid w:val="599E4BE5"/>
    <w:rsid w:val="59C41675"/>
    <w:rsid w:val="5A307F33"/>
    <w:rsid w:val="5A567682"/>
    <w:rsid w:val="5A754476"/>
    <w:rsid w:val="5A8E2039"/>
    <w:rsid w:val="5AE40D1D"/>
    <w:rsid w:val="5B1C236C"/>
    <w:rsid w:val="5B4672E2"/>
    <w:rsid w:val="5B59055D"/>
    <w:rsid w:val="5B711FB4"/>
    <w:rsid w:val="5B727C04"/>
    <w:rsid w:val="5BD20B76"/>
    <w:rsid w:val="5C62639E"/>
    <w:rsid w:val="5C643EC4"/>
    <w:rsid w:val="5C967680"/>
    <w:rsid w:val="5CA6628A"/>
    <w:rsid w:val="5CC52489"/>
    <w:rsid w:val="5D1D4073"/>
    <w:rsid w:val="5D8A5BAC"/>
    <w:rsid w:val="5DAA7FFC"/>
    <w:rsid w:val="5DC15346"/>
    <w:rsid w:val="5DF64FF0"/>
    <w:rsid w:val="5DFB43B4"/>
    <w:rsid w:val="5E345DB6"/>
    <w:rsid w:val="5FA840C8"/>
    <w:rsid w:val="60107EBF"/>
    <w:rsid w:val="605E6E7C"/>
    <w:rsid w:val="606F72DB"/>
    <w:rsid w:val="60824919"/>
    <w:rsid w:val="613805BE"/>
    <w:rsid w:val="61A94127"/>
    <w:rsid w:val="61B52BB6"/>
    <w:rsid w:val="61D90EB0"/>
    <w:rsid w:val="622F512F"/>
    <w:rsid w:val="627604AD"/>
    <w:rsid w:val="627666FF"/>
    <w:rsid w:val="62EB0FAB"/>
    <w:rsid w:val="62F67840"/>
    <w:rsid w:val="63071A4D"/>
    <w:rsid w:val="630737FB"/>
    <w:rsid w:val="637D1D0F"/>
    <w:rsid w:val="63AE011A"/>
    <w:rsid w:val="63B70D7D"/>
    <w:rsid w:val="63B82D47"/>
    <w:rsid w:val="63BD3EBA"/>
    <w:rsid w:val="63C052A4"/>
    <w:rsid w:val="63F83144"/>
    <w:rsid w:val="64966BE4"/>
    <w:rsid w:val="64EC2CA8"/>
    <w:rsid w:val="652F3734"/>
    <w:rsid w:val="654D631F"/>
    <w:rsid w:val="656767D3"/>
    <w:rsid w:val="658D470C"/>
    <w:rsid w:val="65B306B7"/>
    <w:rsid w:val="65B8702E"/>
    <w:rsid w:val="65F20A3D"/>
    <w:rsid w:val="66432D9C"/>
    <w:rsid w:val="66DB1226"/>
    <w:rsid w:val="671159C5"/>
    <w:rsid w:val="673F7A07"/>
    <w:rsid w:val="675272D1"/>
    <w:rsid w:val="67801DCE"/>
    <w:rsid w:val="67AF7FBD"/>
    <w:rsid w:val="67B66762"/>
    <w:rsid w:val="67C223E6"/>
    <w:rsid w:val="67DF08A2"/>
    <w:rsid w:val="680B5B3B"/>
    <w:rsid w:val="682664D1"/>
    <w:rsid w:val="683E5E53"/>
    <w:rsid w:val="685017A0"/>
    <w:rsid w:val="68637725"/>
    <w:rsid w:val="686E1C26"/>
    <w:rsid w:val="68D953DF"/>
    <w:rsid w:val="69DB32EB"/>
    <w:rsid w:val="6A503CD9"/>
    <w:rsid w:val="6AA656A7"/>
    <w:rsid w:val="6AD763AE"/>
    <w:rsid w:val="6ADB40B9"/>
    <w:rsid w:val="6AE6019A"/>
    <w:rsid w:val="6B8203D7"/>
    <w:rsid w:val="6BC95AF1"/>
    <w:rsid w:val="6BE50C89"/>
    <w:rsid w:val="6BFE03B4"/>
    <w:rsid w:val="6C111246"/>
    <w:rsid w:val="6C501D6F"/>
    <w:rsid w:val="6C8859AD"/>
    <w:rsid w:val="6CB0280D"/>
    <w:rsid w:val="6CD2054E"/>
    <w:rsid w:val="6D763A57"/>
    <w:rsid w:val="6D9E2FAE"/>
    <w:rsid w:val="6DCB757A"/>
    <w:rsid w:val="6DFB21AE"/>
    <w:rsid w:val="6E0214E2"/>
    <w:rsid w:val="6E4C47B8"/>
    <w:rsid w:val="6E5C0E9F"/>
    <w:rsid w:val="6EA36ACE"/>
    <w:rsid w:val="6EFA2466"/>
    <w:rsid w:val="6F4B1DF4"/>
    <w:rsid w:val="6F8C7562"/>
    <w:rsid w:val="6FCF56A0"/>
    <w:rsid w:val="709B37D5"/>
    <w:rsid w:val="709D3531"/>
    <w:rsid w:val="71186BD3"/>
    <w:rsid w:val="713056CE"/>
    <w:rsid w:val="71C232AB"/>
    <w:rsid w:val="71C74F19"/>
    <w:rsid w:val="71C8627B"/>
    <w:rsid w:val="71D04977"/>
    <w:rsid w:val="71E74F23"/>
    <w:rsid w:val="71FC6271"/>
    <w:rsid w:val="720216C8"/>
    <w:rsid w:val="72023B0B"/>
    <w:rsid w:val="72BD7A32"/>
    <w:rsid w:val="72D40616"/>
    <w:rsid w:val="72D763B0"/>
    <w:rsid w:val="72FA6ED8"/>
    <w:rsid w:val="730031EA"/>
    <w:rsid w:val="733F48EB"/>
    <w:rsid w:val="736F5F64"/>
    <w:rsid w:val="737A3B75"/>
    <w:rsid w:val="73A9531E"/>
    <w:rsid w:val="73AC7DE7"/>
    <w:rsid w:val="73B07597"/>
    <w:rsid w:val="745075FF"/>
    <w:rsid w:val="74BB61F3"/>
    <w:rsid w:val="74E74B66"/>
    <w:rsid w:val="750556C0"/>
    <w:rsid w:val="750E70AC"/>
    <w:rsid w:val="752E4C17"/>
    <w:rsid w:val="75662603"/>
    <w:rsid w:val="75774810"/>
    <w:rsid w:val="7590142E"/>
    <w:rsid w:val="75A924F0"/>
    <w:rsid w:val="75F75F79"/>
    <w:rsid w:val="76053BCA"/>
    <w:rsid w:val="76660055"/>
    <w:rsid w:val="76790114"/>
    <w:rsid w:val="76EC4D8A"/>
    <w:rsid w:val="774410F1"/>
    <w:rsid w:val="774C75D7"/>
    <w:rsid w:val="77805F09"/>
    <w:rsid w:val="779571D0"/>
    <w:rsid w:val="77A647A3"/>
    <w:rsid w:val="77BE6726"/>
    <w:rsid w:val="77CD4BBB"/>
    <w:rsid w:val="77CF7251"/>
    <w:rsid w:val="77F35CA4"/>
    <w:rsid w:val="78006D3F"/>
    <w:rsid w:val="78104467"/>
    <w:rsid w:val="784A7FBA"/>
    <w:rsid w:val="7864378F"/>
    <w:rsid w:val="78D45AD6"/>
    <w:rsid w:val="78D855C6"/>
    <w:rsid w:val="79216EEA"/>
    <w:rsid w:val="797E32B5"/>
    <w:rsid w:val="79856DD0"/>
    <w:rsid w:val="79870E08"/>
    <w:rsid w:val="7A195E96"/>
    <w:rsid w:val="7A5F5873"/>
    <w:rsid w:val="7A606EF4"/>
    <w:rsid w:val="7AB23BF5"/>
    <w:rsid w:val="7B29035B"/>
    <w:rsid w:val="7B367707"/>
    <w:rsid w:val="7B8A691F"/>
    <w:rsid w:val="7B915F00"/>
    <w:rsid w:val="7BB61CF5"/>
    <w:rsid w:val="7BE91898"/>
    <w:rsid w:val="7C541ED1"/>
    <w:rsid w:val="7C694787"/>
    <w:rsid w:val="7CAB1522"/>
    <w:rsid w:val="7CAB7890"/>
    <w:rsid w:val="7CFB7AD5"/>
    <w:rsid w:val="7D2A348E"/>
    <w:rsid w:val="7D7D498E"/>
    <w:rsid w:val="7D947B1E"/>
    <w:rsid w:val="7DBC3708"/>
    <w:rsid w:val="7DEE3196"/>
    <w:rsid w:val="7E132BFC"/>
    <w:rsid w:val="7E430156"/>
    <w:rsid w:val="7ECD53F2"/>
    <w:rsid w:val="7F01339C"/>
    <w:rsid w:val="7F1E3F4E"/>
    <w:rsid w:val="7F5C7A1D"/>
    <w:rsid w:val="7F765B38"/>
    <w:rsid w:val="7F9164CE"/>
    <w:rsid w:val="7FC00B62"/>
    <w:rsid w:val="7FC836FF"/>
    <w:rsid w:val="7FEE3921"/>
    <w:rsid w:val="7FF058E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43"/>
    <w:qFormat/>
    <w:uiPriority w:val="9"/>
    <w:pPr>
      <w:keepNext/>
      <w:keepLines/>
      <w:spacing w:before="40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4"/>
    <w:unhideWhenUsed/>
    <w:qFormat/>
    <w:uiPriority w:val="9"/>
    <w:pPr>
      <w:keepNext/>
      <w:keepLines/>
      <w:spacing w:before="280" w:after="120"/>
      <w:outlineLvl w:val="1"/>
    </w:pPr>
    <w:rPr>
      <w:rFonts w:asciiTheme="majorHAnsi" w:hAnsiTheme="majorHAnsi" w:eastAsiaTheme="majorEastAsia" w:cstheme="majorBidi"/>
      <w:b/>
      <w:bCs/>
      <w:color w:val="2E75B6"/>
      <w:sz w:val="28"/>
      <w:szCs w:val="26"/>
    </w:rPr>
  </w:style>
  <w:style w:type="paragraph" w:styleId="5">
    <w:name w:val="heading 3"/>
    <w:basedOn w:val="1"/>
    <w:next w:val="1"/>
    <w:link w:val="145"/>
    <w:unhideWhenUsed/>
    <w:qFormat/>
    <w:uiPriority w:val="9"/>
    <w:pPr>
      <w:keepNext/>
      <w:keepLines/>
      <w:spacing w:before="200" w:after="80"/>
      <w:outlineLvl w:val="2"/>
    </w:pPr>
    <w:rPr>
      <w:rFonts w:asciiTheme="majorHAnsi" w:hAnsiTheme="majorHAnsi" w:eastAsiaTheme="majorEastAsia" w:cstheme="majorBidi"/>
      <w:b/>
      <w:bCs/>
      <w:color w:val="333333"/>
      <w:sz w:val="24"/>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51"/>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9"/>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autoRedefine/>
    <w:unhideWhenUsed/>
    <w:qFormat/>
    <w:uiPriority w:val="39"/>
    <w:pPr>
      <w:spacing w:after="100" w:line="259" w:lineRule="auto"/>
      <w:ind w:left="440"/>
    </w:pPr>
    <w:rPr>
      <w:rFonts w:cs="Times New Roman" w:asciiTheme="minorHAnsi" w:hAnsiTheme="minorHAnsi" w:eastAsiaTheme="minorEastAsia"/>
      <w:sz w:val="22"/>
      <w:lang w:eastAsia="zh-CN"/>
    </w:rPr>
  </w:style>
  <w:style w:type="paragraph" w:styleId="26">
    <w:name w:val="footer"/>
    <w:basedOn w:val="1"/>
    <w:link w:val="141"/>
    <w:unhideWhenUsed/>
    <w:qFormat/>
    <w:uiPriority w:val="99"/>
    <w:pPr>
      <w:tabs>
        <w:tab w:val="center" w:pos="4680"/>
        <w:tab w:val="right" w:pos="9360"/>
      </w:tabs>
      <w:spacing w:after="0" w:line="240" w:lineRule="auto"/>
    </w:pPr>
  </w:style>
  <w:style w:type="paragraph" w:styleId="27">
    <w:name w:val="header"/>
    <w:basedOn w:val="1"/>
    <w:link w:val="140"/>
    <w:unhideWhenUsed/>
    <w:qFormat/>
    <w:uiPriority w:val="99"/>
    <w:pPr>
      <w:tabs>
        <w:tab w:val="center" w:pos="4680"/>
        <w:tab w:val="right" w:pos="9360"/>
      </w:tabs>
      <w:spacing w:after="0" w:line="240" w:lineRule="auto"/>
    </w:pPr>
  </w:style>
  <w:style w:type="paragraph" w:styleId="28">
    <w:name w:val="toc 1"/>
    <w:basedOn w:val="1"/>
    <w:next w:val="1"/>
    <w:autoRedefine/>
    <w:unhideWhenUsed/>
    <w:qFormat/>
    <w:uiPriority w:val="39"/>
    <w:pPr>
      <w:spacing w:after="100" w:line="259" w:lineRule="auto"/>
    </w:pPr>
    <w:rPr>
      <w:rFonts w:cs="Times New Roman" w:asciiTheme="minorHAnsi" w:hAnsiTheme="minorHAnsi" w:eastAsiaTheme="minorEastAsia"/>
      <w:sz w:val="22"/>
      <w:lang w:eastAsia="zh-CN"/>
    </w:rPr>
  </w:style>
  <w:style w:type="paragraph" w:styleId="29">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autoRedefine/>
    <w:unhideWhenUsed/>
    <w:qFormat/>
    <w:uiPriority w:val="39"/>
    <w:pPr>
      <w:spacing w:after="100" w:line="259" w:lineRule="auto"/>
      <w:ind w:left="220"/>
    </w:pPr>
    <w:rPr>
      <w:rFonts w:cs="Times New Roman" w:asciiTheme="minorHAnsi" w:hAnsiTheme="minorHAnsi" w:eastAsiaTheme="minorEastAsia"/>
      <w:sz w:val="22"/>
      <w:lang w:eastAsia="zh-CN"/>
    </w:rPr>
  </w:style>
  <w:style w:type="paragraph" w:styleId="32">
    <w:name w:val="Body Text 2"/>
    <w:basedOn w:val="1"/>
    <w:link w:val="150"/>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styleId="139">
    <w:name w:val="Hyperlink"/>
    <w:basedOn w:val="136"/>
    <w:unhideWhenUsed/>
    <w:qFormat/>
    <w:uiPriority w:val="99"/>
    <w:rPr>
      <w:color w:val="0000FF" w:themeColor="hyperlink"/>
      <w:u w:val="single"/>
      <w14:textFill>
        <w14:solidFill>
          <w14:schemeClr w14:val="hlink"/>
        </w14:solidFill>
      </w14:textFill>
    </w:rPr>
  </w:style>
  <w:style w:type="character" w:customStyle="1" w:styleId="140">
    <w:name w:val="页眉 字符"/>
    <w:basedOn w:val="136"/>
    <w:link w:val="27"/>
    <w:qFormat/>
    <w:uiPriority w:val="99"/>
  </w:style>
  <w:style w:type="character" w:customStyle="1" w:styleId="141">
    <w:name w:val="页脚 字符"/>
    <w:basedOn w:val="136"/>
    <w:link w:val="26"/>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标题 1 字符"/>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标题 2 字符"/>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标题 3 字符"/>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标题 字符"/>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副标题 字符"/>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正文文本 字符"/>
    <w:basedOn w:val="136"/>
    <w:link w:val="20"/>
    <w:qFormat/>
    <w:uiPriority w:val="99"/>
  </w:style>
  <w:style w:type="character" w:customStyle="1" w:styleId="150">
    <w:name w:val="正文文本 2 字符"/>
    <w:basedOn w:val="136"/>
    <w:link w:val="32"/>
    <w:qFormat/>
    <w:uiPriority w:val="99"/>
  </w:style>
  <w:style w:type="character" w:customStyle="1" w:styleId="151">
    <w:name w:val="正文文本 3 字符"/>
    <w:basedOn w:val="136"/>
    <w:link w:val="18"/>
    <w:qFormat/>
    <w:uiPriority w:val="99"/>
    <w:rPr>
      <w:sz w:val="16"/>
      <w:szCs w:val="16"/>
    </w:rPr>
  </w:style>
  <w:style w:type="character" w:customStyle="1" w:styleId="152">
    <w:name w:val="宏文本 字符"/>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引用 字符"/>
    <w:basedOn w:val="136"/>
    <w:link w:val="153"/>
    <w:qFormat/>
    <w:uiPriority w:val="29"/>
    <w:rPr>
      <w:i/>
      <w:iCs/>
      <w:color w:val="000000" w:themeColor="text1"/>
      <w14:textFill>
        <w14:solidFill>
          <w14:schemeClr w14:val="tx1"/>
        </w14:solidFill>
      </w14:textFill>
    </w:rPr>
  </w:style>
  <w:style w:type="character" w:customStyle="1" w:styleId="155">
    <w:name w:val="标题 4 字符"/>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标题 5 字符"/>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7">
    <w:name w:val="标题 6 字符"/>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标题 7 字符"/>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标题 8 字符"/>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标题 9 字符"/>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明显引用 字符"/>
    <w:basedOn w:val="136"/>
    <w:link w:val="161"/>
    <w:qFormat/>
    <w:uiPriority w:val="30"/>
    <w:rPr>
      <w:b/>
      <w:bCs/>
      <w:i/>
      <w:iCs/>
      <w:color w:val="4F81BD" w:themeColor="accent1"/>
      <w14:textFill>
        <w14:solidFill>
          <w14:schemeClr w14:val="accent1"/>
        </w14:solidFill>
      </w14:textFill>
    </w:rPr>
  </w:style>
  <w:style w:type="character" w:customStyle="1" w:styleId="163">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6"/>
    <w:qFormat/>
    <w:uiPriority w:val="21"/>
    <w:rPr>
      <w:b/>
      <w:bCs/>
      <w:i/>
      <w:iCs/>
      <w:color w:val="4F81BD" w:themeColor="accent1"/>
      <w14:textFill>
        <w14:solidFill>
          <w14:schemeClr w14:val="accent1"/>
        </w14:solidFill>
      </w14:textFill>
    </w:rPr>
  </w:style>
  <w:style w:type="character" w:customStyle="1" w:styleId="165">
    <w:name w:val="Subtle Reference"/>
    <w:basedOn w:val="136"/>
    <w:qFormat/>
    <w:uiPriority w:val="31"/>
    <w:rPr>
      <w:smallCaps/>
      <w:color w:val="C0504D" w:themeColor="accent2"/>
      <w:u w:val="single"/>
      <w14:textFill>
        <w14:solidFill>
          <w14:schemeClr w14:val="accent2"/>
        </w14:solidFill>
      </w14:textFill>
    </w:rPr>
  </w:style>
  <w:style w:type="character" w:customStyle="1" w:styleId="166">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6"/>
    <w:qFormat/>
    <w:uiPriority w:val="33"/>
    <w:rPr>
      <w:b/>
      <w:bCs/>
      <w:smallCaps/>
      <w:spacing w:val="5"/>
    </w:rPr>
  </w:style>
  <w:style w:type="paragraph" w:customStyle="1" w:styleId="168">
    <w:name w:val="TOC Heading"/>
    <w:basedOn w:val="3"/>
    <w:next w:val="1"/>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2114</Words>
  <Characters>2389</Characters>
  <Lines>44</Lines>
  <Paragraphs>12</Paragraphs>
  <TotalTime>2</TotalTime>
  <ScaleCrop>false</ScaleCrop>
  <LinksUpToDate>false</LinksUpToDate>
  <CharactersWithSpaces>2683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2026-06-10T05:11:00Z</dcterms:created>
  <dc:creator>python-docx</dc:creator>
  <dc:description>generated by python-docx</dc:description>
  <cp:lastModifiedBy>孟宇辉</cp:lastModifiedBy>
  <dcterms:modified xsi:type="dcterms:W3CDTF">2026-08-27T03:30:27Z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eyJoZGlkIjoiOTc4Mjg3Y2NjMzEyMWJhMmFmM2MxMjk0YjA3NTk4MGMiLCJ1c2VySWQiOiIxNjkyNDUyNjcyIn0=</vt:lpwstr>
  </property>
  <property fmtid="{D5CDD505-2E9C-101B-9397-08002B2CF9AE}" pid="3" name="KSOProductBuildVer">
    <vt:lpwstr>2052-12.1.0.28043</vt:lpwstr>
  </property>
  <property fmtid="{D5CDD505-2E9C-101B-9397-08002B2CF9AE}" pid="4" name="ICV">
    <vt:lpwstr>A0F50FD61A8B4B108F5C24BC5249EC3B_13</vt:lpwstr>
  </property>
</Properties>
</file>