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海信85U7N &amp; 创维85G7E竞品分析 2.0</w:t>
      </w:r>
    </w:p>
    <w:p>
      <w:bookmarkStart w:id="lai41naqfvvewjbuyk" w:name="lai41naqfvvewjbuyk"/>
      <w:pPr>
        <w:pStyle w:val="dingding-heading1"/>
      </w:pPr>
      <w:r>
        <w:t xml:space="preserve">📝 更新记录</w:t>
      </w:r>
      <w:bookmarkEnd w:id="lai41naqfvvewjbuyk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313"/>
        <w:gridCol w:w="6865"/>
        <w:gridCol w:w="2265"/>
        <w:gridCol w:w="2300"/>
      </w:tblGrid>
      <w:tr>
        <w:trPr>
          <w:trHeight w:val="615"/>
        </w:trPr>
        <w:tc>
          <w:tcPr>
            <w:tcW w:w="3313" w:type="dxa"/>
            <w:shd w:val="clear" w:color="auto" w:fill="E8E6E7"/>
          </w:tcPr>
          <w:p>
            <w:pPr/>
            <w:r>
              <w:t xml:space="preserve">版本号</w:t>
            </w:r>
          </w:p>
        </w:tc>
        <w:tc>
          <w:tcPr>
            <w:tcW w:w="6865" w:type="dxa"/>
            <w:vAlign w:val="center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更新内容</w:t>
            </w:r>
          </w:p>
        </w:tc>
        <w:tc>
          <w:tcPr>
            <w:tcW w:w="2265" w:type="dxa"/>
            <w:vAlign w:val="center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更新人</w:t>
            </w:r>
          </w:p>
        </w:tc>
        <w:tc>
          <w:tcPr>
            <w:tcW w:w="2300" w:type="dxa"/>
            <w:vAlign w:val="center"/>
            <w:shd w:val="clear" w:color="auto" w:fill="E8E6E7"/>
          </w:tcPr>
          <w:p>
            <w:pPr>
              <w:jc w:val="center"/>
            </w:pPr>
            <w:r>
              <w:rPr>
                <w:color w:val="404040"/>
                <w:b w:val="1"/>
              </w:rPr>
              <w:t xml:space="preserve">更新时间</w:t>
            </w:r>
          </w:p>
        </w:tc>
      </w:tr>
      <w:tr>
        <w:trPr>
          <w:trHeight w:val="2085"/>
        </w:trPr>
        <w:tc>
          <w:tcPr>
            <w:tcW w:w="3313" w:type="dxa"/>
          </w:tcPr>
          <w:p>
            <w:pPr/>
            <w:r>
              <w:t xml:space="preserve">V1.0</w:t>
            </w:r>
          </w:p>
        </w:tc>
        <w:tc>
          <w:tcPr>
            <w:tcW w:w="6865" w:type="dxa"/>
            <w:vAlign w:val="center"/>
          </w:tcPr>
          <w:p>
            <w:pPr>
              <w:numPr>
                <w:ilvl w:val="0"/>
                <w:numId w:val="1"/>
              </w:numPr>
            </w:pPr>
            <w:r>
              <w:t xml:space="preserve">画质分析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模组分析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电源分析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综合问题分析</w:t>
            </w:r>
          </w:p>
        </w:tc>
        <w:tc>
          <w:tcPr>
            <w:tcW w:w="2265" w:type="dxa"/>
            <w:vAlign w:val="center"/>
          </w:tcPr>
          <w:p>
            <w:pPr/>
            <w:r/>
            <w:r>
              <w:rPr>
                <w:color w:val="008ECB"/>
              </w:rPr>
              <w:t xml:space="preserve">@全晓荣</w:t>
            </w:r>
            <w:r/>
            <w:r>
              <w:rPr>
                <w:color w:val="008ECB"/>
              </w:rPr>
              <w:t xml:space="preserve">@杨梦依</w:t>
            </w:r>
            <w:r/>
            <w:r>
              <w:rPr>
                <w:color w:val="008ECB"/>
              </w:rPr>
              <w:t xml:space="preserve">@张广谱</w:t>
            </w:r>
            <w:r/>
            <w:r>
              <w:rPr>
                <w:color w:val="008ECB"/>
              </w:rPr>
              <w:t xml:space="preserve">@周建华</w:t>
            </w:r>
            <w:r/>
          </w:p>
        </w:tc>
        <w:tc>
          <w:tcPr>
            <w:tcW w:w="2300" w:type="dxa"/>
            <w:vAlign w:val="center"/>
          </w:tcPr>
          <w:p>
            <w:pPr/>
            <w:r/>
            <w:r>
              <w:t xml:space="preserve"> 2025-01-31 </w:t>
            </w:r>
            <w:r/>
          </w:p>
        </w:tc>
      </w:tr>
      <w:tr>
        <w:trPr>
          <w:trHeight w:val="0"/>
        </w:trPr>
        <w:tc>
          <w:tcPr>
            <w:tcW w:w="3313" w:type="dxa"/>
          </w:tcPr>
          <w:p>
            <w:pPr/>
            <w:r>
              <w:t xml:space="preserve">V1.1</w:t>
            </w:r>
          </w:p>
        </w:tc>
        <w:tc>
          <w:tcPr>
            <w:tcW w:w="6865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t xml:space="preserve">增加对比度维度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24"/>
                <w:color w:val="000000"/>
              </w:rPr>
              <w:t xml:space="preserve">增加玻璃穿透率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加测电流，</w:t>
            </w:r>
            <w:r>
              <w:rPr>
                <w:sz w:val="24"/>
                <w:color w:val="000000"/>
              </w:rPr>
              <w:t xml:space="preserve">增加小窗口亮度亮不起来的分析</w:t>
            </w:r>
          </w:p>
        </w:tc>
        <w:tc>
          <w:tcPr>
            <w:tcW w:w="2265" w:type="dxa"/>
            <w:vAlign w:val="center"/>
          </w:tcPr>
          <w:p>
            <w:pPr/>
            <w:r/>
            <w:r>
              <w:rPr>
                <w:color w:val="008ECB"/>
              </w:rPr>
              <w:t xml:space="preserve">@全晓荣</w:t>
            </w:r>
            <w:r/>
            <w:r>
              <w:rPr>
                <w:color w:val="008ECB"/>
              </w:rPr>
              <w:t xml:space="preserve">@杨梦依</w:t>
            </w:r>
            <w:r/>
            <w:r>
              <w:rPr>
                <w:color w:val="008ECB"/>
              </w:rPr>
              <w:t xml:space="preserve">@张广谱</w:t>
            </w:r>
            <w:r/>
            <w:r>
              <w:rPr>
                <w:color w:val="008ECB"/>
              </w:rPr>
              <w:t xml:space="preserve">@周建华</w:t>
            </w:r>
            <w:r/>
          </w:p>
        </w:tc>
        <w:tc>
          <w:tcPr>
            <w:tcW w:w="2300" w:type="dxa"/>
            <w:vAlign w:val="center"/>
          </w:tcPr>
          <w:p>
            <w:pPr/>
            <w:r/>
            <w:r>
              <w:t xml:space="preserve"> 2025-02-25 </w:t>
            </w:r>
            <w:r/>
          </w:p>
        </w:tc>
      </w:tr>
      <w:tr>
        <w:trPr>
          <w:trHeight w:val="0"/>
        </w:trPr>
        <w:tc>
          <w:tcPr>
            <w:tcW w:w="3313" w:type="dxa"/>
          </w:tcPr>
          <w:p>
            <w:pPr/>
            <w:r/>
          </w:p>
        </w:tc>
        <w:tc>
          <w:tcPr>
            <w:tcW w:w="6865" w:type="dxa"/>
            <w:vAlign w:val="center"/>
          </w:tcPr>
          <w:p>
            <w:pPr/>
            <w:r/>
          </w:p>
        </w:tc>
        <w:tc>
          <w:tcPr>
            <w:tcW w:w="2265" w:type="dxa"/>
            <w:vAlign w:val="center"/>
          </w:tcPr>
          <w:p>
            <w:pPr/>
            <w:r/>
          </w:p>
        </w:tc>
        <w:tc>
          <w:tcPr>
            <w:tcW w:w="2300" w:type="dxa"/>
            <w:vAlign w:val="center"/>
          </w:tcPr>
          <w:p>
            <w:pPr/>
            <w:r/>
          </w:p>
        </w:tc>
      </w:tr>
    </w:tbl>
    <w:p>
      <w:bookmarkStart w:id="m7vkmft6mjcngp5p2zq" w:name="m7vkmft6mjcngp5p2zq"/>
      <w:pPr>
        <w:pStyle w:val="dingding-heading1"/>
        <w:numPr>
          <w:ilvl w:val="0"/>
          <w:numId w:val="3"/>
        </w:numPr>
        <w:spacing w:line="204.70588235294116"/>
      </w:pPr>
      <w:r>
        <w:rPr>
          <w:sz w:val="40"/>
          <w:b w:val="1"/>
        </w:rPr>
        <w:t xml:space="preserve">画质分析</w:t>
      </w:r>
      <w:bookmarkEnd w:id="m7vkmft6mjcngp5p2zq"/>
    </w:p>
    <w:p>
      <w:bookmarkStart w:id="m4l0hm0atnvebhiyktq" w:name="m4l0hm0atnvebhiyktq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客观数据总览</w:t>
      </w:r>
      <w:bookmarkEnd w:id="m4l0hm0atnvebhiyktq"/>
    </w:p>
    <w:p>
      <w:pPr>
        <w:ind w:left="480"/>
      </w:pPr>
      <w:r>
        <w:rPr>
          <w:b w:val="1"/>
        </w:rPr>
        <w:t xml:space="preserve">创维85G7E从亮度、色域两方面都比海信85U7N的好，但模组有差异，预计会影响光晕。峰值亮度、瞬态峰值亮度持续时间以及功率表现需后续综合详细分析。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465"/>
        <w:gridCol w:w="2084"/>
        <w:gridCol w:w="3211"/>
        <w:gridCol w:w="2798"/>
        <w:gridCol w:w="3286"/>
        <w:gridCol w:w="1897"/>
      </w:tblGrid>
      <w:tr>
        <w:trPr>
          <w:trHeight w:val="705"/>
        </w:trPr>
        <w:tc>
          <w:tcPr>
            <w:tcW w:w="3550" w:type="dxa"/>
            <w:gridSpan w:val="2"/>
            <w:vAlign w:val="top"/>
            <w:shd w:val="clear" w:color="auto" w:fill="E4EDDB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        测试内容</w:t>
            </w:r>
          </w:p>
        </w:tc>
        <w:tc>
          <w:tcPr>
            <w:tcW w:w="3211" w:type="dxa"/>
            <w:vAlign w:val="top"/>
            <w:shd w:val="clear" w:color="auto" w:fill="E4EDDB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海信85U7N</w:t>
            </w:r>
          </w:p>
        </w:tc>
        <w:tc>
          <w:tcPr>
            <w:tcW w:w="2798" w:type="dxa"/>
            <w:vAlign w:val="top"/>
            <w:shd w:val="clear" w:color="auto" w:fill="E4EDDB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 创维85G7E</w:t>
            </w:r>
          </w:p>
        </w:tc>
        <w:tc>
          <w:tcPr>
            <w:tcW w:w="3286" w:type="dxa"/>
            <w:vAlign w:val="top"/>
            <w:shd w:val="clear" w:color="auto" w:fill="E4EDDB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     结论</w:t>
            </w:r>
          </w:p>
        </w:tc>
        <w:tc>
          <w:tcPr>
            <w:tcW w:w="1897" w:type="dxa"/>
            <w:vAlign w:val="top"/>
            <w:shd w:val="clear" w:color="auto" w:fill="E4EDDB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    备注</w:t>
            </w:r>
          </w:p>
        </w:tc>
      </w:tr>
      <w:tr>
        <w:trPr>
          <w:trHeight w:val="525"/>
        </w:trPr>
        <w:tc>
          <w:tcPr>
            <w:tcW w:w="3550" w:type="dxa"/>
            <w:gridSpan w:val="2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LD分区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   576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720</w:t>
            </w:r>
          </w:p>
        </w:tc>
        <w:tc>
          <w:tcPr>
            <w:tcW w:w="3286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  <w:tc>
          <w:tcPr>
            <w:tcW w:w="1897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600"/>
        </w:trPr>
        <w:tc>
          <w:tcPr>
            <w:tcW w:w="3550" w:type="dxa"/>
            <w:gridSpan w:val="2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刷新率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 120Hz（VRR144）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120Hz（VRR144）</w:t>
            </w:r>
          </w:p>
        </w:tc>
        <w:tc>
          <w:tcPr>
            <w:tcW w:w="3286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  <w:tc>
          <w:tcPr>
            <w:tcW w:w="1897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tcW w:w="3550" w:type="dxa"/>
            <w:gridSpan w:val="2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芯片信息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MTK9653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RTK2886</w:t>
            </w:r>
          </w:p>
        </w:tc>
        <w:tc>
          <w:tcPr>
            <w:tcW w:w="3286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  <w:tc>
          <w:tcPr>
            <w:tcW w:w="1897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tcW w:w="3550" w:type="dxa"/>
            <w:gridSpan w:val="2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屏体信息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BOE VA(AGLR?)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BOE VA</w:t>
            </w:r>
          </w:p>
        </w:tc>
        <w:tc>
          <w:tcPr>
            <w:tcW w:w="3286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  <w:tc>
          <w:tcPr>
            <w:tcW w:w="1897" w:type="dxa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495"/>
        </w:trPr>
        <w:tc>
          <w:tcPr>
            <w:tcW w:w="1465" w:type="dxa"/>
            <w:vMerge w:val="restart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亮度(鲜艳模式)</w:t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全白场亮度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671.28nits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758.98nits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创维亮度高于海信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525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黑场亮度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0.0832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0.1576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海信黑场亮度明显低于创维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关LD</w:t>
            </w:r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Real Scene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766.8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828.08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创维亮度高于海信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Rtings测试视频</w:t>
            </w:r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峰值亮度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1777.90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1642.1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海信稳态峰值亮度高于创维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瞬态峰值亮度持续时间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最高1632,持续20分钟缓慢下降至1417nit.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最高1887,持续15秒左右后降至1300nits左右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海信瞬态峰值亮度持续时间更长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tcW w:w="1465" w:type="dxa"/>
            <w:vMerge w:val="restart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色域</w:t>
            </w:r>
          </w:p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（DCI-P3）</w:t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覆盖率（1976）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97%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98.1%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创维色域覆盖率更高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面积比（1976）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99.2%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103.6%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创维面积比更高</w:t>
            </w:r>
          </w:p>
        </w:tc>
        <w:tc>
          <w:tcPr>
            <w:tcW w:w="1897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tcW w:w="1465" w:type="dxa"/>
            <w:vMerge w:val="restart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色温</w:t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标准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12440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10079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标准模式下海信较创维更偏冷</w:t>
            </w:r>
          </w:p>
        </w:tc>
        <w:tc>
          <w:tcPr>
            <w:tcW w:w="1897" w:type="dxa"/>
            <w:vMerge w:val="restart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80%灰阶</w:t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鲜艳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14826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18520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鲜艳模式下创维较海信更偏冷</w:t>
            </w:r>
          </w:p>
        </w:tc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b w:val="1"/>
              </w:rPr>
            </w:r>
          </w:p>
        </w:tc>
        <w:tc>
          <w:tcPr>
            <w:tcW w:w="2084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  <w:b w:val="1"/>
              </w:rPr>
              <w:t xml:space="preserve">影院</w:t>
            </w:r>
          </w:p>
        </w:tc>
        <w:tc>
          <w:tcPr>
            <w:tcW w:w="3211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7400</w:t>
            </w:r>
          </w:p>
        </w:tc>
        <w:tc>
          <w:tcPr>
            <w:tcW w:w="2798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6682</w:t>
            </w:r>
          </w:p>
        </w:tc>
        <w:tc>
          <w:tcPr>
            <w:tcW w:w="3286" w:type="dxa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  <w:color w:val="000000"/>
              </w:rPr>
              <w:t xml:space="preserve">影院模式下创维较海信更偏暖</w:t>
            </w:r>
          </w:p>
        </w:tc>
        <w:tc>
          <w:tcPr>
            <w:vMerge w:val="continue"/>
            <w:vAlign w:val="top"/>
          </w:tcPr>
          <w:p>
            <w:pPr/>
            <w:r>
              <w:rPr>
                <w:sz w:val="18"/>
                <w:rFonts w:ascii="SimHei" w:hAnsi="SimHei" w:cs="SimHei" w:eastAsia="SimHei"/>
              </w:rPr>
            </w:r>
          </w:p>
        </w:tc>
      </w:tr>
    </w:tbl>
    <w:p>
      <w:pPr>
        <w:ind w:left="480"/>
      </w:pPr>
      <w:r>
        <w:rPr>
          <w:b w:val="1"/>
        </w:rPr>
      </w:r>
    </w:p>
    <w:p>
      <w:bookmarkStart w:id="m4m3ktctteej95culsq" w:name="m4m3ktctteej95culsq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客观数据细节项对比: </w:t>
      </w:r>
      <w:bookmarkEnd w:id="m4m3ktctteej95culsq"/>
    </w:p>
    <w:p>
      <w:pPr>
        <w:numPr>
          <w:ilvl w:val="0"/>
          <w:numId w:val="5"/>
        </w:numPr>
      </w:pPr>
      <w:r>
        <w:rPr>
          <w:b w:val="1"/>
          <w:u w:val="single"/>
        </w:rPr>
        <w:t xml:space="preserve">SDR鲜艳默认模式亮度功率对比</w:t>
      </w:r>
    </w:p>
    <w:tbl>
      <w:tblPr>
        <w:tblStyle w:val="TableGrid"/>
        <w:tblW w:w="0" w:type="auto"/>
      </w:tblPr>
      <w:tblGrid>
        <w:gridCol w:w="1905"/>
        <w:gridCol w:w="810"/>
        <w:gridCol w:w="900"/>
        <w:gridCol w:w="1005"/>
        <w:gridCol w:w="930"/>
        <w:gridCol w:w="915"/>
        <w:gridCol w:w="7860"/>
      </w:tblGrid>
      <w:tr>
        <w:trPr>
          <w:trHeight w:val="495"/>
        </w:trPr>
        <w:tc>
          <w:tcPr>
            <w:gridSpan w:val="2"/>
            <w:vMerge w:val="restart"/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测试内容</w:t>
            </w:r>
          </w:p>
        </w:tc>
        <w:tc>
          <w:tcPr>
            <w:gridSpan w:val="2"/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海信85U7N</w:t>
            </w:r>
          </w:p>
        </w:tc>
        <w:tc>
          <w:tcPr>
            <w:gridSpan w:val="2"/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创维85G7E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结论</w:t>
            </w:r>
          </w:p>
        </w:tc>
      </w:tr>
      <w:tr>
        <w:trPr>
          <w:trHeight w:val="495"/>
        </w:trPr>
        <w:tc>
          <w:tcPr>
            <w:gridSpan w:val="2"/>
            <w:vMerge w:val="continue"/>
            <w:vAlign w:val="top"/>
          </w:tcPr>
          <w:p>
            <w:pPr>
              <w:jc w:val="center"/>
            </w:pPr>
            <w:r>
              <w:rPr>
                <w:b w:val="1"/>
              </w:rPr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亮度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功率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亮度</w:t>
            </w:r>
          </w:p>
        </w:tc>
        <w:tc>
          <w:tcPr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功率</w:t>
            </w:r>
          </w:p>
        </w:tc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b w:val="1"/>
              </w:rPr>
            </w:r>
          </w:p>
        </w:tc>
      </w:tr>
      <w:tr>
        <w:trPr>
          <w:trHeight w:val="495"/>
        </w:trPr>
        <w:tc>
          <w:tcPr>
            <w:vMerge w:val="restart"/>
            <w:vAlign w:val="top"/>
          </w:tcPr>
          <w:p>
            <w:pPr/>
            <w:r>
              <w:rPr>
                <w:sz w:val="18"/>
                <w:color w:val="000000"/>
                <w:b w:val="1"/>
              </w:rPr>
              <w:t xml:space="preserve">Window（H）size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663.0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  <w:b w:val="1"/>
              </w:rPr>
              <w:t xml:space="preserve">307.7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756.4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406.4</w:t>
            </w:r>
          </w:p>
        </w:tc>
        <w:tc>
          <w:tcPr>
            <w:vMerge w:val="restart"/>
            <w:vAlign w:val="center"/>
          </w:tcPr>
          <w:p>
            <w:pPr/>
            <w:r>
              <w:rPr>
                <w:sz w:val="20"/>
                <w:color w:val="000000"/>
              </w:rPr>
              <w:t xml:space="preserve">海信85U7N在30%以上小窗口的亮度及功率均低于创维85G7E,但在25%以下小窗口的亮度海信明显高于创维,但功率与创维相差不大.</w:t>
            </w:r>
            <w:r>
              <w:drawing>
                <wp:inline distT="0" distB="0" distL="0" distR="0">
                  <wp:extent cx="4848225" cy="3971925"/>
                  <wp:effectExtent b="0" l="0" r="0" t="0"/>
                  <wp:docPr id="1" name="截屏2024-12-13 09.46.1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4848225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color w:val="000000"/>
              </w:rPr>
            </w:r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0.95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665.2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306.9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770.4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406.3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702.4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306.4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806.7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407.8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0.85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702.3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303.7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806.9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406.5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0.8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720.7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305.1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880.2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407.8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0.75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798.5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298.4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919.9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407.6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854.1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300.0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1009.9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410.1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0.65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854.4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300.1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1099.4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410.9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0.6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922.8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294.7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1184.4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410.1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0.55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1012.0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292.3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1227.2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410.4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1078.0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289.1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1454.1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411.6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0.45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1130.2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291.7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1488.0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408.2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1242.0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290.5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1528.2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  <w:b w:val="1"/>
              </w:rPr>
              <w:t xml:space="preserve">413.0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0.35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1420.0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289.0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  <w:b w:val="1"/>
              </w:rPr>
              <w:t xml:space="preserve">1642.1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361.9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0.3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1556.0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284.4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1633.2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318.0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0.25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1715.6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259.5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1588.7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266.5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1050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  <w:b w:val="1"/>
              </w:rPr>
              <w:t xml:space="preserve">1777.9</w:t>
            </w:r>
            <w:r>
              <w:rPr>
                <w:sz w:val="18"/>
                <w:color w:val="990000"/>
              </w:rPr>
              <w:t xml:space="preserve"> 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234.7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1546.5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221.7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0.15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1757.9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189.2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1474.3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186.2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0.1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1721.9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148.0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1335.5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136.3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0.05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1544.6 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88.6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1085.9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FF0000"/>
              </w:rPr>
              <w:t xml:space="preserve">87.7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  <w:tr>
        <w:trPr>
          <w:trHeight w:val="495"/>
        </w:trPr>
        <w:tc>
          <w:tcPr>
            <w:vMerge w:val="continue"/>
            <w:vAlign w:val="top"/>
          </w:tcPr>
          <w:p>
            <w:pPr/>
            <w:r/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0.02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799.9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59.4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822.2</w:t>
            </w:r>
          </w:p>
        </w:tc>
        <w:tc>
          <w:tcPr>
            <w:vAlign w:val="top"/>
          </w:tcPr>
          <w:p>
            <w:pPr/>
            <w:r>
              <w:rPr>
                <w:sz w:val="18"/>
                <w:color w:val="000000"/>
              </w:rPr>
              <w:t xml:space="preserve">63.2</w:t>
            </w:r>
          </w:p>
        </w:tc>
        <w:tc>
          <w:tcPr>
            <w:vMerge w:val="continue"/>
            <w:vAlign w:val="center"/>
          </w:tcPr>
          <w:p>
            <w:pPr/>
            <w:r/>
          </w:p>
        </w:tc>
      </w:tr>
    </w:tbl>
    <w:p>
      <w:pPr>
        <w:numPr>
          <w:ilvl w:val="0"/>
          <w:numId w:val="5"/>
        </w:numPr>
      </w:pPr>
      <w:r>
        <w:rPr>
          <w:b w:val="1"/>
          <w:u w:val="single"/>
        </w:rPr>
        <w:t xml:space="preserve">瞬态峰值亮度对比</w:t>
      </w:r>
    </w:p>
    <w:p>
      <w:pPr/>
      <w:r>
        <w:rPr>
          <w:b w:val="1"/>
        </w:rPr>
        <w:t xml:space="preserve">我司瞬态峰值亮度变化策略略显简单,周期性的Boost开15s,关150s。在特殊场景下可能会给用户造成不好体验(突然变暗和变亮)；海信峰值亮度变化小且持续时间长,用户基本无感知，且若一直保持小窗口画面不变，不会一直激发boost，切换画面后再次激发.</w:t>
      </w:r>
    </w:p>
    <w:p>
      <w:pPr/>
      <w:r/>
      <w:r>
        <w:drawing>
          <wp:inline distT="0" distB="0" distL="0" distR="0">
            <wp:extent cx="9029700" cy="3114675"/>
            <wp:effectExtent b="0" l="0" r="0" t="0"/>
            <wp:docPr id="2" name="截屏2024-12-13 10.18.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90297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创维85G7E 修改后：</w:t>
      </w:r>
    </w:p>
    <w:p>
      <w:pPr/>
      <w:r/>
      <w:r>
        <w:drawing>
          <wp:inline distT="0" distB="0" distL="0" distR="0">
            <wp:extent cx="9029700" cy="1190625"/>
            <wp:effectExtent b="0" l="0" r="0" t="0"/>
            <wp:docPr id="3" name="7684d28fb2ab97e014a324806b2585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r="2532" b="0" t="0" l="844"/>
                    <a:stretch/>
                  </pic:blipFill>
                  <pic:spPr>
                    <a:xfrm rot="0">
                      <a:off x="0" y="0"/>
                      <a:ext cx="902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"/>
        </w:numPr>
      </w:pPr>
      <w:r>
        <w:rPr>
          <w:b w:val="1"/>
          <w:u w:val="single"/>
        </w:rPr>
        <w:t xml:space="preserve">冷暖标准色温(SDR)</w:t>
      </w:r>
    </w:p>
    <w:p>
      <w:pPr/>
      <w:r>
        <w:rPr>
          <w:b w:val="1"/>
        </w:rPr>
        <w:t xml:space="preserve">标准、鲜艳、电影三种模式下测量80%白场，创维85G7E在标准和电影模式下较海信85U7N标准和电影模式偏暖;而鲜艳模式创维85G7E较海信偏冷。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462"/>
        <w:gridCol w:w="2462"/>
        <w:gridCol w:w="2462"/>
        <w:gridCol w:w="2462"/>
        <w:gridCol w:w="2462"/>
        <w:gridCol w:w="2432"/>
      </w:tblGrid>
      <w:tr>
        <w:trPr>
          <w:trHeight w:val="0"/>
        </w:trPr>
        <w:tc>
          <w:tcPr>
            <w:vMerge w:val="restart"/>
            <w:vAlign w:val="center"/>
            <w:tcBorders/>
            <w:shd w:val="clear" w:color="auto" w:fill="FFFFFF"/>
          </w:tcPr>
          <w:p>
            <w:pPr>
              <w:jc w:val="center"/>
            </w:pPr>
            <w:r>
              <w:t xml:space="preserve">创维85G7E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模式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x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y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 Lv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T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标准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0.2797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0.2888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436.55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10079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vAlign w:val="top"/>
          </w:tcPr>
          <w:p>
            <w:pPr>
              <w:jc w:val="center"/>
            </w:pPr>
            <w:r>
              <w:t xml:space="preserve">鲜艳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0.2626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0.2533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456.12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18520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vAlign w:val="top"/>
          </w:tcPr>
          <w:p>
            <w:pPr>
              <w:jc w:val="center"/>
            </w:pPr>
            <w:r>
              <w:t xml:space="preserve">电影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0.3101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0.3251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288.86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6682</w:t>
            </w:r>
          </w:p>
        </w:tc>
      </w:tr>
    </w:tbl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462"/>
        <w:gridCol w:w="2462"/>
        <w:gridCol w:w="2462"/>
        <w:gridCol w:w="2462"/>
        <w:gridCol w:w="2462"/>
        <w:gridCol w:w="2432"/>
      </w:tblGrid>
      <w:tr>
        <w:trPr>
          <w:trHeight w:val="0"/>
        </w:trPr>
        <w:tc>
          <w:tcPr>
            <w:vMerge w:val="restart"/>
            <w:vAlign w:val="center"/>
            <w:tcBorders/>
            <w:shd w:val="clear" w:color="auto" w:fill="FFFFFF"/>
          </w:tcPr>
          <w:p>
            <w:pPr>
              <w:jc w:val="center"/>
            </w:pPr>
            <w:r>
              <w:t xml:space="preserve">海信85U7N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模式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x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y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 Lv</w:t>
            </w:r>
          </w:p>
        </w:tc>
        <w:tc>
          <w:tcPr>
            <w:vAlign w:val="top"/>
            <w:tcBorders/>
            <w:shd w:val="clear" w:color="auto" w:fill="FFFFFF"/>
          </w:tcPr>
          <w:p>
            <w:pPr>
              <w:jc w:val="center"/>
            </w:pPr>
            <w:r>
              <w:t xml:space="preserve">T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标准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0.2717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0.2737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318.48</w:t>
            </w:r>
          </w:p>
        </w:tc>
        <w:tc>
          <w:tcPr>
            <w:vAlign w:val="top"/>
            <w:tcBorders/>
          </w:tcPr>
          <w:p>
            <w:pPr>
              <w:jc w:val="center"/>
            </w:pPr>
            <w:r>
              <w:t xml:space="preserve">12440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vAlign w:val="top"/>
          </w:tcPr>
          <w:p>
            <w:pPr>
              <w:jc w:val="center"/>
            </w:pPr>
            <w:r>
              <w:t xml:space="preserve">鲜艳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0.2652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0.2665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446.23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14826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/>
            <w:r/>
          </w:p>
        </w:tc>
        <w:tc>
          <w:tcPr>
            <w:vAlign w:val="top"/>
          </w:tcPr>
          <w:p>
            <w:pPr>
              <w:jc w:val="center"/>
            </w:pPr>
            <w:r>
              <w:t xml:space="preserve">电影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0.3020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0.3095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178.33</w:t>
            </w:r>
          </w:p>
        </w:tc>
        <w:tc>
          <w:tcPr>
            <w:vAlign w:val="top"/>
          </w:tcPr>
          <w:p>
            <w:pPr>
              <w:jc w:val="center"/>
            </w:pPr>
            <w:r>
              <w:t xml:space="preserve">7400</w:t>
            </w:r>
          </w:p>
        </w:tc>
      </w:tr>
    </w:tbl>
    <w:p>
      <w:pPr>
        <w:numPr>
          <w:ilvl w:val="0"/>
          <w:numId w:val="5"/>
        </w:numPr>
      </w:pPr>
      <w:r>
        <w:rPr>
          <w:b w:val="1"/>
          <w:u w:val="single"/>
        </w:rPr>
        <w:t xml:space="preserve">色域覆盖率</w:t>
      </w:r>
    </w:p>
    <w:p>
      <w:pPr/>
      <w:r>
        <w:rPr>
          <w:b w:val="1"/>
        </w:rPr>
        <w:t xml:space="preserve">在鲜艳模式测量R,G,B的色坐标，创维85G7E无论是覆盖率还是面积比都要高于海信85U7N。</w:t>
      </w:r>
    </w:p>
    <w:tbl>
      <w:tblPr>
        <w:tblStyle w:val="TableGrid"/>
        <w:tblW w:w="0" w:type="auto"/>
      </w:tblPr>
      <w:tblGrid>
        <w:gridCol w:w="7372"/>
        <w:gridCol w:w="7372"/>
      </w:tblGrid>
      <w:tr>
        <w:trPr>
          <w:trHeight w:val="0"/>
        </w:trPr>
        <w:tc>
          <w:tcPr>
            <w:tcW w:w="7372" w:type="dxa"/>
            <w:vAlign w:val="top"/>
            <w:shd w:val="clear" w:color="auto" w:fill="ECF9F0"/>
          </w:tcPr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3686"/>
              <w:gridCol w:w="3686"/>
              <w:gridCol w:w="3686"/>
              <w:gridCol w:w="3686"/>
            </w:tblGrid>
            <w:tr>
              <w:trPr>
                <w:trHeight w:val="0"/>
              </w:trPr>
              <w:tc>
                <w:tcPr>
                  <w:vMerge w:val="restart"/>
                  <w:vAlign w:val="center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创维85G7E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颜色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x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y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R</w:t>
                  </w:r>
                </w:p>
              </w:tc>
              <w:tc>
                <w:tcPr>
                  <w:vAlign w:val="top"/>
                  <w:tcBorders/>
                </w:tcPr>
                <w:p>
                  <w:pPr/>
                  <w:r>
                    <w:rPr>
                      <w:sz w:val="20"/>
                    </w:rPr>
                    <w:t xml:space="preserve">0.6840</w:t>
                  </w:r>
                </w:p>
              </w:tc>
              <w:tc>
                <w:tcPr>
                  <w:vAlign w:val="top"/>
                  <w:tcBorders/>
                </w:tcPr>
                <w:p>
                  <w:pPr/>
                  <w:r>
                    <w:rPr>
                      <w:sz w:val="20"/>
                    </w:rPr>
                    <w:t xml:space="preserve">0.3143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G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0.2296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0.7111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0.1502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0.0648</w:t>
                  </w:r>
                </w:p>
              </w:tc>
            </w:tr>
          </w:tbl>
          <w:p/>
          <w:p>
            <w:pPr>
              <w:numPr>
                <w:ilvl w:val="0"/>
                <w:numId w:val="6"/>
              </w:numPr>
            </w:pPr>
            <w:r>
              <w:rPr>
                <w:b w:val="1"/>
              </w:rPr>
              <w:t xml:space="preserve">CIE1931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462"/>
              <w:gridCol w:w="2189"/>
              <w:gridCol w:w="2401"/>
              <w:gridCol w:w="2310"/>
              <w:gridCol w:w="2705"/>
              <w:gridCol w:w="2674"/>
            </w:tblGrid>
            <w:tr>
              <w:trPr>
                <w:trHeight w:val="0"/>
              </w:trPr>
              <w:tc>
                <w:tcPr>
                  <w:vMerge w:val="restart"/>
                  <w:vAlign w:val="center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创维85G7E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  <w:tcBorders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99.9%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93.8%</w:t>
                  </w:r>
                </w:p>
              </w:tc>
              <w:tc>
                <w:tcPr/>
                <w:p>
                  <w:pPr/>
                  <w:r>
                    <w:rPr>
                      <w:sz w:val="20"/>
                    </w:rPr>
                    <w:t xml:space="preserve">76.7%</w:t>
                  </w:r>
                </w:p>
              </w:tc>
              <w:tc>
                <w:tcPr/>
                <w:p>
                  <w:pPr/>
                  <w:r>
                    <w:rPr>
                      <w:sz w:val="20"/>
                    </w:rPr>
                    <w:t xml:space="preserve">98.0%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/>
                <w:p>
                  <w:pPr/>
                  <w:r>
                    <w:rPr>
                      <w:sz w:val="20"/>
                    </w:rPr>
                    <w:t xml:space="preserve">145.1%</w:t>
                  </w:r>
                </w:p>
              </w:tc>
              <w:tc>
                <w:tcPr/>
                <w:p>
                  <w:pPr/>
                  <w:r>
                    <w:rPr>
                      <w:sz w:val="20"/>
                    </w:rPr>
                    <w:t xml:space="preserve">102.8%</w:t>
                  </w:r>
                </w:p>
              </w:tc>
              <w:tc>
                <w:tcPr/>
                <w:p>
                  <w:pPr/>
                  <w:r>
                    <w:rPr>
                      <w:sz w:val="20"/>
                    </w:rPr>
                    <w:t xml:space="preserve">76.7%</w:t>
                  </w:r>
                </w:p>
              </w:tc>
              <w:tc>
                <w:tcPr/>
                <w:p>
                  <w:pPr/>
                  <w:r>
                    <w:rPr>
                      <w:sz w:val="20"/>
                    </w:rPr>
                    <w:t xml:space="preserve">107.0%</w:t>
                  </w:r>
                </w:p>
              </w:tc>
            </w:tr>
          </w:tbl>
          <w:p/>
          <w:p>
            <w:pPr>
              <w:numPr>
                <w:ilvl w:val="0"/>
                <w:numId w:val="7"/>
              </w:numPr>
            </w:pPr>
            <w:r>
              <w:rPr>
                <w:b w:val="1"/>
              </w:rPr>
              <w:t xml:space="preserve">CIE1976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462"/>
              <w:gridCol w:w="2192"/>
              <w:gridCol w:w="2402"/>
              <w:gridCol w:w="2312"/>
              <w:gridCol w:w="2702"/>
              <w:gridCol w:w="2672"/>
            </w:tblGrid>
            <w:tr>
              <w:trPr>
                <w:trHeight w:val="0"/>
              </w:trPr>
              <w:tc>
                <w:tcPr>
                  <w:vMerge w:val="restart"/>
                  <w:vAlign w:val="center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创维85G7E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  <w:tcBorders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99.5%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94.4%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75.5%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98.1%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top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130.1%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113.4%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75.5%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103.6%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2000250" cy="1514475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0002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  <w:r>
              <w:drawing>
                <wp:inline distT="0" distB="0" distL="0" distR="0">
                  <wp:extent cx="2266950" cy="1514475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266950" cy="1514475"/>
                          </a:xfrm>
                          <a:prstGeom prst="rect">
                            <a:avLst/>
                          </a:prstGeom>
                          <a:ln>
                            <a:solid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7372" w:type="dxa"/>
            <w:vAlign w:val="top"/>
            <w:shd w:val="clear" w:color="auto" w:fill="ECF9F0"/>
          </w:tcPr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3693"/>
              <w:gridCol w:w="3693"/>
              <w:gridCol w:w="3693"/>
              <w:gridCol w:w="3663"/>
            </w:tblGrid>
            <w:tr>
              <w:trPr>
                <w:trHeight w:val="0"/>
              </w:trPr>
              <w:tc>
                <w:tcPr>
                  <w:vMerge w:val="restart"/>
                  <w:vAlign w:val="center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海信85U7N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颜色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x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y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R</w:t>
                  </w:r>
                </w:p>
              </w:tc>
              <w:tc>
                <w:tcPr>
                  <w:vAlign w:val="top"/>
                  <w:tcBorders/>
                </w:tcPr>
                <w:p>
                  <w:pPr/>
                  <w:r>
                    <w:rPr>
                      <w:sz w:val="20"/>
                    </w:rPr>
                    <w:t xml:space="preserve">0.6792</w:t>
                  </w:r>
                </w:p>
              </w:tc>
              <w:tc>
                <w:tcPr>
                  <w:vAlign w:val="top"/>
                  <w:tcBorders/>
                </w:tcPr>
                <w:p>
                  <w:pPr/>
                  <w:r>
                    <w:rPr>
                      <w:sz w:val="20"/>
                    </w:rPr>
                    <w:t xml:space="preserve">0.3150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G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0.2817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0.6679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0.1494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0.0586</w:t>
                  </w:r>
                </w:p>
              </w:tc>
            </w:tr>
          </w:tbl>
          <w:p/>
          <w:p>
            <w:pPr>
              <w:numPr>
                <w:ilvl w:val="0"/>
                <w:numId w:val="8"/>
              </w:numPr>
            </w:pPr>
            <w:r>
              <w:rPr>
                <w:b w:val="1"/>
              </w:rPr>
              <w:t xml:space="preserve">CIE1931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462"/>
              <w:gridCol w:w="2192"/>
              <w:gridCol w:w="2402"/>
              <w:gridCol w:w="2312"/>
              <w:gridCol w:w="2702"/>
              <w:gridCol w:w="2672"/>
            </w:tblGrid>
            <w:tr>
              <w:trPr>
                <w:trHeight w:val="0"/>
              </w:trPr>
              <w:tc>
                <w:tcPr>
                  <w:vMerge w:val="restart"/>
                  <w:vAlign w:val="center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海信85U7N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  <w:tcBorders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100%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82.4%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68.2%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94%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top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128.9%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91.3%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68.2%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t xml:space="preserve">95%</w:t>
                  </w:r>
                </w:p>
              </w:tc>
            </w:tr>
          </w:tbl>
          <w:p/>
          <w:p>
            <w:pPr>
              <w:numPr>
                <w:ilvl w:val="0"/>
                <w:numId w:val="9"/>
              </w:numPr>
            </w:pPr>
            <w:r>
              <w:rPr>
                <w:b w:val="1"/>
              </w:rPr>
              <w:t xml:space="preserve">CIE1976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462"/>
              <w:gridCol w:w="2192"/>
              <w:gridCol w:w="2402"/>
              <w:gridCol w:w="2312"/>
              <w:gridCol w:w="2702"/>
              <w:gridCol w:w="2672"/>
            </w:tblGrid>
            <w:tr>
              <w:trPr>
                <w:trHeight w:val="0"/>
              </w:trPr>
              <w:tc>
                <w:tcPr>
                  <w:vMerge w:val="restart"/>
                  <w:vAlign w:val="center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海信85U7N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/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center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  <w:tcBorders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100%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87.5%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72.3%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97%</w:t>
                  </w:r>
                </w:p>
              </w:tc>
            </w:tr>
            <w:tr>
              <w:trPr>
                <w:trHeight w:val="0"/>
              </w:trPr>
              <w:tc>
                <w:tcPr>
                  <w:vMerge w:val="continue"/>
                  <w:vAlign w:val="top"/>
                  <w:shd w:val="clear" w:color="auto" w:fill="FFFFFF"/>
                </w:tcPr>
                <w:p>
                  <w:pPr/>
                  <w:r/>
                </w:p>
              </w:tc>
              <w:tc>
                <w:tcPr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124.6%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108.7%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72.3%</w:t>
                  </w:r>
                </w:p>
              </w:tc>
              <w:tc>
                <w:tcPr>
                  <w:vAlign w:val="top"/>
                </w:tcPr>
                <w:p>
                  <w:pPr/>
                  <w:r>
                    <w:rPr>
                      <w:sz w:val="20"/>
                    </w:rPr>
                    <w:t xml:space="preserve">99.2%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1981200" cy="1514475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981200" cy="1514475"/>
                          </a:xfrm>
                          <a:prstGeom prst="rect">
                            <a:avLst/>
                          </a:prstGeom>
                          <a:ln>
                            <a:solid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drawing>
                <wp:inline distT="0" distB="0" distL="0" distR="0">
                  <wp:extent cx="2305050" cy="1514475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2305050" cy="1514475"/>
                          </a:xfrm>
                          <a:prstGeom prst="rect">
                            <a:avLst/>
                          </a:prstGeom>
                          <a:ln>
                            <a:solid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/>
    </w:p>
    <w:p>
      <w:bookmarkStart w:id="m4m746eswvdr5i8ckh" w:name="m4m746eswvdr5i8ckh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主观对比分析: </w:t>
      </w:r>
      <w:bookmarkEnd w:id="m4m746eswvdr5i8ckh"/>
    </w:p>
    <w:p>
      <w:pPr>
        <w:numPr>
          <w:ilvl w:val="0"/>
          <w:numId w:val="10"/>
        </w:numPr>
      </w:pPr>
      <w:r>
        <w:rPr>
          <w:sz w:val="24"/>
          <w:b w:val="1"/>
          <w:u w:val="single"/>
        </w:rPr>
        <w:t xml:space="preserve">主观表现概述</w:t>
      </w:r>
      <w:r>
        <w:rPr>
          <w:sz w:val="24"/>
          <w:b w:val="1"/>
        </w:rPr>
        <w:t xml:space="preserve">：</w:t>
      </w:r>
    </w:p>
    <w:p>
      <w:pPr/>
      <w:r>
        <w:rPr>
          <w:sz w:val="24"/>
        </w:rPr>
        <w:t xml:space="preserve">   </w:t>
      </w:r>
      <w:r>
        <w:rPr>
          <w:sz w:val="24"/>
          <w:b w:val="1"/>
        </w:rPr>
        <w:t xml:space="preserve">  1、通用模块创维85G7E整体对比度表现较佳，但主观色彩与客观期望不符。</w:t>
      </w:r>
    </w:p>
    <w:p>
      <w:pPr/>
      <w:r>
        <w:rPr>
          <w:sz w:val="24"/>
          <w:b w:val="1"/>
        </w:rPr>
        <w:t xml:space="preserve">     2、AI PQ有开两个功能：超级景深和AI SR，从画面表现像SOC所做。</w:t>
      </w:r>
    </w:p>
    <w:p>
      <w:pPr/>
      <w:r>
        <w:rPr>
          <w:sz w:val="24"/>
          <w:b w:val="1"/>
        </w:rPr>
        <w:t xml:space="preserve">     3、海信疾速控光功能已导入但效果不佳，有闪烁等负面影响。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080"/>
        <w:gridCol w:w="5430"/>
        <w:gridCol w:w="7800"/>
      </w:tblGrid>
      <w:tr>
        <w:trPr>
          <w:trHeight w:val="720"/>
        </w:trPr>
        <w:tc>
          <w:tcPr/>
          <w:p>
            <w:pPr/>
            <w:r>
              <w:rPr>
                <w:sz w:val="20"/>
                <w:b w:val="1"/>
              </w:rPr>
              <w:t xml:space="preserve">模块</w:t>
            </w:r>
          </w:p>
        </w:tc>
        <w:tc>
          <w:tcPr/>
          <w:p>
            <w:pPr/>
            <w:r>
              <w:rPr>
                <w:sz w:val="20"/>
                <w:b w:val="1"/>
              </w:rPr>
              <w:t xml:space="preserve">主观效果</w:t>
            </w:r>
          </w:p>
        </w:tc>
        <w:tc>
          <w:tcPr/>
          <w:p>
            <w:pPr/>
            <w:r>
              <w:rPr>
                <w:sz w:val="20"/>
                <w:b w:val="1"/>
              </w:rPr>
              <w:t xml:space="preserve">后续措施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对比度</w:t>
            </w:r>
          </w:p>
        </w:tc>
        <w:tc>
          <w:tcPr/>
          <w:p>
            <w:pPr/>
            <w:r>
              <w:rPr>
                <w:sz w:val="20"/>
              </w:rPr>
              <w:t xml:space="preserve">整体对比度创维85G7E表现较佳，但需注意暗部细节</w:t>
            </w:r>
          </w:p>
        </w:tc>
        <w:tc>
          <w:tcPr/>
          <w:p>
            <w:pPr/>
            <w:r>
              <w:rPr>
                <w:sz w:val="20"/>
              </w:rPr>
              <w:t xml:space="preserve">暗部对比度优化，预计2024年11.15解决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清晰度</w:t>
            </w:r>
          </w:p>
        </w:tc>
        <w:tc>
          <w:tcPr/>
          <w:p>
            <w:pPr/>
            <w:r>
              <w:rPr>
                <w:sz w:val="20"/>
              </w:rPr>
              <w:t xml:space="preserve">暗部对比度优化，预计2024年11.15解决</w:t>
            </w:r>
          </w:p>
        </w:tc>
        <w:tc>
          <w:tcPr/>
          <w:p>
            <w:pPr/>
            <w:r>
              <w:rPr>
                <w:sz w:val="20"/>
              </w:rPr>
              <w:t xml:space="preserve">高频闪烁1010版本已优化一版本，预计11.15上传进一步优化措施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色彩</w:t>
            </w:r>
          </w:p>
        </w:tc>
        <w:tc>
          <w:tcPr/>
          <w:p>
            <w:pPr/>
            <w:r>
              <w:rPr>
                <w:sz w:val="20"/>
              </w:rPr>
              <w:t xml:space="preserve">创维85G7E绿色没有展示出色域广的优势，肤色较浓较红.</w:t>
            </w:r>
          </w:p>
        </w:tc>
        <w:tc>
          <w:tcPr/>
          <w:p>
            <w:pPr/>
            <w:r>
              <w:rPr>
                <w:sz w:val="20"/>
              </w:rPr>
              <w:t xml:space="preserve">已优化一版肤色红浓，色彩淡问题已反馈RTK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降噪</w:t>
            </w:r>
          </w:p>
        </w:tc>
        <w:tc>
          <w:tcPr/>
          <w:p>
            <w:pPr/>
            <w:r>
              <w:rPr>
                <w:sz w:val="20"/>
              </w:rPr>
              <w:t xml:space="preserve">创维85G7E decontour效果较好，但暗场景拖尾明显.</w:t>
            </w:r>
          </w:p>
        </w:tc>
        <w:tc>
          <w:tcPr/>
          <w:p>
            <w:pPr/>
            <w:r>
              <w:rPr>
                <w:sz w:val="20"/>
              </w:rPr>
              <w:t xml:space="preserve">拖尾问题，预计2024年11.5上传优化措施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LD</w:t>
            </w:r>
          </w:p>
        </w:tc>
        <w:tc>
          <w:tcPr/>
          <w:p>
            <w:pPr/>
            <w:r>
              <w:rPr>
                <w:sz w:val="20"/>
              </w:rPr>
              <w:t xml:space="preserve">创维光晕较为明显</w:t>
            </w:r>
          </w:p>
        </w:tc>
        <w:tc>
          <w:tcPr/>
          <w:p>
            <w:pPr/>
            <w:r>
              <w:rPr>
                <w:sz w:val="20"/>
              </w:rPr>
              <w:t xml:space="preserve">模组分析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 MEMC</w:t>
            </w:r>
          </w:p>
        </w:tc>
        <w:tc>
          <w:tcPr/>
          <w:p>
            <w:pPr/>
            <w:r>
              <w:rPr>
                <w:sz w:val="20"/>
              </w:rPr>
              <w:t xml:space="preserve">运动流畅度相当，创维85G7E破碎场景稍多一些</w:t>
            </w:r>
          </w:p>
        </w:tc>
        <w:tc>
          <w:tcPr/>
          <w:p>
            <w:pPr/>
            <w:r>
              <w:rPr>
                <w:sz w:val="20"/>
              </w:rPr>
              <w:t xml:space="preserve">受Rtk方案限制，memc持续优化中，针对当前已提出的问题点，预计11.15解决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0"/>
                <w:b w:val="1"/>
              </w:rPr>
              <w:t xml:space="preserve"> HDR</w:t>
            </w:r>
          </w:p>
        </w:tc>
        <w:tc>
          <w:tcPr/>
          <w:p>
            <w:pPr/>
            <w:r>
              <w:rPr>
                <w:sz w:val="20"/>
              </w:rPr>
              <w:t xml:space="preserve">创维整体更透亮</w:t>
            </w:r>
          </w:p>
        </w:tc>
        <w:tc>
          <w:tcPr/>
          <w:p>
            <w:pPr/>
            <w:r>
              <w:rPr>
                <w:sz w:val="20"/>
                <w:b w:val="1"/>
              </w:rPr>
            </w:r>
          </w:p>
        </w:tc>
      </w:tr>
    </w:tbl>
    <w:p>
      <w:pPr/>
      <w:r>
        <w:rPr>
          <w:sz w:val="24"/>
          <w:b w:val="1"/>
        </w:rPr>
        <w:t xml:space="preserve">                                           </w:t>
      </w:r>
      <w:r>
        <w:drawing>
          <wp:inline distT="0" distB="0" distL="0" distR="0">
            <wp:extent cx="4905375" cy="4552950"/>
            <wp:effectExtent b="0" l="0" r="0" t="0"/>
            <wp:docPr id="8" name="截屏2024-12-13 11.43.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49053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1"/>
        </w:rPr>
      </w:r>
    </w:p>
    <w:p>
      <w:pPr>
        <w:numPr>
          <w:ilvl w:val="0"/>
          <w:numId w:val="10"/>
        </w:numPr>
      </w:pPr>
      <w:r>
        <w:rPr>
          <w:sz w:val="24"/>
          <w:b w:val="1"/>
          <w:u w:val="single"/>
        </w:rPr>
        <w:t xml:space="preserve">重点模块详解： AI PQ</w:t>
      </w:r>
    </w:p>
    <w:p>
      <w:pPr/>
      <w:r>
        <w:rPr>
          <w:sz w:val="24"/>
        </w:rPr>
        <w:t xml:space="preserve">  </w:t>
      </w:r>
      <w:r>
        <w:rPr>
          <w:sz w:val="24"/>
          <w:rFonts w:ascii="SimHei" w:hAnsi="SimHei" w:cs="SimHei" w:eastAsia="SimHei"/>
          <w:b w:val="1"/>
        </w:rPr>
        <w:t xml:space="preserve">AI PQ是趋势，从去年底开始，各家陆续准备针对特征场景做自研的AI PQ，但目前自研模型都尚处于在研阶段，量产产品尚未体现。</w:t>
      </w:r>
    </w:p>
    <w:p>
      <w:pPr/>
      <w:r>
        <w:rPr>
          <w:sz w:val="24"/>
          <w:rFonts w:ascii="SimHei" w:hAnsi="SimHei" w:cs="SimHei" w:eastAsia="SimHei"/>
          <w:b w:val="1"/>
        </w:rPr>
        <w:t xml:space="preserve">1、图像模式:</w:t>
      </w:r>
    </w:p>
    <w:p>
      <w:pPr/>
      <w:r>
        <w:rPr>
          <w:sz w:val="24"/>
          <w:rFonts w:ascii="SimHei" w:hAnsi="SimHei" w:cs="SimHei" w:eastAsia="SimHei"/>
          <w:b w:val="1"/>
        </w:rPr>
        <w:t xml:space="preserve">海信AI画质：</w:t>
      </w:r>
      <w:r>
        <w:rPr>
          <w:sz w:val="24"/>
          <w:rFonts w:ascii="SimHei" w:hAnsi="SimHei" w:cs="SimHei" w:eastAsia="SimHei"/>
        </w:rPr>
        <w:t xml:space="preserve">节目内容+光感，其它设置默认不可调；创维验配模式---&gt;AI 视听MAX：偏好选择+光感+AI PQ</w:t>
      </w:r>
    </w:p>
    <w:p>
      <w:pPr/>
      <w:r>
        <w:rPr>
          <w:sz w:val="24"/>
          <w:rFonts w:ascii="SimHei" w:hAnsi="SimHei" w:cs="SimHei" w:eastAsia="SimHei"/>
          <w:b w:val="1"/>
        </w:rPr>
        <w:t xml:space="preserve">2、功能:</w:t>
      </w:r>
    </w:p>
    <w:p>
      <w:pPr/>
      <w:r>
        <w:rPr>
          <w:sz w:val="24"/>
          <w:rFonts w:ascii="SimHei" w:hAnsi="SimHei" w:cs="SimHei" w:eastAsia="SimHei"/>
          <w:b w:val="1"/>
        </w:rPr>
        <w:t xml:space="preserve">AI SR: </w:t>
      </w:r>
      <w:r>
        <w:rPr>
          <w:sz w:val="24"/>
          <w:rFonts w:ascii="SimHei" w:hAnsi="SimHei" w:cs="SimHei" w:eastAsia="SimHei"/>
        </w:rPr>
        <w:t xml:space="preserve">两者都有，效果两者没有特别优势；超级景深:海信能识别图像主体，做相应对比度、清晰度和色彩的调整；RTK也能识别图像主题，后续加demo</w:t>
      </w:r>
    </w:p>
    <w:tbl>
      <w:tblPr>
        <w:tblStyle w:val="TableGrid"/>
        <w:tblW w:w="0" w:type="auto"/>
      </w:tblPr>
      <w:tblGrid>
        <w:gridCol w:w="7372"/>
        <w:gridCol w:w="7372"/>
      </w:tblGrid>
      <w:tr>
        <w:trPr>
          <w:trHeight w:val="0"/>
        </w:trPr>
        <w:tc>
          <w:tcPr>
            <w:tcW w:w="7372" w:type="dxa"/>
            <w:vAlign w:val="top"/>
            <w:shd w:val="clear" w:color="auto" w:fill="ECF9F0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创维: AI 视听 MAX</w:t>
            </w:r>
          </w:p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</w:r>
            <w:r>
              <w:drawing>
                <wp:inline distT="0" distB="0" distL="0" distR="0">
                  <wp:extent cx="3076575" cy="1677695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3076575" cy="16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rFonts w:ascii="SimHei" w:hAnsi="SimHei" w:cs="SimHei" w:eastAsia="SimHei"/>
                <w:b w:val="1"/>
              </w:rPr>
            </w:r>
          </w:p>
        </w:tc>
        <w:tc>
          <w:tcPr>
            <w:tcW w:w="7372" w:type="dxa"/>
            <w:vAlign w:val="top"/>
            <w:shd w:val="clear" w:color="auto" w:fill="ECF9F0"/>
          </w:tcPr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  <w:t xml:space="preserve">海信: AI画质</w:t>
            </w:r>
          </w:p>
          <w:p>
            <w:pPr>
              <w:jc w:val="center"/>
            </w:pPr>
            <w:r>
              <w:rPr>
                <w:sz w:val="24"/>
                <w:rFonts w:ascii="SimHei" w:hAnsi="SimHei" w:cs="SimHei" w:eastAsia="SimHei"/>
                <w:b w:val="1"/>
              </w:rPr>
            </w:r>
            <w:r>
              <w:drawing>
                <wp:inline distT="0" distB="0" distL="0" distR="0">
                  <wp:extent cx="3076575" cy="2165634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3076575" cy="216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rFonts w:ascii="SimHei" w:hAnsi="SimHei" w:cs="SimHei" w:eastAsia="SimHei"/>
                <w:b w:val="1"/>
              </w:rPr>
            </w:r>
          </w:p>
        </w:tc>
      </w:tr>
    </w:tbl>
    <w:p>
      <w:pPr>
        <w:numPr>
          <w:ilvl w:val="0"/>
          <w:numId w:val="10"/>
        </w:numPr>
      </w:pPr>
      <w:r>
        <w:rPr>
          <w:sz w:val="24"/>
          <w:b w:val="1"/>
          <w:u w:val="single"/>
        </w:rPr>
        <w:t xml:space="preserve">重点模块详解： 光晕大小分析</w:t>
      </w:r>
    </w:p>
    <w:p>
      <w:pPr>
        <w:ind/>
      </w:pPr>
      <w:r>
        <w:rPr>
          <w:sz w:val="24"/>
          <w:b w:val="1"/>
        </w:rPr>
        <w:t xml:space="preserve">结论: 排除画质设计参数影响，在客观数据创维更优的情况下主观视效创维较差，为模组差异原因。</w:t>
      </w:r>
    </w:p>
    <w:p>
      <w:pPr/>
      <w:r>
        <w:rPr>
          <w:sz w:val="24"/>
          <w:b w:val="1"/>
        </w:rPr>
        <w:t xml:space="preserve">评测条件：</w:t>
      </w:r>
      <w:r>
        <w:rPr>
          <w:sz w:val="24"/>
        </w:rPr>
        <w:t xml:space="preserve">1.关闭Boost； 2.全白场亮度一致</w:t>
      </w:r>
    </w:p>
    <w:p>
      <w:pPr/>
      <w:r>
        <w:rPr>
          <w:sz w:val="24"/>
          <w:b w:val="1"/>
        </w:rPr>
        <w:t xml:space="preserve">主观视效：</w:t>
      </w:r>
      <w:r>
        <w:rPr>
          <w:sz w:val="24"/>
        </w:rPr>
        <w:t xml:space="preserve">创维光晕较为明显。</w:t>
      </w:r>
    </w:p>
    <w:p>
      <w:pPr/>
      <w:r>
        <w:rPr>
          <w:sz w:val="24"/>
          <w:b w:val="1"/>
        </w:rPr>
        <w:t xml:space="preserve">设计分析：</w:t>
      </w:r>
      <w:r>
        <w:rPr>
          <w:sz w:val="24"/>
        </w:rPr>
        <w:t xml:space="preserve">1.亮度影响;  2.LD 的SPF是否开得太大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935"/>
        <w:gridCol w:w="2640"/>
        <w:gridCol w:w="2745"/>
      </w:tblGrid>
      <w:tr>
        <w:trPr>
          <w:trHeight w:val="0"/>
        </w:trPr>
        <w:tc>
          <w:tcPr/>
          <w:p>
            <w:pPr/>
            <w:r>
              <w:rPr>
                <w:sz w:val="24"/>
              </w:rPr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创维G7E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海信U7N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4"/>
                <w:color w:val="000000"/>
              </w:rPr>
              <w:t xml:space="preserve">背光分区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720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576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4"/>
                <w:color w:val="000000"/>
              </w:rPr>
              <w:t xml:space="preserve">白点亮度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317.10068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435.47045</w:t>
            </w:r>
          </w:p>
        </w:tc>
      </w:tr>
      <w:tr>
        <w:trPr>
          <w:trHeight w:val="0"/>
        </w:trPr>
        <w:tc>
          <w:tcPr/>
          <w:p>
            <w:pPr/>
            <w:r>
              <w:rPr>
                <w:sz w:val="24"/>
                <w:color w:val="000000"/>
              </w:rPr>
              <w:t xml:space="preserve">黑点亮度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0.0656269</w:t>
            </w:r>
          </w:p>
        </w:tc>
        <w:tc>
          <w:tcPr/>
          <w:p>
            <w:pPr/>
            <w:r>
              <w:rPr>
                <w:sz w:val="24"/>
                <w:color w:val="000000"/>
              </w:rPr>
              <w:t xml:space="preserve">0.0842995</w:t>
            </w:r>
          </w:p>
        </w:tc>
      </w:tr>
    </w:tbl>
    <w:p>
      <w:pPr/>
      <w:r>
        <w:rPr>
          <w:sz w:val="24"/>
          <w:b w:val="1"/>
        </w:rPr>
        <w:t xml:space="preserve">实际测试:</w:t>
      </w:r>
    </w:p>
    <w:p>
      <w:pPr/>
      <w:r>
        <w:rPr>
          <w:sz w:val="24"/>
        </w:rPr>
        <w:t xml:space="preserve">1.亮度测量（下图红点位置），创维亮度低</w:t>
      </w:r>
    </w:p>
    <w:p>
      <w:pPr/>
      <w:r>
        <w:rPr>
          <w:sz w:val="24"/>
        </w:rPr>
      </w:r>
      <w:r>
        <w:drawing>
          <wp:inline distT="0" distB="0" distL="0" distR="0">
            <wp:extent cx="9134475" cy="5257800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91344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>
        <w:rPr>
          <w:sz w:val="24"/>
        </w:rPr>
        <w:t xml:space="preserve">  2.SPF如下图二所示，目前已开得最小</w:t>
      </w:r>
    </w:p>
    <w:p>
      <w:pPr/>
      <w:r>
        <w:rPr>
          <w:sz w:val="24"/>
        </w:rPr>
      </w:r>
      <w:r>
        <w:drawing>
          <wp:inline distT="0" distB="0" distL="0" distR="0">
            <wp:extent cx="9134475" cy="4733925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91344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</w:p>
    <w:p>
      <w:pPr/>
      <w:r/>
    </w:p>
    <w:p>
      <w:bookmarkStart w:id="m7vkppbda1r32nn20fn" w:name="m7vkppbda1r32nn20fn"/>
      <w:pPr>
        <w:pStyle w:val="dingding-heading1"/>
        <w:numPr>
          <w:ilvl w:val="0"/>
          <w:numId w:val="11"/>
        </w:numPr>
        <w:spacing w:line="204.70588235294116"/>
      </w:pPr>
      <w:r>
        <w:rPr>
          <w:sz w:val="40"/>
          <w:b w:val="1"/>
        </w:rPr>
        <w:t xml:space="preserve">模组分析</w:t>
      </w:r>
      <w:bookmarkEnd w:id="m7vkppbda1r32nn20fn"/>
    </w:p>
    <w:p>
      <w:bookmarkStart w:id="m7vleix2j3onm72ebph" w:name="m7vleix2j3onm72ebph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总览: </w:t>
      </w:r>
      <w:bookmarkEnd w:id="m7vleix2j3onm72ebph"/>
    </w:p>
    <w:p>
      <w:pPr>
        <w:numPr>
          <w:ilvl w:val="0"/>
          <w:numId w:val="12"/>
        </w:numPr>
      </w:pPr>
      <w:r>
        <w:rPr>
          <w:sz w:val="24"/>
        </w:rPr>
        <w:t xml:space="preserve">创维属于QD-Mini LED，竞品为白光KSF，且创维分区高；常态亮度，瞬态峰值亮度均较竞品高.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093"/>
        <w:gridCol w:w="2807"/>
        <w:gridCol w:w="3423"/>
        <w:gridCol w:w="5420"/>
      </w:tblGrid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</w:rPr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b w:val="1"/>
              </w:rPr>
              <w:t xml:space="preserve">竞品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b w:val="1"/>
              </w:rPr>
              <w:t xml:space="preserve">  创维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  <w:b w:val="1"/>
              </w:rPr>
              <w:t xml:space="preserve">   差异分析</w:t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型号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85U7N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86G7E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产品类型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A6A6A6"/>
              </w:rPr>
              <w:t xml:space="preserve">  </w:t>
            </w:r>
            <w:r>
              <w:rPr>
                <w:sz w:val="24"/>
                <w:color w:val="000000"/>
              </w:rPr>
              <w:t xml:space="preserve">白光500级-Mini LED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A6A6A6"/>
              </w:rPr>
              <w:t xml:space="preserve"> </w:t>
            </w:r>
            <w:r>
              <w:rPr>
                <w:sz w:val="24"/>
                <w:color w:val="000000"/>
              </w:rPr>
              <w:t xml:space="preserve"> 蓝光+QD 500级Mini LED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645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玻璃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HF850QUB-E21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HF860QUB-E20 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  <w:color w:val="000000"/>
              </w:rPr>
              <w:t xml:space="preserve">E21是AG25 LR，E20普通玻璃，都是VA玻璃</w:t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FF0000"/>
              </w:rPr>
              <w:t xml:space="preserve">玻璃穿透率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</w:rPr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FF0000"/>
              </w:rPr>
              <w:t xml:space="preserve">6.1%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FF0000"/>
              </w:rPr>
              <w:t xml:space="preserve">屏体原生对比度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FF0000"/>
              </w:rPr>
              <w:t xml:space="preserve">8064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FF0000"/>
              </w:rPr>
              <w:t xml:space="preserve">4796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OD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22mm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22mm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分区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576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720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全白场亮度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671nits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759nits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稳态峰值亮度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1417nits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1300nits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瞬态峰值亮度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1632nits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1887nits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  <w:color w:val="000000"/>
              </w:rPr>
              <w:t xml:space="preserve">海信瞬态峰值持续时间长</w:t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均匀性（9点）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90%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90%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色域(DCI-P31976覆盖率)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97%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98.1%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  <w:color w:val="000000"/>
              </w:rPr>
              <w:t xml:space="preserve">创维是QD扩板</w:t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功率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300W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410W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  <w:color w:val="000000"/>
              </w:rPr>
              <w:t xml:space="preserve">常态亮度高，功率高</w:t>
            </w:r>
          </w:p>
        </w:tc>
      </w:tr>
      <w:tr>
        <w:trPr>
          <w:trHeight w:val="0"/>
        </w:trPr>
        <w:tc>
          <w:tcPr>
            <w:tcW w:w="3093" w:type="dxa"/>
          </w:tcPr>
          <w:p>
            <w:pPr/>
            <w:r>
              <w:rPr>
                <w:sz w:val="24"/>
                <w:color w:val="000000"/>
              </w:rPr>
              <w:t xml:space="preserve">能效</w:t>
            </w:r>
          </w:p>
        </w:tc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一级</w:t>
            </w:r>
          </w:p>
        </w:tc>
        <w:tc>
          <w:tcPr>
            <w:tcW w:w="3423" w:type="dxa"/>
          </w:tcPr>
          <w:p>
            <w:pPr/>
            <w:r>
              <w:rPr>
                <w:sz w:val="24"/>
                <w:color w:val="000000"/>
              </w:rPr>
              <w:t xml:space="preserve">一级</w:t>
            </w:r>
          </w:p>
        </w:tc>
        <w:tc>
          <w:tcPr>
            <w:tcW w:w="5420" w:type="dxa"/>
          </w:tcPr>
          <w:p>
            <w:pPr/>
            <w:r>
              <w:rPr>
                <w:sz w:val="24"/>
              </w:rPr>
            </w:r>
          </w:p>
        </w:tc>
      </w:tr>
    </w:tbl>
    <w:p>
      <w:bookmarkStart w:id="m7vlk2go7e2tvsvqf0o" w:name="m7vlk2go7e2tvsvqf0o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光电方案: </w:t>
      </w:r>
      <w:bookmarkEnd w:id="m7vlk2go7e2tvsvqf0o"/>
    </w:p>
    <w:p>
      <w:pPr>
        <w:numPr>
          <w:ilvl w:val="0"/>
          <w:numId w:val="13"/>
        </w:numPr>
      </w:pPr>
      <w:r>
        <w:rPr>
          <w:sz w:val="24"/>
        </w:rPr>
        <w:t xml:space="preserve">整体方案基本相当，竞品使用φ16mm大折透镜，创维采用φ10mm小折透镜，理论光晕更好.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605"/>
        <w:gridCol w:w="4605"/>
        <w:gridCol w:w="4605"/>
      </w:tblGrid>
      <w:tr>
        <w:trPr>
          <w:trHeight w:val="690"/>
        </w:trPr>
        <w:tc>
          <w:tcPr>
            <w:tcW w:w="4605" w:type="dxa"/>
          </w:tcPr>
          <w:p>
            <w:pPr/>
            <w:r>
              <w:rPr>
                <w:sz w:val="24"/>
              </w:rPr>
            </w:r>
          </w:p>
        </w:tc>
        <w:tc>
          <w:tcPr>
            <w:tcW w:w="4605" w:type="dxa"/>
          </w:tcPr>
          <w:p>
            <w:pPr/>
            <w:r>
              <w:rPr>
                <w:sz w:val="24"/>
                <w:b w:val="1"/>
              </w:rPr>
              <w:t xml:space="preserve">            竞品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  <w:b w:val="1"/>
              </w:rPr>
              <w:t xml:space="preserve">              创维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灯条方案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36*16 =576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36*20=720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LED封装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3030 EMC KSF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3030 EMC KSF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LENS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φ16折射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φ10mini lens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LED晶片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2242*2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2242*2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PCB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灯条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灯条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灯条连接方案：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FPC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对接+FPC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灯条固定方式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点胶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点胶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驱动IC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HY8811 4CH</w:t>
            </w:r>
          </w:p>
          <w:p>
            <w:pPr/>
            <w:r>
              <w:rPr>
                <w:sz w:val="24"/>
              </w:rPr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HY8811 4CH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反射片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厚度0.188mm/无粒子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厚度0.225mm/无粒子</w:t>
            </w:r>
          </w:p>
        </w:tc>
      </w:tr>
      <w:tr>
        <w:trPr>
          <w:trHeight w:val="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扩散板类型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1.7T普通板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1.7T普通板</w:t>
            </w:r>
          </w:p>
        </w:tc>
      </w:tr>
      <w:tr>
        <w:trPr>
          <w:trHeight w:val="570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膜片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DPP 300</w:t>
            </w:r>
          </w:p>
          <w:p>
            <w:pPr/>
            <w:r>
              <w:rPr>
                <w:sz w:val="24"/>
              </w:rPr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DPP 300</w:t>
            </w:r>
          </w:p>
          <w:p>
            <w:pPr/>
            <w:r>
              <w:rPr>
                <w:sz w:val="24"/>
              </w:rPr>
            </w:r>
          </w:p>
        </w:tc>
      </w:tr>
      <w:tr>
        <w:trPr>
          <w:trHeight w:val="585"/>
        </w:trPr>
        <w:tc>
          <w:tcPr>
            <w:tcW w:w="4605" w:type="dxa"/>
          </w:tcPr>
          <w:p>
            <w:pPr/>
            <w:r>
              <w:rPr>
                <w:sz w:val="24"/>
              </w:rPr>
              <w:t xml:space="preserve">线材</w:t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FFC，20Pin，0.5mm间距合Pin 一拖四</w:t>
            </w:r>
          </w:p>
          <w:p>
            <w:pPr/>
            <w:r>
              <w:rPr>
                <w:sz w:val="24"/>
              </w:rPr>
            </w:r>
          </w:p>
        </w:tc>
        <w:tc>
          <w:tcPr>
            <w:tcW w:w="4605" w:type="dxa"/>
          </w:tcPr>
          <w:p>
            <w:pPr/>
            <w:r>
              <w:rPr>
                <w:sz w:val="24"/>
              </w:rPr>
              <w:t xml:space="preserve">FFC，16Pin，0.5间距合Pin 一拖四</w:t>
            </w:r>
          </w:p>
        </w:tc>
      </w:tr>
    </w:tbl>
    <w:p>
      <w:bookmarkStart w:id="m7vlr7t4se0wo0ru7ub" w:name="m7vlr7t4se0wo0ru7ub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光学评测: </w:t>
      </w:r>
      <w:bookmarkEnd w:id="m7vlr7t4se0wo0ru7ub"/>
    </w:p>
    <w:p>
      <w:pPr>
        <w:ind/>
      </w:pPr>
      <w:r>
        <w:rPr>
          <w:sz w:val="28"/>
        </w:rPr>
        <w:t xml:space="preserve">总结：海信85U7N售价15000+，属高端机型，背光来看无明显技术优势及高级配置，玻璃使用高端玻璃。 </w:t>
      </w:r>
    </w:p>
    <w:p>
      <w:pPr>
        <w:numPr>
          <w:ilvl w:val="0"/>
          <w:numId w:val="14"/>
        </w:numPr>
      </w:pPr>
      <w:r>
        <w:rPr>
          <w:sz w:val="24"/>
        </w:rPr>
        <w:t xml:space="preserve">主观基本相当</w:t>
      </w:r>
    </w:p>
    <w:p>
      <w:pPr>
        <w:numPr>
          <w:ilvl w:val="0"/>
          <w:numId w:val="14"/>
        </w:numPr>
      </w:pPr>
      <w:r>
        <w:rPr>
          <w:sz w:val="24"/>
        </w:rPr>
        <w:t xml:space="preserve">成本因创维LED及分区数量多，亮度高，色域QD板，光电成本较竞品高100元左右.</w:t>
      </w:r>
    </w:p>
    <w:p>
      <w:pPr>
        <w:numPr>
          <w:ilvl w:val="0"/>
          <w:numId w:val="14"/>
        </w:numPr>
      </w:pPr>
      <w:r>
        <w:rPr>
          <w:sz w:val="24"/>
        </w:rPr>
        <w:t xml:space="preserve">技术方案先进性对比:</w:t>
      </w:r>
    </w:p>
    <w:p>
      <w:pPr/>
      <w:r>
        <w:rPr>
          <w:sz w:val="24"/>
        </w:rPr>
        <w:t xml:space="preserve">      H公司使用大折透镜，单透镜成本高，理论物理光晕差。</w:t>
      </w:r>
    </w:p>
    <w:p>
      <w:pPr/>
      <w:r>
        <w:rPr>
          <w:sz w:val="24"/>
        </w:rPr>
        <w:t xml:space="preserve">      H公司使用AGLR+STW高端玻璃，光晕效果提升明显。</w:t>
      </w:r>
    </w:p>
    <w:p>
      <w:pPr/>
      <w:r>
        <w:rPr>
          <w:sz w:val="24"/>
        </w:rPr>
        <w:t xml:space="preserve">4.  可借鉴点  </w:t>
      </w:r>
    </w:p>
    <w:p>
      <w:pPr/>
      <w:r>
        <w:rPr>
          <w:sz w:val="24"/>
        </w:rPr>
        <w:t xml:space="preserve">     反射片薄型化，高端玻璃应用</w:t>
      </w:r>
    </w:p>
    <w:p>
      <w:bookmarkStart w:id="m7vluhkl0kmd3ghgomqp" w:name="m7vluhkl0kmd3ghgomqp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重点问题分析: </w:t>
      </w:r>
      <w:bookmarkEnd w:id="m7vluhkl0kmd3ghgomqp"/>
    </w:p>
    <w:p>
      <w:pPr/>
      <w:r>
        <w:rPr>
          <w:sz w:val="24"/>
        </w:rPr>
        <w:t xml:space="preserve">1、透镜对比：小透镜对光晕提升更好</w:t>
      </w:r>
    </w:p>
    <w:p>
      <w:pPr/>
      <w:r>
        <w:rPr>
          <w:sz w:val="24"/>
        </w:rPr>
        <w:t xml:space="preserve">2、分区及比例：均是1灯1区，光型好，均接近16：9</w:t>
      </w:r>
    </w:p>
    <w:p>
      <w:pPr/>
      <w:r>
        <w:rPr>
          <w:sz w:val="24"/>
        </w:rPr>
        <w:t xml:space="preserve">3、LED功率（峰值亮度）及电压&amp;峰值电流：双方LED功率基本使用到极致</w:t>
      </w:r>
    </w:p>
    <w:p>
      <w:pPr/>
      <w:r>
        <w:rPr>
          <w:sz w:val="24"/>
        </w:rPr>
        <w:t xml:space="preserve">4、色域：创维略有优势，且QD概念卖点也增强</w:t>
      </w:r>
    </w:p>
    <w:p>
      <w:pPr/>
      <w:r>
        <w:rPr>
          <w:sz w:val="24"/>
        </w:rPr>
        <w:t xml:space="preserve">5、玻璃差异：高端产品使用高规格玻璃</w:t>
      </w:r>
    </w:p>
    <w:p>
      <w:pPr/>
      <w:r>
        <w:rPr>
          <w:sz w:val="24"/>
        </w:rPr>
        <w:t xml:space="preserve">6、OD对比：一致</w:t>
      </w:r>
    </w:p>
    <w:p>
      <w:bookmarkStart w:id="m7vlv7g106b04h4v45ks" w:name="m7vlv7g106b04h4v45ks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趋势分析: </w:t>
      </w:r>
      <w:bookmarkEnd w:id="m7vlv7g106b04h4v45ks"/>
    </w:p>
    <w:p>
      <w:pPr/>
      <w:r>
        <w:rPr>
          <w:sz w:val="24"/>
        </w:rPr>
        <w:t xml:space="preserve">1、透镜：小透镜为主，且小透镜还有再继续减小的趋势</w:t>
      </w:r>
    </w:p>
    <w:p>
      <w:pPr/>
      <w:r>
        <w:rPr>
          <w:sz w:val="24"/>
        </w:rPr>
        <w:t xml:space="preserve">2、分区及比例：1灯1区成为趋势</w:t>
      </w:r>
    </w:p>
    <w:p>
      <w:pPr/>
      <w:r>
        <w:rPr>
          <w:sz w:val="24"/>
        </w:rPr>
        <w:t xml:space="preserve">3、LED功率（峰值亮度）及电压&amp;峰值电流： 高低功率可选，看亮度需求及产品定位，选择最优解</w:t>
      </w:r>
    </w:p>
    <w:p>
      <w:pPr/>
      <w:r>
        <w:rPr>
          <w:sz w:val="24"/>
        </w:rPr>
        <w:t xml:space="preserve">4、色域：看产品定位，且QD板成本还有下降空间，后续会增量</w:t>
      </w:r>
    </w:p>
    <w:p>
      <w:pPr/>
      <w:r>
        <w:rPr>
          <w:sz w:val="24"/>
        </w:rPr>
        <w:t xml:space="preserve">5、玻璃：高端产品搭配的高端玻璃，AGLR+STW/AGLR/AG25等</w:t>
      </w:r>
    </w:p>
    <w:p>
      <w:pPr/>
      <w:r>
        <w:rPr>
          <w:sz w:val="24"/>
        </w:rPr>
        <w:t xml:space="preserve">6、OD：大中小 三档OD覆盖整个产品系列</w:t>
      </w:r>
    </w:p>
    <w:p>
      <w:pPr/>
      <w:r>
        <w:rPr>
          <w:sz w:val="24"/>
        </w:rPr>
      </w:r>
    </w:p>
    <w:p>
      <w:bookmarkStart w:id="m7vkrgx5afmokhmae55" w:name="m7vkrgx5afmokhmae55"/>
      <w:pPr>
        <w:pStyle w:val="dingding-heading1"/>
        <w:numPr>
          <w:ilvl w:val="0"/>
          <w:numId w:val="15"/>
        </w:numPr>
        <w:spacing w:line="204.70588235294116"/>
      </w:pPr>
      <w:r>
        <w:rPr>
          <w:sz w:val="40"/>
          <w:b w:val="1"/>
        </w:rPr>
        <w:t xml:space="preserve">电源分析</w:t>
      </w:r>
      <w:bookmarkEnd w:id="m7vkrgx5afmokhmae55"/>
    </w:p>
    <w:p>
      <w:bookmarkStart w:id="m7vlwm5zhwl8wo59qg8" w:name="m7vlwm5zhwl8wo59qg8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恒流电路对比</w:t>
      </w:r>
      <w:bookmarkEnd w:id="m7vlwm5zhwl8wo59qg8"/>
    </w:p>
    <w:p>
      <w:pPr/>
      <w:r>
        <w:rPr>
          <w:sz w:val="24"/>
          <w:b w:val="0"/>
        </w:rPr>
        <w:t xml:space="preserve">海信-85U7N和创维- 85G7E 对比</w:t>
      </w:r>
      <w:r>
        <w:rPr>
          <w:sz w:val="28"/>
        </w:rPr>
        <w:t xml:space="preserve">    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807"/>
        <w:gridCol w:w="4550"/>
        <w:gridCol w:w="3392"/>
        <w:gridCol w:w="3994"/>
      </w:tblGrid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b w:val="1"/>
              </w:rPr>
              <w:t xml:space="preserve">对比内容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b w:val="1"/>
              </w:rPr>
              <w:t xml:space="preserve">海信-85U7N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b w:val="1"/>
              </w:rPr>
              <w:t xml:space="preserve">创维- 85G7E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实物对比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</w:rPr>
            </w:r>
            <w:r>
              <w:drawing>
                <wp:inline distT="0" distB="0" distL="0" distR="0">
                  <wp:extent cx="2724150" cy="942466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2724150" cy="94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</w:p>
        </w:tc>
        <w:tc>
          <w:tcPr>
            <w:tcW w:w="3392" w:type="dxa"/>
          </w:tcPr>
          <w:p>
            <w:pPr/>
            <w:r>
              <w:rPr>
                <w:sz w:val="24"/>
              </w:rPr>
            </w:r>
            <w:r>
              <w:drawing>
                <wp:inline distT="0" distB="0" distL="0" distR="0">
                  <wp:extent cx="1266825" cy="942975"/>
                  <wp:effectExtent b="0" l="0" r="0" t="0"/>
                  <wp:docPr id="1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12668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</w:r>
          </w:p>
        </w:tc>
        <w:tc>
          <w:tcPr>
            <w:tcW w:w="3994" w:type="dxa"/>
          </w:tcPr>
          <w:p>
            <w:pPr/>
            <w:r>
              <w:rPr>
                <w:sz w:val="24"/>
                <w:color w:val="000000"/>
              </w:rPr>
              <w:t xml:space="preserve">1）海信控制板采用4层板，FFC供电采用80pin合pin设计。</w:t>
            </w:r>
          </w:p>
          <w:p>
            <w:pPr/>
            <w:r>
              <w:rPr>
                <w:sz w:val="24"/>
                <w:color w:val="000000"/>
              </w:rPr>
              <w:t xml:space="preserve">2）创维控制板采用2层板，端子未合pin设计，OD25新设计采用合pin设计。</w:t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分区数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color w:val="000000"/>
              </w:rPr>
              <w:t xml:space="preserve">576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color w:val="000000"/>
              </w:rPr>
              <w:t xml:space="preserve">720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驱动IC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color w:val="000000"/>
              </w:rPr>
              <w:t xml:space="preserve">HY8811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color w:val="000000"/>
              </w:rPr>
              <w:t xml:space="preserve">HY8811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控制IC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color w:val="000000"/>
              </w:rPr>
              <w:t xml:space="preserve">信芯微HS1028HDM64*1+HS1028B48*1  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color w:val="000000"/>
              </w:rPr>
              <w:t xml:space="preserve">HY9204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  <w:color w:val="000000"/>
              </w:rPr>
              <w:t xml:space="preserve">海信使用双MCU</w:t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Bit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color w:val="000000"/>
              </w:rPr>
              <w:t xml:space="preserve">8+8模式，16bits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color w:val="000000"/>
              </w:rPr>
              <w:t xml:space="preserve">8+12模式，20bits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  <w:color w:val="000000"/>
              </w:rPr>
              <w:t xml:space="preserve">创维调光位数高</w:t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SPI通道数 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color w:val="000000"/>
              </w:rPr>
              <w:t xml:space="preserve">1路,SPI 8bits传输，速率3.8Mhz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color w:val="000000"/>
              </w:rPr>
              <w:t xml:space="preserve">1路,SPI 16bits传输，速率8Mhz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</w:rPr>
            </w:r>
          </w:p>
        </w:tc>
      </w:tr>
      <w:tr>
        <w:trPr>
          <w:trHeight w:val="0"/>
        </w:trPr>
        <w:tc>
          <w:tcPr>
            <w:tcW w:w="2807" w:type="dxa"/>
          </w:tcPr>
          <w:p>
            <w:pPr/>
            <w:r>
              <w:rPr>
                <w:sz w:val="24"/>
                <w:color w:val="000000"/>
              </w:rPr>
              <w:t xml:space="preserve">调光方式（鲜艳模式）</w:t>
            </w:r>
          </w:p>
        </w:tc>
        <w:tc>
          <w:tcPr>
            <w:tcW w:w="4550" w:type="dxa"/>
          </w:tcPr>
          <w:p>
            <w:pPr/>
            <w:r>
              <w:rPr>
                <w:sz w:val="24"/>
                <w:color w:val="000000"/>
              </w:rPr>
              <w:t xml:space="preserve">PWM（7.6Khz）</w:t>
            </w:r>
          </w:p>
        </w:tc>
        <w:tc>
          <w:tcPr>
            <w:tcW w:w="3392" w:type="dxa"/>
          </w:tcPr>
          <w:p>
            <w:pPr/>
            <w:r>
              <w:rPr>
                <w:sz w:val="24"/>
                <w:color w:val="000000"/>
              </w:rPr>
              <w:t xml:space="preserve">高频PWM（15Khz）</w:t>
            </w:r>
          </w:p>
        </w:tc>
        <w:tc>
          <w:tcPr>
            <w:tcW w:w="3994" w:type="dxa"/>
          </w:tcPr>
          <w:p>
            <w:pPr/>
            <w:r>
              <w:rPr>
                <w:sz w:val="24"/>
                <w:color w:val="000000"/>
              </w:rPr>
              <w:t xml:space="preserve">创维调光频率高</w:t>
            </w:r>
          </w:p>
        </w:tc>
      </w:tr>
    </w:tbl>
    <w:p>
      <w:bookmarkStart w:id="m7vlwygcqcl9r2ersyl" w:name="m7vlwygcqcl9r2ersyl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: 重点问题分析</w:t>
      </w:r>
      <w:bookmarkEnd w:id="m7vlwygcqcl9r2ersyl"/>
    </w:p>
    <w:p>
      <w:pPr/>
      <w:r>
        <w:rPr>
          <w:sz w:val="24"/>
        </w:rPr>
        <w:t xml:space="preserve">1、恒流控制方面，海信采用4层板，双MCU控制，设计成本高，系统复杂。</w:t>
      </w:r>
    </w:p>
    <w:p>
      <w:pPr/>
      <w:r>
        <w:rPr>
          <w:sz w:val="24"/>
        </w:rPr>
        <w:t xml:space="preserve">2、海信采用8+8调光模式，调光频率为7.6Khz， SOC采用1路SPI  以8bits发送亮度数据。</w:t>
      </w:r>
    </w:p>
    <w:p>
      <w:pPr/>
      <w:r>
        <w:rPr>
          <w:sz w:val="24"/>
        </w:rPr>
        <w:t xml:space="preserve">3、创维调采用8+12调光模式，调光频率 为15Khz， SOC采用1路SPI 以16bits发送亮度数据。</w:t>
      </w:r>
    </w:p>
    <w:p>
      <w:pPr/>
      <w:r>
        <w:rPr>
          <w:sz w:val="24"/>
        </w:rPr>
        <w:t xml:space="preserve">4、创维调光采用8+8调光模式，调光频率 为12.24Khz， SOC采用1路SPI 以12bits发送亮度数据。</w:t>
      </w:r>
    </w:p>
    <w:p>
      <w:pPr/>
      <w:r>
        <w:rPr>
          <w:sz w:val="28"/>
        </w:rPr>
      </w:r>
    </w:p>
    <w:p>
      <w:bookmarkStart w:id="m7vm7lrlo6f3pj3zbbn" w:name="m7vm7lrlo6f3pj3zbbn"/>
      <w:pPr>
        <w:pStyle w:val="dingding-heading3"/>
        <w:numPr>
          <w:ilvl w:val="0"/>
          <w:numId w:val="4"/>
        </w:numPr>
        <w:spacing w:line="204.70588235294116"/>
      </w:pPr>
      <w:r>
        <w:rPr>
          <w:sz w:val="28"/>
          <w:b w:val="1"/>
        </w:rPr>
        <w:t xml:space="preserve">: 趋势分析</w:t>
      </w:r>
      <w:bookmarkEnd w:id="m7vm7lrlo6f3pj3zbbn"/>
    </w:p>
    <w:p>
      <w:pPr/>
      <w:r>
        <w:rPr>
          <w:sz w:val="24"/>
        </w:rPr>
        <w:t xml:space="preserve">        ■  驱动IC规格越来越高，覆盖产品逐渐向更少分区数下探。</w:t>
      </w:r>
    </w:p>
    <w:p>
      <w:pPr/>
      <w:r>
        <w:rPr>
          <w:sz w:val="24"/>
        </w:rPr>
        <w:t xml:space="preserve">        ■  通道数（更加丰富）：驱动IC由4CH-8CH-12CH-16CH-24CH发展，8CH将逐渐迭代4CH成为主流。</w:t>
      </w:r>
    </w:p>
    <w:p>
      <w:pPr/>
      <w:r>
        <w:rPr>
          <w:sz w:val="24"/>
        </w:rPr>
        <w:t xml:space="preserve">        ■  IC通道电压（趋于统一）：驱动IC通道耐压30V逐渐成为主流，可满足主流LED灯，性价比最高。</w:t>
      </w:r>
    </w:p>
    <w:p>
      <w:pPr/>
      <w:r>
        <w:rPr>
          <w:sz w:val="24"/>
        </w:rPr>
        <w:t xml:space="preserve">        ■   通道电流（越来越大）：驱动IC从30mA小电流到100+mA大电流，可以覆盖分区数范围更广。</w:t>
      </w:r>
    </w:p>
    <w:p>
      <w:pPr/>
      <w:r>
        <w:rPr>
          <w:sz w:val="24"/>
        </w:rPr>
        <w:t xml:space="preserve">        ■   调光位数（越来越高）：16bits-20bits-24bits-26bits，调光位数越来越高。</w:t>
      </w:r>
    </w:p>
    <w:p>
      <w:pPr/>
      <w:r>
        <w:rPr>
          <w:sz w:val="24"/>
        </w:rPr>
        <w:t xml:space="preserve">        ■  可支持多种调光方式，DC、PWM或者DC+PWM混合调光。</w:t>
      </w:r>
    </w:p>
    <w:p>
      <w:pPr/>
      <w:r>
        <w:rPr>
          <w:sz w:val="24"/>
        </w:rPr>
      </w:r>
    </w:p>
    <w:p>
      <w:pPr/>
      <w:r>
        <w:rPr>
          <w:sz w:val="24"/>
        </w:rPr>
        <w:t xml:space="preserve">        ■  部分新IC可支持温度上报功能，结合该功能可充分发挥模组硬件，提升画质显示。同时，提高系统可靠性。</w:t>
      </w:r>
    </w:p>
    <w:p>
      <w:pPr/>
      <w:r>
        <w:rPr>
          <w:sz w:val="24"/>
        </w:rPr>
      </w:r>
    </w:p>
    <w:p>
      <w:bookmarkStart w:id="m7vkrjpt381tg4b3nxp" w:name="m7vkrjpt381tg4b3nxp"/>
      <w:pPr>
        <w:pStyle w:val="dingding-heading1"/>
        <w:numPr>
          <w:ilvl w:val="0"/>
          <w:numId w:val="16"/>
        </w:numPr>
        <w:spacing w:line="204.70588235294116"/>
      </w:pPr>
      <w:r>
        <w:rPr>
          <w:sz w:val="40"/>
          <w:b w:val="1"/>
        </w:rPr>
        <w:t xml:space="preserve">综合问题分析</w:t>
      </w:r>
      <w:bookmarkEnd w:id="m7vkrjpt381tg4b3nxp"/>
    </w:p>
    <w:p>
      <w:bookmarkStart w:id="m7vma0jjxy9jx349oyn" w:name="m7vma0jjxy9jx349oyn"/>
      <w:pPr>
        <w:pStyle w:val="dingding-heading3"/>
        <w:spacing w:line="204.70588235294116"/>
      </w:pPr>
      <w:r>
        <w:rPr>
          <w:sz w:val="28"/>
          <w:b w:val="1"/>
        </w:rPr>
        <w:t xml:space="preserve">综合分析问题一：基准稳态峰值亮度曲线</w:t>
      </w:r>
      <w:bookmarkEnd w:id="m7vma0jjxy9jx349oyn"/>
    </w:p>
    <w:tbl>
      <w:tblPr>
        <w:tblStyle w:val="TableGrid"/>
        <w:tblW w:w="0" w:type="auto"/>
      </w:tblPr>
      <w:tblGrid>
        <w:gridCol w:w="9817"/>
        <w:gridCol w:w="4927"/>
      </w:tblGrid>
      <w:tr>
        <w:trPr>
          <w:trHeight w:val="0"/>
        </w:trPr>
        <w:tc>
          <w:tcPr>
            <w:tcW w:w="9817" w:type="dxa"/>
            <w:vAlign w:val="top"/>
            <w:shd w:val="clear" w:color="auto" w:fill="E8F2FE"/>
          </w:tcPr>
          <w:p>
            <w:pPr>
              <w:numPr>
                <w:ilvl w:val="0"/>
                <w:numId w:val="17"/>
              </w:numPr>
            </w:pPr>
            <w:r>
              <w:rPr>
                <w:sz w:val="24"/>
                <w:b w:val="1"/>
              </w:rPr>
              <w:t xml:space="preserve">模组分析</w:t>
            </w:r>
          </w:p>
          <w:p>
            <w:pPr/>
            <w:r>
              <w:rPr>
                <w:sz w:val="24"/>
              </w:rPr>
              <w:t xml:space="preserve">        ■ 模组分析详情</w:t>
            </w:r>
          </w:p>
          <w:p>
            <w:pPr/>
            <w:r>
              <w:rPr>
                <w:sz w:val="24"/>
              </w:rPr>
              <w:t xml:space="preserve">            ●    友商灯条方案 32*18=576，白光KSF，晶片为2242*2颗串联24V，直径16mm折射透镜，灯条方案，左右灯条无对插各出1列FFC线材接恒流板。</w:t>
            </w:r>
          </w:p>
          <w:p>
            <w:pPr/>
            <w:r>
              <w:rPr>
                <w:sz w:val="24"/>
              </w:rPr>
              <w:t xml:space="preserve">            ● 创维灯条方案36*20=720，蓝光，晶片为2242*2颗串联24V，直径10mm折射透镜，灯条方案，左右对插。</w:t>
            </w:r>
          </w:p>
          <w:p>
            <w:pPr/>
            <w:r>
              <w:rPr>
                <w:sz w:val="24"/>
              </w:rPr>
              <w:t xml:space="preserve">            ●  膜片方案创维是QD扩板+DPP，友商是普通发泡扩板+DOP膜片</w:t>
            </w:r>
          </w:p>
          <w:p>
            <w:pPr/>
            <w:r>
              <w:rPr>
                <w:sz w:val="24"/>
              </w:rPr>
              <w:t xml:space="preserve">        ■ 模组分析结论</w:t>
            </w:r>
          </w:p>
          <w:p>
            <w:pPr/>
            <w:r>
              <w:rPr>
                <w:sz w:val="24"/>
              </w:rPr>
              <w:t xml:space="preserve">            ● 和创维85G7E相比，竞品LED灯颗数量少，使用φ16mm大折透镜，搭配白光KSF方案，光效较高色域低，大折透镜相对小折透镜角度大光晕理论上会差</w:t>
            </w:r>
          </w:p>
          <w:p>
            <w:pPr/>
            <w:r>
              <w:rPr>
                <w:sz w:val="24"/>
              </w:rPr>
              <w:t xml:space="preserve">            ● 峰值电流竞品的待测，初步判定也比G7E的高，目前G7E使用最大70mA（已满足立项要求），U7N应该是80mA。创维目前3030最大也有使用到80mA的，同时也针对3030-LED通过实验模拟（100mA和50mA循环老化），看是否有机会提升电流同时做时间保护。</w:t>
            </w:r>
          </w:p>
          <w:p>
            <w:pPr>
              <w:numPr>
                <w:ilvl w:val="0"/>
                <w:numId w:val="18"/>
              </w:numPr>
            </w:pPr>
            <w:r>
              <w:rPr>
                <w:sz w:val="24"/>
                <w:b w:val="1"/>
              </w:rPr>
              <w:t xml:space="preserve">电源分析</w:t>
            </w:r>
          </w:p>
          <w:p>
            <w:pPr/>
            <w:r>
              <w:rPr>
                <w:sz w:val="24"/>
              </w:rPr>
              <w:t xml:space="preserve">        ■ 电源分析结论</w:t>
            </w:r>
          </w:p>
          <w:p>
            <w:pPr/>
            <w:r>
              <w:rPr>
                <w:sz w:val="24"/>
              </w:rPr>
              <w:t xml:space="preserve">            ● 常态亮度创维高，创维电源功率比海信大。对比海信，创维稳态峰值和瞬态峰值上不去，问题在于稳态和瞬态峰值LED电流限制。根据模组看是否有机会提升电流和时间限制，来提升稳态和瞬态峰值。</w:t>
            </w:r>
          </w:p>
        </w:tc>
        <w:tc>
          <w:tcPr>
            <w:tcW w:w="4927" w:type="dxa"/>
            <w:vAlign w:val="top"/>
            <w:shd w:val="clear" w:color="auto" w:fill="FFFAE5"/>
          </w:tcPr>
          <w:p>
            <w:pPr/>
            <w:r>
              <w:rPr>
                <w:sz w:val="32"/>
              </w:rPr>
            </w:r>
            <w:r>
              <w:drawing>
                <wp:inline distT="0" distB="0" distL="0" distR="0">
                  <wp:extent cx="2857500" cy="2457450"/>
                  <wp:effectExtent b="0" l="0" r="0" t="0"/>
                  <wp:docPr id="1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285750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</w:rPr>
            </w:r>
          </w:p>
        </w:tc>
      </w:tr>
    </w:tbl>
    <w:p>
      <w:bookmarkStart w:id="m7vmdplgt7sikbpzo9b" w:name="m7vmdplgt7sikbpzo9b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综合分析问题二：光晕大小分析</w:t>
      </w:r>
      <w:bookmarkEnd w:id="m7vmdplgt7sikbpzo9b"/>
    </w:p>
    <w:p>
      <w:pPr>
        <w:numPr>
          <w:ilvl w:val="0"/>
          <w:numId w:val="19"/>
        </w:numPr>
      </w:pPr>
      <w:r>
        <w:rPr>
          <w:sz w:val="24"/>
          <w:b w:val="1"/>
        </w:rPr>
        <w:t xml:space="preserve">画质分析</w:t>
      </w:r>
    </w:p>
    <w:p>
      <w:pPr/>
      <w:r>
        <w:rPr>
          <w:sz w:val="24"/>
        </w:rPr>
        <w:t xml:space="preserve">        ■ 画质分析详情：</w:t>
      </w:r>
    </w:p>
    <w:p>
      <w:pPr/>
      <w:r>
        <w:rPr>
          <w:sz w:val="24"/>
        </w:rPr>
        <w:t xml:space="preserve">            ● 在对齐全白场亮度的情况下，白窗口亮度已比竞品低</w:t>
      </w:r>
    </w:p>
    <w:p>
      <w:pPr/>
      <w:r>
        <w:rPr>
          <w:sz w:val="24"/>
        </w:rPr>
        <w:t xml:space="preserve">            ● SPF没有展开，只开了中心一圈。</w:t>
      </w:r>
    </w:p>
    <w:p>
      <w:pPr/>
      <w:r>
        <w:rPr>
          <w:sz w:val="24"/>
        </w:rPr>
        <w:t xml:space="preserve">        ■ 画质分析结论: </w:t>
      </w:r>
    </w:p>
    <w:p>
      <w:pPr/>
      <w:r>
        <w:rPr>
          <w:sz w:val="24"/>
        </w:rPr>
        <w:t xml:space="preserve">            ●排除画质设计参数影响，在客观数据创维更优的情况下主观视效创维较差，为模组差异原因。</w:t>
      </w:r>
    </w:p>
    <w:p>
      <w:pPr>
        <w:numPr>
          <w:ilvl w:val="0"/>
          <w:numId w:val="20"/>
        </w:numPr>
      </w:pPr>
      <w:r>
        <w:rPr>
          <w:sz w:val="24"/>
          <w:b w:val="1"/>
        </w:rPr>
        <w:t xml:space="preserve">模组分析</w:t>
      </w:r>
    </w:p>
    <w:p>
      <w:pPr/>
      <w:r>
        <w:rPr>
          <w:sz w:val="24"/>
        </w:rPr>
        <w:t xml:space="preserve">        ■ 模组分析详情</w:t>
      </w:r>
    </w:p>
    <w:p>
      <w:pPr/>
      <w:r>
        <w:rPr>
          <w:sz w:val="24"/>
        </w:rPr>
        <w:t xml:space="preserve">           ● 单从背光上看，创维的分区多，透镜角度小，光晕会优</w:t>
      </w:r>
    </w:p>
    <w:p>
      <w:pPr/>
      <w:r>
        <w:rPr>
          <w:sz w:val="24"/>
        </w:rPr>
        <w:t xml:space="preserve">                         ● 除背光、软件算法外，玻璃型号对光晕也有很大影响，竞品此款使用BOE</w:t>
      </w:r>
    </w:p>
    <w:p>
      <w:pPr/>
      <w:r>
        <w:rPr>
          <w:sz w:val="24"/>
        </w:rPr>
        <w:t xml:space="preserve">                AGLR+STW玻璃，属于BOE最高端O/C，本体对比度高，在控光晕上有优势。</w:t>
      </w:r>
    </w:p>
    <w:p>
      <w:pPr/>
      <w:r>
        <w:rPr>
          <w:sz w:val="24"/>
        </w:rPr>
        <w:t xml:space="preserve">          ●在关LD的情况下，海信全黑场数据为0.0832nit，创维为0.1576nit，对比度相差接近1.7倍</w:t>
      </w:r>
    </w:p>
    <w:p>
      <w:pPr/>
      <w:r>
        <w:rPr>
          <w:sz w:val="24"/>
        </w:rPr>
        <w:t xml:space="preserve"> </w:t>
      </w:r>
      <w:r>
        <w:rPr>
          <w:sz w:val="24"/>
          <w:b w:val="1"/>
        </w:rPr>
        <w:t xml:space="preserve">最终结论</w:t>
      </w:r>
    </w:p>
    <w:p>
      <w:pPr/>
      <w:r>
        <w:rPr>
          <w:sz w:val="24"/>
        </w:rPr>
        <w:t xml:space="preserve">       由于玻璃本体对比度差异，虽创维分区较多但光晕表现仍然较明显   (后续实验验证)</w:t>
      </w:r>
    </w:p>
    <w:p>
      <w:bookmarkStart w:id="m7vmh4v4kmm5nv885m" w:name="m7vmh4v4kmm5nv885m"/>
      <w:pPr>
        <w:pStyle w:val="dingding-heading3"/>
        <w:spacing w:line="204.70588235294116"/>
      </w:pPr>
      <w:r>
        <w:rPr>
          <w:sz w:val="28"/>
          <w:b w:val="1"/>
        </w:rPr>
        <w:t xml:space="preserve">综合分析问题三：海信86U7N电流功率分析</w:t>
      </w:r>
      <w:bookmarkEnd w:id="m7vmh4v4kmm5nv885m"/>
    </w:p>
    <w:p>
      <w:pPr/>
      <w:r>
        <w:rPr>
          <w:sz w:val="28"/>
        </w:rPr>
        <w:t xml:space="preserve">1、海信的U7N，随着窗口的减小，峰值电流在逐渐提升。创维G7E采用三档幅值，峰值亮度窗口比海信大，后续可参考海信方式。</w:t>
      </w:r>
    </w:p>
    <w:tbl>
      <w:tblPr>
        <w:tblStyle w:val="TableGrid"/>
        <w:tblW w:w="0" w:type="auto"/>
      </w:tblPr>
      <w:tblGrid>
        <w:gridCol w:w="1935"/>
        <w:gridCol w:w="1740"/>
        <w:gridCol w:w="1740"/>
        <w:gridCol w:w="1740"/>
        <w:gridCol w:w="1740"/>
        <w:gridCol w:w="1740"/>
        <w:gridCol w:w="1740"/>
        <w:gridCol w:w="1740"/>
      </w:tblGrid>
      <w:tr>
        <w:trPr>
          <w:trHeight w:val="320"/>
        </w:trPr>
        <w:tc>
          <w:tcPr>
            <w:tcW w:w="3675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测试内容</w:t>
            </w:r>
          </w:p>
        </w:tc>
        <w:tc>
          <w:tcPr>
            <w:tcW w:w="5220" w:type="dxa"/>
            <w:gridSpan w:val="3"/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海信85U7N（576分区）</w:t>
            </w:r>
          </w:p>
        </w:tc>
        <w:tc>
          <w:tcPr>
            <w:tcW w:w="5220" w:type="dxa"/>
            <w:gridSpan w:val="3"/>
            <w:vAlign w:val="top"/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创维85G7E（720分区）</w:t>
            </w:r>
          </w:p>
        </w:tc>
      </w:tr>
      <w:tr>
        <w:trPr>
          <w:trHeight w:val="320"/>
        </w:trPr>
        <w:tc>
          <w:tcPr>
            <w:gridSpan w:val="2"/>
            <w:vMerge w:val="continue"/>
            <w:vAlign w:val="center"/>
          </w:tcPr>
          <w:p>
            <w:pPr>
              <w:jc w:val="center"/>
            </w:pPr>
            <w:r/>
          </w:p>
        </w:tc>
        <w:tc>
          <w:tcPr>
            <w:tcW w:w="1740" w:type="dxa"/>
          </w:tcPr>
          <w:p>
            <w:pPr/>
            <w:r>
              <w:rPr>
                <w:sz w:val="20"/>
                <w:color w:val="000000"/>
                <w:b w:val="1"/>
              </w:rPr>
              <w:t xml:space="preserve">亮度</w:t>
            </w:r>
          </w:p>
        </w:tc>
        <w:tc>
          <w:tcPr>
            <w:tcW w:w="1740" w:type="dxa"/>
          </w:tcPr>
          <w:p>
            <w:pPr/>
            <w:r>
              <w:rPr>
                <w:sz w:val="20"/>
                <w:color w:val="000000"/>
                <w:b w:val="1"/>
              </w:rPr>
              <w:t xml:space="preserve">电流</w:t>
            </w:r>
          </w:p>
        </w:tc>
        <w:tc>
          <w:tcPr>
            <w:tcW w:w="1740" w:type="dxa"/>
          </w:tcPr>
          <w:p>
            <w:pPr/>
            <w:r>
              <w:rPr>
                <w:sz w:val="20"/>
                <w:color w:val="000000"/>
                <w:b w:val="1"/>
              </w:rPr>
              <w:t xml:space="preserve">功率</w:t>
            </w:r>
          </w:p>
        </w:tc>
        <w:tc>
          <w:tcPr>
            <w:tcW w:w="1740" w:type="dxa"/>
          </w:tcPr>
          <w:p>
            <w:pPr/>
            <w:r>
              <w:rPr>
                <w:sz w:val="20"/>
                <w:color w:val="000000"/>
                <w:b w:val="1"/>
              </w:rPr>
              <w:t xml:space="preserve">亮度</w:t>
            </w:r>
          </w:p>
        </w:tc>
        <w:tc>
          <w:tcPr>
            <w:tcW w:w="1740" w:type="dxa"/>
          </w:tcPr>
          <w:p>
            <w:pPr/>
            <w:r>
              <w:rPr>
                <w:sz w:val="20"/>
                <w:color w:val="000000"/>
                <w:b w:val="1"/>
              </w:rPr>
              <w:t xml:space="preserve">电流</w:t>
            </w:r>
          </w:p>
        </w:tc>
        <w:tc>
          <w:tcPr>
            <w:tcW w:w="1740" w:type="dxa"/>
          </w:tcPr>
          <w:p>
            <w:pPr/>
            <w:r>
              <w:rPr>
                <w:sz w:val="20"/>
                <w:color w:val="000000"/>
                <w:b w:val="1"/>
              </w:rPr>
              <w:t xml:space="preserve">功率</w:t>
            </w:r>
          </w:p>
        </w:tc>
      </w:tr>
      <w:tr>
        <w:trPr>
          <w:trHeight w:val="320"/>
        </w:trPr>
        <w:tc>
          <w:tcPr>
            <w:tcW w:w="1935" w:type="dxa"/>
            <w:vMerge w:val="restart"/>
          </w:tcPr>
          <w:p>
            <w:pPr/>
            <w:r>
              <w:rPr>
                <w:sz w:val="18"/>
                <w:color w:val="000000"/>
              </w:rPr>
              <w:t xml:space="preserve">Window（H）size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663.0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  <w:b w:val="1"/>
              </w:rPr>
              <w:t xml:space="preserve">19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  <w:b w:val="1"/>
              </w:rPr>
              <w:t xml:space="preserve">307.7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756.4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406.4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0.95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665.2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17.1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306.9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770.4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20.8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406.3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702.4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18.3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306.4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806.7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407.8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0.85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702.3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18.5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303.7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806.9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406.5</w:t>
            </w:r>
          </w:p>
        </w:tc>
      </w:tr>
      <w:tr>
        <w:trPr>
          <w:trHeight w:val="4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0.8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720.7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20.5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305.1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880.2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24.7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407.8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0.75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798.5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22.5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298.4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919.9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26.4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407.6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854.1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25.7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300.0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1009.9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28.2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410.1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0.65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854.4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300.1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1099.4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410.9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0.6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922.8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24.8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294.7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1184.4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33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410.1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0.55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1012.0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27.9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292.3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1227.2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36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410.4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1078.0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30.5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289.1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1454.1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39.6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411.6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0.45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1130.2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33.7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291.7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1488.0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408.2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1242.0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38.8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290.5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1528.2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  <w:b w:val="1"/>
              </w:rPr>
              <w:t xml:space="preserve">413.0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0.35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1420.0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43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289.0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  <w:b w:val="1"/>
              </w:rPr>
              <w:t xml:space="preserve">1642.1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361.9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0.3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1556.0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51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284.4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1633.2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318.0</w:t>
            </w:r>
          </w:p>
        </w:tc>
      </w:tr>
      <w:tr>
        <w:trPr>
          <w:trHeight w:val="499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0.25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1715.6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56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259.5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1588.7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45，瞬态70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266.5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  <w:b w:val="1"/>
              </w:rPr>
              <w:t xml:space="preserve">1777.9</w:t>
            </w:r>
            <w:r>
              <w:rPr>
                <w:sz w:val="18"/>
                <w:color w:val="990000"/>
              </w:rPr>
              <w:t xml:space="preserve"> 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62.5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234.7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1546.5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45，瞬态70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221.7</w:t>
            </w:r>
          </w:p>
        </w:tc>
      </w:tr>
      <w:tr>
        <w:trPr>
          <w:trHeight w:val="66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0.15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1757.9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62.5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189.2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1474.3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45，瞬态70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186.2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0.1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1721.9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65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148.0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1335.5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45，瞬态70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136.3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0.05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1544.6 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88.6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1085.9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45，瞬态70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FF0000"/>
              </w:rPr>
              <w:t xml:space="preserve">87.7</w:t>
            </w:r>
          </w:p>
        </w:tc>
      </w:tr>
      <w:tr>
        <w:trPr>
          <w:trHeight w:val="320"/>
        </w:trPr>
        <w:tc>
          <w:tcPr>
            <w:vMerge w:val="continue"/>
          </w:tcPr>
          <w:p>
            <w:pPr/>
            <w:r/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0.02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799.9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59.4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822.2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45，瞬态70</w:t>
            </w:r>
          </w:p>
        </w:tc>
        <w:tc>
          <w:tcPr>
            <w:tcW w:w="1740" w:type="dxa"/>
          </w:tcPr>
          <w:p>
            <w:pPr/>
            <w:r>
              <w:rPr>
                <w:sz w:val="18"/>
                <w:color w:val="000000"/>
              </w:rPr>
              <w:t xml:space="preserve">63.2</w:t>
            </w:r>
          </w:p>
        </w:tc>
      </w:tr>
    </w:tbl>
    <w:p>
      <w:bookmarkStart w:id="m7vmlpybixagbppna0p" w:name="m7vmlpybixagbppna0p"/>
      <w:pPr>
        <w:pStyle w:val="dingding-heading3"/>
        <w:spacing w:line="204.70588235294116"/>
      </w:pPr>
      <w:r>
        <w:rPr>
          <w:sz w:val="28"/>
          <w:b w:val="1"/>
        </w:rPr>
        <w:t xml:space="preserve">综合分析问题三：TCL T6L电流功率分析</w:t>
      </w:r>
      <w:bookmarkEnd w:id="m7vmlpybixagbppna0p"/>
    </w:p>
    <w:p>
      <w:pPr/>
      <w:r>
        <w:rPr>
          <w:sz w:val="28"/>
        </w:rPr>
        <w:t xml:space="preserve">1、TCL的T6L，根据测试数据，根据不同窗口调整电流幅值，可能因为模组配置原因，在15%以下就固定最大幅值。</w:t>
      </w:r>
    </w:p>
    <w:p>
      <w:pPr>
        <w:jc w:val="center"/>
      </w:pPr>
      <w:r>
        <w:rPr>
          <w:sz w:val="28"/>
        </w:rPr>
      </w:r>
      <w:r>
        <w:drawing>
          <wp:inline distT="0" distB="0" distL="0" distR="0">
            <wp:extent cx="2768632" cy="4121182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2768632" cy="41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</w:r>
    </w:p>
    <w:p>
      <w:pPr>
        <w:jc w:val="center"/>
      </w:pPr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chineseCountingThousand"/>
      <w:lvlText w:val="(%1)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9">
    <w:abstractNumId w:val="18"/>
  </w:num>
  <w:num w:numId="1">
    <w:abstractNumId w:val="0"/>
  </w:num>
  <w:num w:numId="20">
    <w:abstractNumId w:val="19"/>
  </w:num>
  <w:num w:numId="8">
    <w:abstractNumId w:val="7"/>
  </w:num>
  <w:num w:numId="7">
    <w:abstractNumId w:val="6"/>
  </w:num>
  <w:num w:numId="13">
    <w:abstractNumId w:val="12"/>
  </w:num>
  <w:num w:numId="9">
    <w:abstractNumId w:val="8"/>
  </w:num>
  <w:num w:numId="15">
    <w:abstractNumId w:val="14"/>
  </w:num>
  <w:num w:numId="10">
    <w:abstractNumId w:val="9"/>
  </w:num>
  <w:num w:numId="16">
    <w:abstractNumId w:val="15"/>
  </w:num>
  <w:num w:numId="12">
    <w:abstractNumId w:val="11"/>
  </w:num>
  <w:num w:numId="14">
    <w:abstractNumId w:val="13"/>
  </w:num>
  <w:num w:numId="18">
    <w:abstractNumId w:val="17"/>
  </w:num>
  <w:num w:numId="17">
    <w:abstractNumId w:val="16"/>
  </w:num>
  <w:num w:numId="4">
    <w:abstractNumId w:val="3"/>
  </w:num>
  <w:num w:numId="11">
    <w:abstractNumId w:val="10"/>
  </w:num>
  <w:num w:numId="3">
    <w:abstractNumId w:val="2"/>
  </w:num>
  <w:num w:numId="6">
    <w:abstractNumId w:val="5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