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E3B990">
      <w:pPr>
        <w:pStyle w:val="2"/>
        <w:spacing w:before="240" w:after="120"/>
      </w:pPr>
      <w:bookmarkStart w:id="0" w:name="_Toc27780"/>
      <w:r>
        <w:rPr>
          <w:rFonts w:hint="eastAsia"/>
        </w:rPr>
        <w:t>APT-CTIA：基于多层异构图与双流学习的APT归因方法</w:t>
      </w:r>
    </w:p>
    <w:p w14:paraId="4DAB1F50">
      <w:pPr>
        <w:jc w:val="center"/>
        <w:rPr>
          <w:sz w:val="21"/>
          <w:szCs w:val="21"/>
        </w:rPr>
      </w:pPr>
      <w:r>
        <w:rPr>
          <w:rFonts w:hint="eastAsia"/>
          <w:sz w:val="21"/>
          <w:szCs w:val="21"/>
        </w:rPr>
        <w:t>蔡赛华</w:t>
      </w:r>
      <w:r>
        <w:rPr>
          <w:rFonts w:hint="eastAsia"/>
          <w:sz w:val="21"/>
          <w:szCs w:val="21"/>
          <w:vertAlign w:val="superscript"/>
        </w:rPr>
        <w:t>1,2,*</w:t>
      </w:r>
      <w:r>
        <w:rPr>
          <w:rFonts w:hint="eastAsia"/>
          <w:sz w:val="21"/>
          <w:szCs w:val="21"/>
        </w:rPr>
        <w:t>，张孟宇</w:t>
      </w:r>
      <w:r>
        <w:rPr>
          <w:rFonts w:hint="eastAsia"/>
          <w:sz w:val="21"/>
          <w:szCs w:val="21"/>
          <w:vertAlign w:val="superscript"/>
        </w:rPr>
        <w:t>1</w:t>
      </w:r>
      <w:r>
        <w:rPr>
          <w:rFonts w:hint="eastAsia"/>
          <w:sz w:val="21"/>
          <w:szCs w:val="21"/>
        </w:rPr>
        <w:t>，闭林彬</w:t>
      </w:r>
      <w:r>
        <w:rPr>
          <w:rFonts w:hint="eastAsia"/>
          <w:sz w:val="21"/>
          <w:szCs w:val="21"/>
          <w:vertAlign w:val="superscript"/>
        </w:rPr>
        <w:t>1</w:t>
      </w:r>
      <w:r>
        <w:rPr>
          <w:rFonts w:hint="eastAsia"/>
          <w:sz w:val="21"/>
          <w:szCs w:val="21"/>
        </w:rPr>
        <w:t>，侯静欣</w:t>
      </w:r>
      <w:r>
        <w:rPr>
          <w:rFonts w:hint="eastAsia"/>
          <w:sz w:val="21"/>
          <w:szCs w:val="21"/>
          <w:vertAlign w:val="superscript"/>
        </w:rPr>
        <w:t>1</w:t>
      </w:r>
      <w:r>
        <w:rPr>
          <w:rFonts w:hint="eastAsia"/>
          <w:sz w:val="21"/>
          <w:szCs w:val="21"/>
        </w:rPr>
        <w:t>，张舒玥</w:t>
      </w:r>
      <w:r>
        <w:rPr>
          <w:rFonts w:hint="eastAsia"/>
          <w:sz w:val="21"/>
          <w:szCs w:val="21"/>
          <w:vertAlign w:val="superscript"/>
        </w:rPr>
        <w:t>1</w:t>
      </w:r>
      <w:r>
        <w:rPr>
          <w:rFonts w:hint="eastAsia"/>
          <w:sz w:val="21"/>
          <w:szCs w:val="21"/>
        </w:rPr>
        <w:t>，张国锋</w:t>
      </w:r>
      <w:r>
        <w:rPr>
          <w:rFonts w:hint="eastAsia"/>
          <w:sz w:val="21"/>
          <w:szCs w:val="21"/>
          <w:vertAlign w:val="superscript"/>
        </w:rPr>
        <w:t>3</w:t>
      </w:r>
    </w:p>
    <w:p w14:paraId="010A07B8">
      <w:pPr>
        <w:rPr>
          <w:sz w:val="21"/>
          <w:szCs w:val="21"/>
        </w:rPr>
      </w:pPr>
      <w:r>
        <w:rPr>
          <w:rFonts w:hint="eastAsia"/>
          <w:sz w:val="21"/>
          <w:szCs w:val="21"/>
          <w:vertAlign w:val="superscript"/>
        </w:rPr>
        <w:t>1</w:t>
      </w:r>
      <w:r>
        <w:rPr>
          <w:rFonts w:hint="eastAsia"/>
          <w:sz w:val="21"/>
          <w:szCs w:val="21"/>
        </w:rPr>
        <w:t xml:space="preserve"> School of Computer Science and Communication Engineering, Jiangsu University, Zhenjiang 212013, China</w:t>
      </w:r>
    </w:p>
    <w:p w14:paraId="229666AB">
      <w:pPr>
        <w:rPr>
          <w:sz w:val="21"/>
          <w:szCs w:val="21"/>
        </w:rPr>
      </w:pPr>
      <w:r>
        <w:rPr>
          <w:rFonts w:hint="eastAsia"/>
          <w:sz w:val="21"/>
          <w:szCs w:val="21"/>
          <w:vertAlign w:val="superscript"/>
        </w:rPr>
        <w:t>2</w:t>
      </w:r>
      <w:r>
        <w:rPr>
          <w:rFonts w:hint="eastAsia"/>
          <w:sz w:val="21"/>
          <w:szCs w:val="21"/>
        </w:rPr>
        <w:t xml:space="preserve"> Jiangsu Key Laboratory of Security Technology for Industrial Cyberspace, Jiangsu University, Zhenjiang 212013, China</w:t>
      </w:r>
    </w:p>
    <w:p w14:paraId="614921AD">
      <w:pPr>
        <w:rPr>
          <w:sz w:val="21"/>
          <w:szCs w:val="21"/>
        </w:rPr>
      </w:pPr>
      <w:r>
        <w:rPr>
          <w:rFonts w:hint="eastAsia"/>
          <w:sz w:val="21"/>
          <w:szCs w:val="21"/>
          <w:vertAlign w:val="superscript"/>
        </w:rPr>
        <w:t>3</w:t>
      </w:r>
      <w:r>
        <w:rPr>
          <w:rFonts w:hint="eastAsia"/>
          <w:sz w:val="21"/>
          <w:szCs w:val="21"/>
        </w:rPr>
        <w:t xml:space="preserve"> School of Information Science and Technology, Taishan University, Taian 271000, China</w:t>
      </w:r>
    </w:p>
    <w:p w14:paraId="6D1B607F">
      <w:pPr>
        <w:spacing w:before="312" w:beforeLines="100"/>
        <w:rPr>
          <w:rFonts w:cs="宋体"/>
          <w:color w:val="000000"/>
          <w:kern w:val="2"/>
          <w:sz w:val="20"/>
          <w:szCs w:val="20"/>
          <w:lang w:bidi="ar"/>
        </w:rPr>
      </w:pPr>
      <w:r>
        <w:rPr>
          <w:rFonts w:hint="eastAsia"/>
          <w:b/>
          <w:bCs/>
          <w:kern w:val="2"/>
          <w:sz w:val="20"/>
          <w:szCs w:val="20"/>
          <w:lang w:eastAsia="zh"/>
        </w:rPr>
        <w:t>摘要</w:t>
      </w:r>
      <w:r>
        <w:rPr>
          <w:rFonts w:hint="eastAsia"/>
          <w:b/>
          <w:bCs/>
          <w:kern w:val="2"/>
          <w:sz w:val="20"/>
          <w:szCs w:val="20"/>
        </w:rPr>
        <w:t>：</w:t>
      </w:r>
      <w:r>
        <w:rPr>
          <w:rFonts w:hint="eastAsia" w:cs="宋体"/>
          <w:color w:val="000000"/>
          <w:kern w:val="2"/>
          <w:sz w:val="20"/>
          <w:szCs w:val="20"/>
          <w:lang w:bidi="ar"/>
        </w:rPr>
        <w:t>高级持续性威胁（</w:t>
      </w:r>
      <w:r>
        <w:rPr>
          <w:color w:val="000000"/>
          <w:kern w:val="2"/>
          <w:sz w:val="20"/>
          <w:szCs w:val="20"/>
          <w:lang w:bidi="ar"/>
        </w:rPr>
        <w:t>Advanced Persistent Threat, APT</w:t>
      </w:r>
      <w:r>
        <w:rPr>
          <w:rFonts w:hint="eastAsia" w:cs="宋体"/>
          <w:color w:val="000000"/>
          <w:kern w:val="2"/>
          <w:sz w:val="20"/>
          <w:szCs w:val="20"/>
          <w:lang w:bidi="ar"/>
        </w:rPr>
        <w:t>）具有隐蔽性强、攻击链长且跨阶段行为耦合复杂等特征，使得基于威胁情报的自动化归因面临显著挑战。现有方法主要依赖非结构化报告中的实体与关系建模，但仍存在三方面关键不足：多源报告解析与语义边界不一致导致实体抽取不完整，基于局部共现或静态本体的图结构难以刻画跨段落与跨阶段攻击关联，以及语义建模与结构建模在统一表示空间中耦合学习引发信息冲突与表示偏置。针对上述问题，本文提出一种面向</w:t>
      </w:r>
      <w:r>
        <w:rPr>
          <w:color w:val="000000"/>
          <w:kern w:val="2"/>
          <w:sz w:val="20"/>
          <w:szCs w:val="20"/>
          <w:lang w:bidi="ar"/>
        </w:rPr>
        <w:t>APT</w:t>
      </w:r>
      <w:r>
        <w:rPr>
          <w:rFonts w:hint="eastAsia" w:cs="宋体"/>
          <w:color w:val="000000"/>
          <w:kern w:val="2"/>
          <w:sz w:val="20"/>
          <w:szCs w:val="20"/>
          <w:lang w:bidi="ar"/>
        </w:rPr>
        <w:t>归因的异构图学习框架</w:t>
      </w:r>
      <w:r>
        <w:rPr>
          <w:color w:val="000000"/>
          <w:kern w:val="2"/>
          <w:sz w:val="20"/>
          <w:szCs w:val="20"/>
          <w:lang w:bidi="ar"/>
        </w:rPr>
        <w:t>APT-CTIA</w:t>
      </w:r>
      <w:r>
        <w:rPr>
          <w:rFonts w:hint="eastAsia" w:cs="宋体"/>
          <w:color w:val="000000"/>
          <w:kern w:val="2"/>
          <w:sz w:val="20"/>
          <w:szCs w:val="20"/>
          <w:lang w:bidi="ar"/>
        </w:rPr>
        <w:t>。该框架以“实体建模—结构增强—解耦推理”为主线，将威胁情报归因统一建模为多层异构图学习问题。在数据预处理阶段，设计语义感知段落分割与三级级联实体识别机制，通过结构化指标解析、上下文约束识别与实体规范化，提升跨格式报告中实体边界一致性与节点表示质量。在图结构构建阶段，构建多层次异构关系图，联合编码段落内共现关系、跨段落桥接关系和基于实体类型对的语义关系，并引入规则化关系映射与基分解参数化机制，在控制关系空间复杂度的同时增强稀疏关系场景下的参数共享能力与结构泛化能力。在归因学习阶段，设计双流图神经网络架构，分别利用</w:t>
      </w:r>
      <w:r>
        <w:rPr>
          <w:color w:val="000000"/>
          <w:kern w:val="2"/>
          <w:sz w:val="20"/>
          <w:szCs w:val="20"/>
          <w:lang w:bidi="ar"/>
        </w:rPr>
        <w:t>GATv2</w:t>
      </w:r>
      <w:r>
        <w:rPr>
          <w:rFonts w:hint="eastAsia" w:cs="宋体"/>
          <w:color w:val="000000"/>
          <w:kern w:val="2"/>
          <w:sz w:val="20"/>
          <w:szCs w:val="20"/>
          <w:lang w:bidi="ar"/>
        </w:rPr>
        <w:t>语义流与</w:t>
      </w:r>
      <w:r>
        <w:rPr>
          <w:color w:val="000000"/>
          <w:kern w:val="2"/>
          <w:sz w:val="20"/>
          <w:szCs w:val="20"/>
          <w:lang w:bidi="ar"/>
        </w:rPr>
        <w:t>RGCN</w:t>
      </w:r>
      <w:r>
        <w:rPr>
          <w:rFonts w:hint="eastAsia" w:cs="宋体"/>
          <w:color w:val="000000"/>
          <w:kern w:val="2"/>
          <w:sz w:val="20"/>
          <w:szCs w:val="20"/>
          <w:lang w:bidi="ar"/>
        </w:rPr>
        <w:t>结构流建模语义相似性与关系拓扑约束，并通过可学习门控机制实现语义表示与结构表示的自适应融合，从而降低信息冲突对归因决策的影响。在多源威胁情报数据集上的实验结果表明，所提方法在</w:t>
      </w:r>
      <w:r>
        <w:rPr>
          <w:color w:val="000000"/>
          <w:kern w:val="2"/>
          <w:sz w:val="20"/>
          <w:szCs w:val="20"/>
          <w:lang w:bidi="ar"/>
        </w:rPr>
        <w:t>APT</w:t>
      </w:r>
      <w:r>
        <w:rPr>
          <w:rFonts w:hint="eastAsia" w:cs="宋体"/>
          <w:color w:val="000000"/>
          <w:kern w:val="2"/>
          <w:sz w:val="20"/>
          <w:szCs w:val="20"/>
          <w:lang w:bidi="ar"/>
        </w:rPr>
        <w:t>组织归因任务中相较</w:t>
      </w:r>
      <w:r>
        <w:rPr>
          <w:color w:val="000000"/>
          <w:kern w:val="2"/>
          <w:sz w:val="20"/>
          <w:szCs w:val="20"/>
          <w:highlight w:val="yellow"/>
          <w:lang w:bidi="ar"/>
        </w:rPr>
        <w:t>xx</w:t>
      </w:r>
      <w:r>
        <w:rPr>
          <w:rFonts w:hint="eastAsia" w:cs="宋体"/>
          <w:color w:val="000000"/>
          <w:kern w:val="2"/>
          <w:sz w:val="20"/>
          <w:szCs w:val="20"/>
          <w:lang w:bidi="ar"/>
        </w:rPr>
        <w:t>方法在</w:t>
      </w:r>
      <w:r>
        <w:rPr>
          <w:color w:val="000000"/>
          <w:kern w:val="2"/>
          <w:sz w:val="20"/>
          <w:szCs w:val="20"/>
          <w:highlight w:val="yellow"/>
          <w:lang w:bidi="ar"/>
        </w:rPr>
        <w:t>xxx</w:t>
      </w:r>
      <w:r>
        <w:rPr>
          <w:rFonts w:hint="eastAsia" w:cs="宋体"/>
          <w:color w:val="000000"/>
          <w:kern w:val="2"/>
          <w:sz w:val="20"/>
          <w:szCs w:val="20"/>
          <w:lang w:bidi="ar"/>
        </w:rPr>
        <w:t>数据集上取得</w:t>
      </w:r>
      <w:r>
        <w:rPr>
          <w:color w:val="000000"/>
          <w:kern w:val="2"/>
          <w:sz w:val="20"/>
          <w:szCs w:val="20"/>
          <w:highlight w:val="yellow"/>
          <w:lang w:bidi="ar"/>
        </w:rPr>
        <w:t>xxx</w:t>
      </w:r>
      <w:r>
        <w:rPr>
          <w:color w:val="000000"/>
          <w:kern w:val="2"/>
          <w:sz w:val="20"/>
          <w:szCs w:val="20"/>
          <w:lang w:bidi="ar"/>
        </w:rPr>
        <w:t>%</w:t>
      </w:r>
      <w:r>
        <w:rPr>
          <w:rFonts w:hint="eastAsia" w:cs="宋体"/>
          <w:color w:val="000000"/>
          <w:kern w:val="2"/>
          <w:sz w:val="20"/>
          <w:szCs w:val="20"/>
          <w:lang w:bidi="ar"/>
        </w:rPr>
        <w:t>的</w:t>
      </w:r>
      <w:r>
        <w:rPr>
          <w:color w:val="000000"/>
          <w:kern w:val="2"/>
          <w:sz w:val="20"/>
          <w:szCs w:val="20"/>
          <w:highlight w:val="yellow"/>
          <w:lang w:bidi="ar"/>
        </w:rPr>
        <w:t>xx</w:t>
      </w:r>
      <w:r>
        <w:rPr>
          <w:rFonts w:hint="eastAsia" w:cs="宋体"/>
          <w:color w:val="000000"/>
          <w:kern w:val="2"/>
          <w:sz w:val="20"/>
          <w:szCs w:val="20"/>
          <w:lang w:bidi="ar"/>
        </w:rPr>
        <w:t>提升，并且具有更稳定的检测结果。</w:t>
      </w:r>
    </w:p>
    <w:p w14:paraId="429F400C">
      <w:pPr>
        <w:spacing w:before="312" w:beforeLines="100"/>
        <w:rPr>
          <w:color w:val="000000" w:themeColor="text1"/>
          <w:kern w:val="2"/>
          <w:sz w:val="20"/>
          <w:szCs w:val="20"/>
          <w:lang w:eastAsia="zh"/>
          <w14:textFill>
            <w14:solidFill>
              <w14:schemeClr w14:val="tx1"/>
            </w14:solidFill>
          </w14:textFill>
        </w:rPr>
      </w:pPr>
      <w:r>
        <w:rPr>
          <w:rFonts w:hint="eastAsia"/>
          <w:b/>
          <w:bCs/>
          <w:kern w:val="2"/>
          <w:sz w:val="20"/>
          <w:szCs w:val="20"/>
          <w:lang w:eastAsia="zh"/>
        </w:rPr>
        <w:t>关键词：</w:t>
      </w:r>
      <w:r>
        <w:rPr>
          <w:rFonts w:hint="eastAsia"/>
          <w:kern w:val="2"/>
          <w:sz w:val="20"/>
          <w:szCs w:val="20"/>
          <w:lang w:eastAsia="zh"/>
        </w:rPr>
        <w:t>高级持续性威胁；威胁情报归因；异构图神经网络；实体识别；双流网络；</w:t>
      </w:r>
      <w:r>
        <w:rPr>
          <w:rFonts w:hint="eastAsia"/>
          <w:color w:val="000000" w:themeColor="text1"/>
          <w:kern w:val="2"/>
          <w:sz w:val="20"/>
          <w:szCs w:val="20"/>
          <w14:textFill>
            <w14:solidFill>
              <w14:schemeClr w14:val="tx1"/>
            </w14:solidFill>
          </w14:textFill>
        </w:rPr>
        <w:t>结构-语义</w:t>
      </w:r>
      <w:r>
        <w:rPr>
          <w:rFonts w:hint="eastAsia"/>
          <w:color w:val="000000" w:themeColor="text1"/>
          <w:kern w:val="2"/>
          <w:sz w:val="20"/>
          <w:szCs w:val="20"/>
          <w:lang w:eastAsia="zh"/>
          <w14:textFill>
            <w14:solidFill>
              <w14:schemeClr w14:val="tx1"/>
            </w14:solidFill>
          </w14:textFill>
        </w:rPr>
        <w:t>融合</w:t>
      </w:r>
    </w:p>
    <w:p w14:paraId="20B8185E">
      <w:pPr>
        <w:pStyle w:val="2"/>
        <w:keepNext/>
        <w:spacing w:before="360" w:after="120"/>
        <w:jc w:val="both"/>
        <w:rPr>
          <w:sz w:val="24"/>
          <w:szCs w:val="24"/>
        </w:rPr>
      </w:pPr>
      <w:r>
        <w:rPr>
          <w:sz w:val="24"/>
          <w:szCs w:val="24"/>
        </w:rPr>
        <w:t>1.</w:t>
      </w:r>
      <w:r>
        <w:rPr>
          <w:rFonts w:hint="eastAsia"/>
          <w:sz w:val="24"/>
          <w:szCs w:val="24"/>
        </w:rPr>
        <w:t xml:space="preserve"> </w:t>
      </w:r>
      <w:r>
        <w:rPr>
          <w:rFonts w:hint="eastAsia" w:cs="宋体"/>
          <w:sz w:val="24"/>
          <w:szCs w:val="24"/>
        </w:rPr>
        <w:t>引言</w:t>
      </w:r>
    </w:p>
    <w:p w14:paraId="5BD10EE7">
      <w:pPr>
        <w:pStyle w:val="10"/>
        <w:adjustRightInd w:val="0"/>
        <w:spacing w:beforeAutospacing="0" w:after="60" w:afterAutospacing="0" w:line="400" w:lineRule="exact"/>
        <w:ind w:firstLine="400" w:firstLineChars="200"/>
        <w:jc w:val="both"/>
        <w:rPr>
          <w:rFonts w:cs="宋体"/>
          <w:color w:val="000000"/>
          <w:kern w:val="2"/>
          <w:sz w:val="20"/>
          <w:szCs w:val="20"/>
          <w:lang w:bidi="ar"/>
        </w:rPr>
      </w:pPr>
      <w:r>
        <w:rPr>
          <w:rFonts w:hint="eastAsia" w:cs="宋体"/>
          <w:color w:val="000000"/>
          <w:kern w:val="2"/>
          <w:sz w:val="20"/>
          <w:szCs w:val="20"/>
          <w:lang w:bidi="ar"/>
        </w:rPr>
        <w:t>随着信息系统的广泛应用，网络攻击在规模、频率与复杂性上持续增长，传统依赖规则匹配与静态特征的检测方法已难以应对复杂、隐蔽且持续演化的高级威胁</w:t>
      </w:r>
      <w:r>
        <w:rPr>
          <w:rFonts w:cs="宋体"/>
          <w:color w:val="000000"/>
          <w:kern w:val="2"/>
          <w:sz w:val="20"/>
          <w:szCs w:val="20"/>
          <w:lang w:bidi="ar"/>
        </w:rPr>
        <w:t>[1]</w:t>
      </w:r>
      <w:r>
        <w:rPr>
          <w:rFonts w:hint="eastAsia" w:cs="宋体"/>
          <w:color w:val="000000"/>
          <w:kern w:val="2"/>
          <w:sz w:val="20"/>
          <w:szCs w:val="20"/>
          <w:lang w:bidi="ar"/>
        </w:rPr>
        <w:t>。高级持续性威胁（</w:t>
      </w:r>
      <w:r>
        <w:rPr>
          <w:rFonts w:cs="宋体"/>
          <w:color w:val="000000"/>
          <w:kern w:val="2"/>
          <w:sz w:val="20"/>
          <w:szCs w:val="20"/>
          <w:lang w:bidi="ar"/>
        </w:rPr>
        <w:t>Advanced Persistent Threat, APT</w:t>
      </w:r>
      <w:r>
        <w:rPr>
          <w:rFonts w:hint="eastAsia" w:cs="宋体"/>
          <w:color w:val="000000"/>
          <w:kern w:val="2"/>
          <w:sz w:val="20"/>
          <w:szCs w:val="20"/>
          <w:lang w:bidi="ar"/>
        </w:rPr>
        <w:t>）攻击通常具有多阶段演化特征，其攻击过程涵盖初始入侵、横向移动与命令控制等多个环节，并通过长期潜伏逐步达成攻击目标，对关键基础设施与敏感信息构成持续威胁</w:t>
      </w:r>
      <w:r>
        <w:rPr>
          <w:rFonts w:cs="宋体"/>
          <w:color w:val="000000"/>
          <w:kern w:val="2"/>
          <w:sz w:val="20"/>
          <w:szCs w:val="20"/>
          <w:lang w:bidi="ar"/>
        </w:rPr>
        <w:t>[2,3]</w:t>
      </w:r>
      <w:r>
        <w:rPr>
          <w:rFonts w:hint="eastAsia" w:cs="宋体"/>
          <w:color w:val="000000"/>
          <w:kern w:val="2"/>
          <w:sz w:val="20"/>
          <w:szCs w:val="20"/>
          <w:lang w:bidi="ar"/>
        </w:rPr>
        <w:t>。因此，从复杂威胁情报中刻画攻击行为并实现</w:t>
      </w:r>
      <w:r>
        <w:rPr>
          <w:rFonts w:cs="宋体"/>
          <w:color w:val="000000"/>
          <w:kern w:val="2"/>
          <w:sz w:val="20"/>
          <w:szCs w:val="20"/>
          <w:lang w:bidi="ar"/>
        </w:rPr>
        <w:t>APT</w:t>
      </w:r>
      <w:r>
        <w:rPr>
          <w:rFonts w:hint="eastAsia" w:cs="宋体"/>
          <w:color w:val="000000"/>
          <w:kern w:val="2"/>
          <w:sz w:val="20"/>
          <w:szCs w:val="20"/>
          <w:lang w:bidi="ar"/>
        </w:rPr>
        <w:t>组织归因，已成为网络安全领域的重要研究问题。</w:t>
      </w:r>
    </w:p>
    <w:p w14:paraId="53DEEEF0">
      <w:pPr>
        <w:pStyle w:val="10"/>
        <w:adjustRightInd w:val="0"/>
        <w:spacing w:beforeAutospacing="0" w:after="60" w:afterAutospacing="0" w:line="400" w:lineRule="exact"/>
        <w:ind w:firstLine="400" w:firstLineChars="200"/>
        <w:jc w:val="both"/>
        <w:rPr>
          <w:rFonts w:cs="宋体"/>
          <w:color w:val="000000"/>
          <w:kern w:val="2"/>
          <w:sz w:val="20"/>
          <w:szCs w:val="20"/>
          <w:lang w:bidi="ar"/>
        </w:rPr>
      </w:pPr>
      <w:r>
        <w:rPr>
          <w:rFonts w:cs="宋体"/>
          <w:color w:val="000000"/>
          <w:kern w:val="2"/>
          <w:sz w:val="20"/>
          <w:szCs w:val="20"/>
          <w:lang w:bidi="ar"/>
        </w:rPr>
        <w:t>现有APT归因方法通常依赖于从网络威胁情报（Cyber Threat Intelligence, CTI）中抽取攻击实体并建模其语义与结构关系。然而，CTI数据来源复杂且高度非结构化，不同报告在文本组织方式、表达粒度及攻击行为描述上存在显著差异[4,5]。在实际解析过程中，多栏布局、页眉页脚及编码不一致等问题容易导致文本上下文断裂，从而破坏实体边界并引入语义噪声[6]。与此同时，现有方法多采用基于固定窗口或简单规则的文本分割策略，难以保持攻击描述的语义完整性，进而影响后续基于实体共现关系的图结构建模[7]。此外，CTI中既包含规范化的结构化指标（如IP地址与文件哈希），也包含表达形式多样的非结构化实体（如恶意软件别名与攻击工具），若缺乏统一建模机制</w:t>
      </w:r>
      <w:r>
        <w:rPr>
          <w:rFonts w:hint="eastAsia" w:cs="宋体"/>
          <w:color w:val="000000"/>
          <w:kern w:val="2"/>
          <w:sz w:val="20"/>
          <w:szCs w:val="20"/>
          <w:lang w:bidi="ar"/>
        </w:rPr>
        <w:t>则</w:t>
      </w:r>
      <w:r>
        <w:rPr>
          <w:rFonts w:cs="宋体"/>
          <w:color w:val="000000"/>
          <w:kern w:val="2"/>
          <w:sz w:val="20"/>
          <w:szCs w:val="20"/>
          <w:lang w:bidi="ar"/>
        </w:rPr>
        <w:t>容易导致实体表示不一致以及归因特征分散等问题。更进一步，同一攻击实体在不同报告中往往以不同形式出现，若未进行规范化与去重处理则可能在图结构中形成冗余节点，从而削弱APT归因过程中关键攻击行为之间的关联表达能力。</w:t>
      </w:r>
    </w:p>
    <w:p w14:paraId="250439BE">
      <w:pPr>
        <w:pStyle w:val="10"/>
        <w:adjustRightInd w:val="0"/>
        <w:spacing w:beforeAutospacing="0" w:after="60" w:afterAutospacing="0" w:line="400" w:lineRule="exact"/>
        <w:ind w:firstLine="400" w:firstLineChars="200"/>
        <w:jc w:val="both"/>
        <w:rPr>
          <w:color w:val="000000"/>
          <w:kern w:val="2"/>
          <w:sz w:val="20"/>
          <w:szCs w:val="20"/>
          <w:lang w:bidi="ar"/>
        </w:rPr>
      </w:pPr>
      <w:r>
        <w:rPr>
          <w:color w:val="000000"/>
          <w:kern w:val="2"/>
          <w:sz w:val="20"/>
          <w:szCs w:val="20"/>
          <w:lang w:bidi="ar"/>
        </w:rPr>
        <w:t>为刻画攻击实体之间的关系结构，图方法被广泛应用于APT归因任务[8]。然而，现有方法大多依赖段落内实体共现关系构建图结构，隐含假设语义相关实体能够在局部文本中共同出现。然而，在APT场景下，攻击生命周期中的不同行为阶段通常跨段落甚至跨章节分布，例如初始投递行为与后续命令控制过程往往被分散描述，导致局部子图之间缺乏有效连接，难以完整表达跨阶段攻击行为之间的关联依赖[9]。与此同时，APT归因图通常具有关系类型多且分布稀疏的特点，若为不同关系分别独立建模将显著增加参数规模，并在有限样本条件下加剧结构过拟合问题[10]。部分研究尝试通过引入外部知识图谱增强关系语义，但此类方法通常依赖预定义本体结构，在面对攻击实体与关系持续演化的开放场景时适应能力有限[4,5,11,12]。</w:t>
      </w:r>
    </w:p>
    <w:p w14:paraId="19D3AE00">
      <w:pPr>
        <w:pStyle w:val="10"/>
        <w:adjustRightInd w:val="0"/>
        <w:spacing w:beforeAutospacing="0" w:after="60" w:afterAutospacing="0" w:line="400" w:lineRule="exact"/>
        <w:ind w:firstLine="400" w:firstLineChars="200"/>
        <w:jc w:val="both"/>
        <w:rPr>
          <w:color w:val="000000"/>
          <w:kern w:val="2"/>
          <w:sz w:val="20"/>
          <w:szCs w:val="20"/>
          <w:lang w:bidi="ar"/>
        </w:rPr>
      </w:pPr>
      <w:r>
        <w:rPr>
          <w:color w:val="000000"/>
          <w:kern w:val="2"/>
          <w:sz w:val="20"/>
          <w:szCs w:val="20"/>
          <w:lang w:bidi="ar"/>
        </w:rPr>
        <w:t>在表示学习层面，现有图神经网络方法通常将实体语义特征与关系结构特征映射至统一嵌入空间进行融合学习[13]。然而，语义特征更关注节点内容之间的上下文相似性，而结构特征强调攻击行为之间的关系依赖与拓扑约束，两类信息在建模目标与统计属性上存在天然差异[4]。若缺乏有效协调机制，模型容易偏向单一信息源，并在稀疏数据与类别不均衡条件下进一步放大表示偏置问题，从而影响APT归因模型的稳定性与泛化能力[3]。</w:t>
      </w:r>
    </w:p>
    <w:p w14:paraId="41685B69">
      <w:pPr>
        <w:pStyle w:val="10"/>
        <w:adjustRightInd w:val="0"/>
        <w:spacing w:beforeAutospacing="0" w:after="60" w:afterAutospacing="0" w:line="400" w:lineRule="exact"/>
        <w:ind w:firstLine="400" w:firstLineChars="200"/>
        <w:jc w:val="both"/>
        <w:rPr>
          <w:color w:val="000000"/>
          <w:kern w:val="2"/>
          <w:sz w:val="20"/>
          <w:szCs w:val="20"/>
          <w:lang w:bidi="ar"/>
        </w:rPr>
      </w:pPr>
      <w:r>
        <w:rPr>
          <w:color w:val="000000"/>
          <w:kern w:val="2"/>
          <w:sz w:val="20"/>
          <w:szCs w:val="20"/>
          <w:lang w:bidi="ar"/>
        </w:rPr>
        <w:t>针对上述问题，本文提出APT-CTIA，一种面向复杂威胁情报场景的异构图APT归因方法，从实体建模、图结构构建与表示学习三个层面进行统一设计，以实现更稳定且具有泛化能力的APT归因。本文的主要贡献如下：</w:t>
      </w:r>
    </w:p>
    <w:p w14:paraId="07733200">
      <w:pPr>
        <w:pStyle w:val="10"/>
        <w:adjustRightInd w:val="0"/>
        <w:spacing w:beforeAutospacing="0" w:after="60" w:afterAutospacing="0" w:line="400" w:lineRule="exact"/>
        <w:ind w:firstLine="400" w:firstLineChars="200"/>
        <w:jc w:val="both"/>
        <w:rPr>
          <w:color w:val="000000"/>
          <w:kern w:val="2"/>
          <w:sz w:val="20"/>
          <w:szCs w:val="20"/>
        </w:rPr>
      </w:pPr>
      <w:r>
        <w:rPr>
          <w:rFonts w:hint="eastAsia" w:cs="宋体"/>
          <w:color w:val="000000"/>
          <w:kern w:val="2"/>
          <w:sz w:val="20"/>
          <w:szCs w:val="20"/>
          <w:lang w:bidi="ar"/>
        </w:rPr>
        <w:t>（</w:t>
      </w:r>
      <w:r>
        <w:rPr>
          <w:color w:val="000000"/>
          <w:kern w:val="2"/>
          <w:sz w:val="20"/>
          <w:szCs w:val="20"/>
          <w:lang w:bidi="ar"/>
        </w:rPr>
        <w:t>1</w:t>
      </w:r>
      <w:r>
        <w:rPr>
          <w:rFonts w:hint="eastAsia" w:cs="宋体"/>
          <w:color w:val="000000"/>
          <w:kern w:val="2"/>
          <w:sz w:val="20"/>
          <w:szCs w:val="20"/>
          <w:lang w:bidi="ar"/>
        </w:rPr>
        <w:t>）</w:t>
      </w:r>
      <w:r>
        <w:rPr>
          <w:rFonts w:hint="eastAsia" w:cs="宋体"/>
          <w:b/>
          <w:bCs/>
          <w:color w:val="000000"/>
          <w:kern w:val="2"/>
          <w:sz w:val="20"/>
          <w:szCs w:val="20"/>
          <w:lang w:bidi="ar"/>
        </w:rPr>
        <w:t>层次化实体建模机制：</w:t>
      </w:r>
      <w:r>
        <w:rPr>
          <w:rFonts w:hint="eastAsia"/>
          <w:color w:val="000000"/>
          <w:kern w:val="2"/>
          <w:sz w:val="20"/>
          <w:szCs w:val="20"/>
          <w:lang w:bidi="ar"/>
        </w:rPr>
        <w:t>针对</w:t>
      </w:r>
      <w:r>
        <w:rPr>
          <w:color w:val="000000"/>
          <w:kern w:val="2"/>
          <w:sz w:val="20"/>
          <w:szCs w:val="20"/>
          <w:lang w:bidi="ar"/>
        </w:rPr>
        <w:t>CTI</w:t>
      </w:r>
      <w:r>
        <w:rPr>
          <w:rFonts w:hint="eastAsia"/>
          <w:color w:val="000000"/>
          <w:kern w:val="2"/>
          <w:sz w:val="20"/>
          <w:szCs w:val="20"/>
          <w:lang w:bidi="ar"/>
        </w:rPr>
        <w:t>文本解析与实体表达不一致问题，构建“文档解析—语义分割—多级实体识别—规范化去重”的级联建模流程，在保证语义完整性的前提下统一结构化与非结构化实体表示，并通过多模态特征增强节点表达能力。</w:t>
      </w:r>
    </w:p>
    <w:p w14:paraId="5CB5E412">
      <w:pPr>
        <w:pStyle w:val="10"/>
        <w:adjustRightInd w:val="0"/>
        <w:spacing w:beforeAutospacing="0" w:after="60" w:afterAutospacing="0" w:line="400" w:lineRule="exact"/>
        <w:ind w:firstLine="400" w:firstLineChars="200"/>
        <w:jc w:val="both"/>
        <w:rPr>
          <w:color w:val="000000"/>
          <w:kern w:val="2"/>
          <w:sz w:val="20"/>
          <w:szCs w:val="20"/>
          <w:lang w:bidi="ar"/>
        </w:rPr>
      </w:pPr>
      <w:r>
        <w:rPr>
          <w:rFonts w:hint="eastAsia" w:cs="宋体"/>
          <w:color w:val="000000"/>
          <w:kern w:val="2"/>
          <w:sz w:val="20"/>
          <w:szCs w:val="20"/>
          <w:lang w:bidi="ar"/>
        </w:rPr>
        <w:t>（</w:t>
      </w:r>
      <w:r>
        <w:rPr>
          <w:color w:val="000000"/>
          <w:kern w:val="2"/>
          <w:sz w:val="20"/>
          <w:szCs w:val="20"/>
          <w:lang w:bidi="ar"/>
        </w:rPr>
        <w:t>2</w:t>
      </w:r>
      <w:r>
        <w:rPr>
          <w:rFonts w:hint="eastAsia" w:cs="宋体"/>
          <w:color w:val="000000"/>
          <w:kern w:val="2"/>
          <w:sz w:val="20"/>
          <w:szCs w:val="20"/>
          <w:lang w:bidi="ar"/>
        </w:rPr>
        <w:t>）</w:t>
      </w:r>
      <w:r>
        <w:rPr>
          <w:rFonts w:hint="eastAsia" w:cs="宋体"/>
          <w:b/>
          <w:bCs/>
          <w:color w:val="000000"/>
          <w:kern w:val="2"/>
          <w:sz w:val="20"/>
          <w:szCs w:val="20"/>
          <w:lang w:bidi="ar"/>
        </w:rPr>
        <w:t>多层语义增强的异构图构建方法：</w:t>
      </w:r>
      <w:r>
        <w:rPr>
          <w:rFonts w:hint="eastAsia"/>
          <w:color w:val="000000"/>
          <w:kern w:val="2"/>
          <w:sz w:val="20"/>
          <w:szCs w:val="20"/>
          <w:lang w:bidi="ar"/>
        </w:rPr>
        <w:t>突破传统局部共现假设，通过联合建模段落内共现关系、跨段落语义桥接关系、实体类型语义关系及全局连接机制，构建多层次语义耦合的图结构，从而缓解信息孤岛问题并增强跨阶段攻击行为的表达能力；同时，通过关系映射与参数共享策略降低多关系建模带来的过拟合风险。</w:t>
      </w:r>
    </w:p>
    <w:p w14:paraId="5063D401">
      <w:pPr>
        <w:pStyle w:val="10"/>
        <w:adjustRightInd w:val="0"/>
        <w:spacing w:beforeAutospacing="0" w:after="60" w:afterAutospacing="0" w:line="400" w:lineRule="exact"/>
        <w:ind w:firstLine="400" w:firstLineChars="200"/>
        <w:jc w:val="both"/>
        <w:rPr>
          <w:color w:val="000000"/>
          <w:kern w:val="2"/>
          <w:sz w:val="20"/>
          <w:szCs w:val="20"/>
        </w:rPr>
      </w:pPr>
      <w:r>
        <w:rPr>
          <w:rFonts w:hint="eastAsia" w:cs="宋体"/>
          <w:color w:val="000000"/>
          <w:kern w:val="2"/>
          <w:sz w:val="20"/>
          <w:szCs w:val="20"/>
          <w:lang w:bidi="ar"/>
        </w:rPr>
        <w:t>（</w:t>
      </w:r>
      <w:r>
        <w:rPr>
          <w:color w:val="000000"/>
          <w:kern w:val="2"/>
          <w:sz w:val="20"/>
          <w:szCs w:val="20"/>
          <w:lang w:bidi="ar"/>
        </w:rPr>
        <w:t>3</w:t>
      </w:r>
      <w:r>
        <w:rPr>
          <w:rFonts w:hint="eastAsia" w:cs="宋体"/>
          <w:color w:val="000000"/>
          <w:kern w:val="2"/>
          <w:sz w:val="20"/>
          <w:szCs w:val="20"/>
          <w:lang w:bidi="ar"/>
        </w:rPr>
        <w:t>）</w:t>
      </w:r>
      <w:r>
        <w:rPr>
          <w:rFonts w:hint="eastAsia" w:cs="宋体"/>
          <w:b/>
          <w:bCs/>
          <w:color w:val="000000"/>
          <w:kern w:val="2"/>
          <w:sz w:val="20"/>
          <w:szCs w:val="20"/>
          <w:lang w:bidi="ar"/>
        </w:rPr>
        <w:t>双流图表示学习与自适应融合框架：</w:t>
      </w:r>
      <w:r>
        <w:rPr>
          <w:rFonts w:hint="eastAsia" w:cs="宋体"/>
          <w:color w:val="000000"/>
          <w:kern w:val="2"/>
          <w:sz w:val="20"/>
          <w:szCs w:val="20"/>
          <w:lang w:bidi="ar"/>
        </w:rPr>
        <w:t>分别建模节点语义相似性与关系结构依赖，并通过可学习门控机制进行动态融合，以缓解语义与结构信息不平衡问题，提高模型在复杂与稀疏数据场景下的鲁棒性。</w:t>
      </w:r>
    </w:p>
    <w:p w14:paraId="1EE573E6">
      <w:pPr>
        <w:pStyle w:val="10"/>
        <w:adjustRightInd w:val="0"/>
        <w:spacing w:beforeAutospacing="0" w:after="60" w:afterAutospacing="0" w:line="400" w:lineRule="exact"/>
        <w:ind w:firstLine="400" w:firstLineChars="200"/>
        <w:jc w:val="both"/>
        <w:rPr>
          <w:color w:val="000000"/>
          <w:kern w:val="2"/>
          <w:sz w:val="20"/>
          <w:szCs w:val="20"/>
        </w:rPr>
      </w:pPr>
      <w:r>
        <w:rPr>
          <w:rFonts w:hint="eastAsia" w:cs="宋体"/>
          <w:color w:val="000000"/>
          <w:kern w:val="2"/>
          <w:sz w:val="20"/>
          <w:szCs w:val="20"/>
          <w:lang w:bidi="ar"/>
        </w:rPr>
        <w:t>（</w:t>
      </w:r>
      <w:r>
        <w:rPr>
          <w:color w:val="000000"/>
          <w:kern w:val="2"/>
          <w:sz w:val="20"/>
          <w:szCs w:val="20"/>
          <w:lang w:bidi="ar"/>
        </w:rPr>
        <w:t>4</w:t>
      </w:r>
      <w:r>
        <w:rPr>
          <w:rFonts w:hint="eastAsia" w:cs="宋体"/>
          <w:color w:val="000000"/>
          <w:kern w:val="2"/>
          <w:sz w:val="20"/>
          <w:szCs w:val="20"/>
          <w:lang w:bidi="ar"/>
        </w:rPr>
        <w:t>）</w:t>
      </w:r>
      <w:r>
        <w:rPr>
          <w:rFonts w:hint="eastAsia" w:cs="宋体"/>
          <w:b/>
          <w:bCs/>
          <w:color w:val="000000"/>
          <w:kern w:val="2"/>
          <w:sz w:val="20"/>
          <w:szCs w:val="20"/>
          <w:lang w:bidi="ar"/>
        </w:rPr>
        <w:t>统一</w:t>
      </w:r>
      <w:r>
        <w:rPr>
          <w:b/>
          <w:bCs/>
          <w:color w:val="000000"/>
          <w:kern w:val="2"/>
          <w:sz w:val="20"/>
          <w:szCs w:val="20"/>
          <w:lang w:bidi="ar"/>
        </w:rPr>
        <w:t>APT</w:t>
      </w:r>
      <w:r>
        <w:rPr>
          <w:rFonts w:hint="eastAsia" w:cs="宋体"/>
          <w:b/>
          <w:bCs/>
          <w:color w:val="000000"/>
          <w:kern w:val="2"/>
          <w:sz w:val="20"/>
          <w:szCs w:val="20"/>
          <w:lang w:bidi="ar"/>
        </w:rPr>
        <w:t>归因框架设计：</w:t>
      </w:r>
      <w:r>
        <w:rPr>
          <w:rFonts w:hint="eastAsia" w:cs="宋体"/>
          <w:color w:val="000000"/>
          <w:kern w:val="2"/>
          <w:sz w:val="20"/>
          <w:szCs w:val="20"/>
          <w:lang w:bidi="ar"/>
        </w:rPr>
        <w:t>构建从原始</w:t>
      </w:r>
      <w:r>
        <w:rPr>
          <w:color w:val="000000"/>
          <w:kern w:val="2"/>
          <w:sz w:val="20"/>
          <w:szCs w:val="20"/>
          <w:lang w:bidi="ar"/>
        </w:rPr>
        <w:t>CTI</w:t>
      </w:r>
      <w:r>
        <w:rPr>
          <w:rFonts w:hint="eastAsia" w:cs="宋体"/>
          <w:color w:val="000000"/>
          <w:kern w:val="2"/>
          <w:sz w:val="20"/>
          <w:szCs w:val="20"/>
          <w:lang w:bidi="ar"/>
        </w:rPr>
        <w:t>文本到</w:t>
      </w:r>
      <w:r>
        <w:rPr>
          <w:color w:val="000000"/>
          <w:kern w:val="2"/>
          <w:sz w:val="20"/>
          <w:szCs w:val="20"/>
          <w:lang w:bidi="ar"/>
        </w:rPr>
        <w:t>APT</w:t>
      </w:r>
      <w:r>
        <w:rPr>
          <w:rFonts w:hint="eastAsia" w:cs="宋体"/>
          <w:color w:val="000000"/>
          <w:kern w:val="2"/>
          <w:sz w:val="20"/>
          <w:szCs w:val="20"/>
          <w:lang w:bidi="ar"/>
        </w:rPr>
        <w:t>组织预测的端到端模型</w:t>
      </w:r>
      <w:r>
        <w:rPr>
          <w:color w:val="000000"/>
          <w:kern w:val="2"/>
          <w:sz w:val="20"/>
          <w:szCs w:val="20"/>
          <w:lang w:bidi="ar"/>
        </w:rPr>
        <w:t>APT-CTIA</w:t>
      </w:r>
      <w:r>
        <w:rPr>
          <w:rFonts w:hint="eastAsia" w:cs="宋体"/>
          <w:color w:val="000000"/>
          <w:kern w:val="2"/>
          <w:sz w:val="20"/>
          <w:szCs w:val="20"/>
          <w:lang w:bidi="ar"/>
        </w:rPr>
        <w:t>，实现多源异构信息的协同建模。实验结果表明，该方法在多种复杂威胁情报数据集上均取得了稳定且具有竞争力的性能。</w:t>
      </w:r>
    </w:p>
    <w:p w14:paraId="70659611">
      <w:pPr>
        <w:pStyle w:val="10"/>
        <w:adjustRightInd w:val="0"/>
        <w:spacing w:beforeAutospacing="0" w:after="60" w:afterAutospacing="0" w:line="400" w:lineRule="exact"/>
        <w:ind w:firstLine="400" w:firstLineChars="200"/>
        <w:jc w:val="both"/>
        <w:rPr>
          <w:color w:val="000000"/>
          <w:kern w:val="2"/>
          <w:sz w:val="20"/>
          <w:szCs w:val="20"/>
          <w:lang w:bidi="ar"/>
        </w:rPr>
      </w:pPr>
      <w:r>
        <w:rPr>
          <w:rFonts w:hint="eastAsia"/>
          <w:color w:val="000000"/>
          <w:kern w:val="2"/>
          <w:sz w:val="20"/>
          <w:szCs w:val="20"/>
          <w:lang w:bidi="ar"/>
        </w:rPr>
        <w:t>本文的剩余内容如下：第二章系统梳理了相关工作，包括基于传统深度学习的归因方法、基于图神经网络的异构建模，以及面向图表示学习深化的进阶方法。第三章详细阐述了本文提出的</w:t>
      </w:r>
      <w:r>
        <w:rPr>
          <w:color w:val="000000"/>
          <w:kern w:val="2"/>
          <w:sz w:val="20"/>
          <w:szCs w:val="20"/>
          <w:lang w:bidi="ar"/>
        </w:rPr>
        <w:t>APT-CTIA</w:t>
      </w:r>
      <w:r>
        <w:rPr>
          <w:rFonts w:hint="eastAsia"/>
          <w:color w:val="000000"/>
          <w:kern w:val="2"/>
          <w:sz w:val="20"/>
          <w:szCs w:val="20"/>
          <w:lang w:bidi="ar"/>
        </w:rPr>
        <w:t>模型。第四章介绍了实验配置与设计。第五章给出了详实的实验结果并展开分析，同时讨论了当前研究面临的有效性威胁。第六章总结了本文的主要贡献，并展望了未来的研究方向。</w:t>
      </w:r>
    </w:p>
    <w:p w14:paraId="400F6367">
      <w:pPr>
        <w:pStyle w:val="2"/>
        <w:keepNext/>
        <w:spacing w:before="360" w:after="120"/>
        <w:jc w:val="both"/>
        <w:rPr>
          <w:sz w:val="24"/>
          <w:szCs w:val="24"/>
        </w:rPr>
      </w:pPr>
      <w:r>
        <w:rPr>
          <w:sz w:val="24"/>
          <w:szCs w:val="24"/>
        </w:rPr>
        <w:t>2.</w:t>
      </w:r>
      <w:r>
        <w:rPr>
          <w:rFonts w:hint="eastAsia"/>
          <w:sz w:val="24"/>
          <w:szCs w:val="24"/>
        </w:rPr>
        <w:t xml:space="preserve"> 相关工作</w:t>
      </w:r>
    </w:p>
    <w:p w14:paraId="14BE3CD9">
      <w:pPr>
        <w:pStyle w:val="10"/>
        <w:adjustRightInd w:val="0"/>
        <w:spacing w:beforeAutospacing="0" w:after="60" w:afterAutospacing="0" w:line="400" w:lineRule="exact"/>
        <w:ind w:firstLine="400" w:firstLineChars="200"/>
        <w:jc w:val="both"/>
        <w:rPr>
          <w:color w:val="000000"/>
          <w:kern w:val="2"/>
          <w:sz w:val="21"/>
          <w:szCs w:val="21"/>
        </w:rPr>
      </w:pPr>
      <w:r>
        <w:rPr>
          <w:rFonts w:hint="eastAsia" w:cs="宋体"/>
          <w:color w:val="000000"/>
          <w:kern w:val="2"/>
          <w:sz w:val="20"/>
          <w:szCs w:val="20"/>
          <w:lang w:bidi="ar"/>
        </w:rPr>
        <w:t>本节主要回顾与</w:t>
      </w:r>
      <w:r>
        <w:rPr>
          <w:color w:val="000000"/>
          <w:kern w:val="2"/>
          <w:sz w:val="20"/>
          <w:szCs w:val="20"/>
          <w:lang w:bidi="ar"/>
        </w:rPr>
        <w:t>APT</w:t>
      </w:r>
      <w:r>
        <w:rPr>
          <w:rFonts w:hint="eastAsia" w:cs="宋体"/>
          <w:color w:val="000000"/>
          <w:kern w:val="2"/>
          <w:sz w:val="20"/>
          <w:szCs w:val="20"/>
          <w:lang w:bidi="ar"/>
        </w:rPr>
        <w:t>归因密切相关的三类研究工作：基于传统深度学习的归因方法、基于图神经网络的异构建模，以及面向图表示学习深化的进阶方法。在此基础上，将本文提出的</w:t>
      </w:r>
      <w:r>
        <w:rPr>
          <w:color w:val="000000"/>
          <w:kern w:val="2"/>
          <w:sz w:val="20"/>
          <w:szCs w:val="20"/>
          <w:lang w:bidi="ar"/>
        </w:rPr>
        <w:t>APT-CTIA</w:t>
      </w:r>
      <w:r>
        <w:rPr>
          <w:rFonts w:hint="eastAsia" w:cs="宋体"/>
          <w:color w:val="000000"/>
          <w:kern w:val="2"/>
          <w:sz w:val="20"/>
          <w:szCs w:val="20"/>
          <w:lang w:bidi="ar"/>
        </w:rPr>
        <w:t>模型与现有代表性工作进行系统比较。</w:t>
      </w:r>
    </w:p>
    <w:p w14:paraId="7E0036E5">
      <w:pPr>
        <w:pStyle w:val="3"/>
        <w:keepNext/>
        <w:widowControl/>
        <w:spacing w:before="360" w:after="120" w:afterLines="0"/>
        <w:jc w:val="both"/>
        <w:rPr>
          <w:sz w:val="24"/>
          <w:szCs w:val="24"/>
        </w:rPr>
      </w:pPr>
      <w:r>
        <w:rPr>
          <w:sz w:val="24"/>
          <w:szCs w:val="24"/>
        </w:rPr>
        <w:t xml:space="preserve">2.1 </w:t>
      </w:r>
      <w:r>
        <w:rPr>
          <w:rFonts w:hint="eastAsia" w:cs="宋体"/>
          <w:sz w:val="24"/>
          <w:szCs w:val="24"/>
        </w:rPr>
        <w:t>基于传统深度学习的</w:t>
      </w:r>
      <w:r>
        <w:rPr>
          <w:sz w:val="24"/>
          <w:szCs w:val="24"/>
        </w:rPr>
        <w:t>APT</w:t>
      </w:r>
      <w:r>
        <w:rPr>
          <w:rFonts w:hint="eastAsia" w:cs="宋体"/>
          <w:sz w:val="24"/>
          <w:szCs w:val="24"/>
        </w:rPr>
        <w:t>归因方法</w:t>
      </w:r>
    </w:p>
    <w:p w14:paraId="41B91C57">
      <w:pPr>
        <w:pStyle w:val="10"/>
        <w:adjustRightInd w:val="0"/>
        <w:spacing w:beforeAutospacing="0" w:after="60" w:afterAutospacing="0" w:line="400" w:lineRule="exact"/>
        <w:ind w:firstLine="400" w:firstLineChars="200"/>
        <w:jc w:val="both"/>
        <w:rPr>
          <w:color w:val="000000"/>
          <w:kern w:val="2"/>
          <w:sz w:val="20"/>
          <w:szCs w:val="20"/>
        </w:rPr>
      </w:pPr>
      <w:r>
        <w:rPr>
          <w:rFonts w:hint="eastAsia" w:cs="宋体"/>
          <w:color w:val="000000"/>
          <w:kern w:val="2"/>
          <w:sz w:val="20"/>
          <w:szCs w:val="20"/>
          <w:lang w:bidi="ar"/>
        </w:rPr>
        <w:t>早期</w:t>
      </w:r>
      <w:r>
        <w:rPr>
          <w:color w:val="000000"/>
          <w:kern w:val="2"/>
          <w:sz w:val="20"/>
          <w:szCs w:val="20"/>
          <w:lang w:bidi="ar"/>
        </w:rPr>
        <w:t>APT</w:t>
      </w:r>
      <w:r>
        <w:rPr>
          <w:rFonts w:hint="eastAsia" w:cs="宋体"/>
          <w:color w:val="000000"/>
          <w:kern w:val="2"/>
          <w:sz w:val="20"/>
          <w:szCs w:val="20"/>
          <w:lang w:bidi="ar"/>
        </w:rPr>
        <w:t>归因研究主要沿着“文本理解—特征提取—分类预测”的路径展开，核心思路是从</w:t>
      </w:r>
      <w:r>
        <w:rPr>
          <w:color w:val="000000"/>
          <w:kern w:val="2"/>
          <w:sz w:val="20"/>
          <w:szCs w:val="20"/>
          <w:lang w:bidi="ar"/>
        </w:rPr>
        <w:t>CTI</w:t>
      </w:r>
      <w:r>
        <w:rPr>
          <w:rFonts w:hint="eastAsia" w:cs="宋体"/>
          <w:color w:val="000000"/>
          <w:kern w:val="2"/>
          <w:sz w:val="20"/>
          <w:szCs w:val="20"/>
          <w:lang w:bidi="ar"/>
        </w:rPr>
        <w:t>报告中抽取攻击相关信息，并通过深度学习模型完成归因推断。这类方法在工程实现上相对直接，对结构化建模依赖较低，因此在早期阶段具有一定实用价值。</w:t>
      </w:r>
    </w:p>
    <w:p w14:paraId="5E7143FA">
      <w:pPr>
        <w:pStyle w:val="10"/>
        <w:adjustRightInd w:val="0"/>
        <w:spacing w:beforeAutospacing="0" w:after="60" w:afterAutospacing="0" w:line="400" w:lineRule="exact"/>
        <w:ind w:firstLine="400" w:firstLineChars="200"/>
        <w:jc w:val="both"/>
        <w:rPr>
          <w:color w:val="000000"/>
          <w:kern w:val="2"/>
          <w:sz w:val="20"/>
          <w:szCs w:val="20"/>
        </w:rPr>
      </w:pPr>
      <w:r>
        <w:rPr>
          <w:rFonts w:hint="eastAsia" w:cs="宋体"/>
          <w:color w:val="000000"/>
          <w:kern w:val="2"/>
          <w:sz w:val="20"/>
          <w:szCs w:val="20"/>
          <w:lang w:bidi="ar"/>
        </w:rPr>
        <w:t>不过，随着</w:t>
      </w:r>
      <w:r>
        <w:rPr>
          <w:color w:val="000000"/>
          <w:kern w:val="2"/>
          <w:sz w:val="20"/>
          <w:szCs w:val="20"/>
          <w:lang w:bidi="ar"/>
        </w:rPr>
        <w:t>CTI</w:t>
      </w:r>
      <w:r>
        <w:rPr>
          <w:rFonts w:hint="eastAsia" w:cs="宋体"/>
          <w:color w:val="000000"/>
          <w:kern w:val="2"/>
          <w:sz w:val="20"/>
          <w:szCs w:val="20"/>
          <w:lang w:bidi="ar"/>
        </w:rPr>
        <w:t>数据规模和复杂度的提升，其局限也逐渐显现：一方面，文本往往被切分为局部片段进行建模，整体语义被割裂；另一方面，攻击行为之间的结构关系被隐式忽略，导致模型难以捕捉跨阶段的攻击模式。在这样的背景下，现有工作大体可以分为“实体识别”和“归因推断”两个子方向。</w:t>
      </w:r>
    </w:p>
    <w:p w14:paraId="1B45040E">
      <w:pPr>
        <w:pStyle w:val="4"/>
        <w:keepNext/>
        <w:widowControl/>
        <w:spacing w:before="360" w:beforeLines="0" w:after="120" w:afterLines="0"/>
        <w:jc w:val="both"/>
        <w:rPr>
          <w:sz w:val="21"/>
          <w:szCs w:val="21"/>
        </w:rPr>
      </w:pPr>
      <w:r>
        <w:rPr>
          <w:sz w:val="21"/>
          <w:szCs w:val="21"/>
        </w:rPr>
        <w:t xml:space="preserve">2.1.1 </w:t>
      </w:r>
      <w:r>
        <w:rPr>
          <w:rFonts w:hint="eastAsia" w:cs="宋体"/>
          <w:sz w:val="21"/>
          <w:szCs w:val="21"/>
        </w:rPr>
        <w:t>基于序列标注的实体识别方法</w:t>
      </w:r>
    </w:p>
    <w:p w14:paraId="46D40999">
      <w:pPr>
        <w:pStyle w:val="10"/>
        <w:adjustRightInd w:val="0"/>
        <w:spacing w:beforeAutospacing="0" w:after="60" w:afterAutospacing="0" w:line="400" w:lineRule="exact"/>
        <w:ind w:firstLine="400" w:firstLineChars="200"/>
        <w:jc w:val="both"/>
        <w:rPr>
          <w:color w:val="000000"/>
          <w:kern w:val="2"/>
          <w:sz w:val="20"/>
          <w:szCs w:val="20"/>
        </w:rPr>
      </w:pPr>
      <w:r>
        <w:rPr>
          <w:rFonts w:hint="eastAsia" w:cs="宋体"/>
          <w:color w:val="000000"/>
          <w:kern w:val="2"/>
          <w:sz w:val="20"/>
          <w:szCs w:val="20"/>
          <w:lang w:bidi="ar"/>
        </w:rPr>
        <w:t>从</w:t>
      </w:r>
      <w:r>
        <w:rPr>
          <w:color w:val="000000"/>
          <w:kern w:val="2"/>
          <w:sz w:val="20"/>
          <w:szCs w:val="20"/>
          <w:lang w:bidi="ar"/>
        </w:rPr>
        <w:t>CTI</w:t>
      </w:r>
      <w:r>
        <w:rPr>
          <w:rFonts w:hint="eastAsia" w:cs="宋体"/>
          <w:color w:val="000000"/>
          <w:kern w:val="2"/>
          <w:sz w:val="20"/>
          <w:szCs w:val="20"/>
          <w:lang w:bidi="ar"/>
        </w:rPr>
        <w:t>报告中准确识别攻击实体，是</w:t>
      </w:r>
      <w:r>
        <w:rPr>
          <w:color w:val="000000"/>
          <w:kern w:val="2"/>
          <w:sz w:val="20"/>
          <w:szCs w:val="20"/>
          <w:lang w:bidi="ar"/>
        </w:rPr>
        <w:t>APT</w:t>
      </w:r>
      <w:r>
        <w:rPr>
          <w:rFonts w:hint="eastAsia" w:cs="宋体"/>
          <w:color w:val="000000"/>
          <w:kern w:val="2"/>
          <w:sz w:val="20"/>
          <w:szCs w:val="20"/>
          <w:lang w:bidi="ar"/>
        </w:rPr>
        <w:t>归因流程的起始环节，也是后续所有建模步骤的质量基础。早期工作多借助规则驱动或本体约束完成这一任务。</w:t>
      </w:r>
      <w:r>
        <w:rPr>
          <w:color w:val="000000"/>
          <w:kern w:val="2"/>
          <w:sz w:val="20"/>
          <w:szCs w:val="20"/>
          <w:lang w:bidi="ar"/>
        </w:rPr>
        <w:t>Husari</w:t>
      </w:r>
      <w:r>
        <w:rPr>
          <w:rFonts w:hint="eastAsia" w:cs="宋体"/>
          <w:color w:val="000000"/>
          <w:kern w:val="2"/>
          <w:sz w:val="20"/>
          <w:szCs w:val="20"/>
          <w:lang w:bidi="ar"/>
        </w:rPr>
        <w:t>等人</w:t>
      </w:r>
      <w:r>
        <w:rPr>
          <w:color w:val="000000"/>
          <w:kern w:val="2"/>
          <w:sz w:val="20"/>
          <w:szCs w:val="20"/>
          <w:lang w:bidi="ar"/>
        </w:rPr>
        <w:t>[15]</w:t>
      </w:r>
      <w:r>
        <w:rPr>
          <w:rFonts w:hint="eastAsia" w:cs="宋体"/>
          <w:color w:val="000000"/>
          <w:kern w:val="2"/>
          <w:sz w:val="20"/>
          <w:szCs w:val="20"/>
          <w:lang w:bidi="ar"/>
        </w:rPr>
        <w:t>提出</w:t>
      </w:r>
      <w:r>
        <w:rPr>
          <w:color w:val="000000"/>
          <w:kern w:val="2"/>
          <w:sz w:val="20"/>
          <w:szCs w:val="20"/>
          <w:lang w:bidi="ar"/>
        </w:rPr>
        <w:t>TTPDrill</w:t>
      </w:r>
      <w:r>
        <w:rPr>
          <w:rFonts w:hint="eastAsia" w:cs="宋体"/>
          <w:color w:val="000000"/>
          <w:kern w:val="2"/>
          <w:sz w:val="20"/>
          <w:szCs w:val="20"/>
          <w:lang w:bidi="ar"/>
        </w:rPr>
        <w:t>，通过预定义的本体结构将非结构化文本中的动作</w:t>
      </w:r>
      <w:r>
        <w:rPr>
          <w:color w:val="000000"/>
          <w:kern w:val="2"/>
          <w:sz w:val="20"/>
          <w:szCs w:val="20"/>
          <w:lang w:bidi="ar"/>
        </w:rPr>
        <w:t>-</w:t>
      </w:r>
      <w:r>
        <w:rPr>
          <w:rFonts w:hint="eastAsia" w:cs="宋体"/>
          <w:color w:val="000000"/>
          <w:kern w:val="2"/>
          <w:sz w:val="20"/>
          <w:szCs w:val="20"/>
          <w:lang w:bidi="ar"/>
        </w:rPr>
        <w:t>实体对映射至</w:t>
      </w:r>
      <w:r>
        <w:rPr>
          <w:color w:val="000000"/>
          <w:kern w:val="2"/>
          <w:sz w:val="20"/>
          <w:szCs w:val="20"/>
          <w:lang w:bidi="ar"/>
        </w:rPr>
        <w:t>ATT&amp;CK</w:t>
      </w:r>
      <w:r>
        <w:rPr>
          <w:rFonts w:hint="eastAsia" w:cs="宋体"/>
          <w:color w:val="000000"/>
          <w:kern w:val="2"/>
          <w:sz w:val="20"/>
          <w:szCs w:val="20"/>
          <w:lang w:bidi="ar"/>
        </w:rPr>
        <w:t>框架，是较早实现</w:t>
      </w:r>
      <w:r>
        <w:rPr>
          <w:color w:val="000000"/>
          <w:kern w:val="2"/>
          <w:sz w:val="20"/>
          <w:szCs w:val="20"/>
          <w:lang w:bidi="ar"/>
        </w:rPr>
        <w:t>CTI</w:t>
      </w:r>
      <w:r>
        <w:rPr>
          <w:rFonts w:hint="eastAsia" w:cs="宋体"/>
          <w:color w:val="000000"/>
          <w:kern w:val="2"/>
          <w:sz w:val="20"/>
          <w:szCs w:val="20"/>
          <w:lang w:bidi="ar"/>
        </w:rPr>
        <w:t>实体自动化提取的代表性系统；不过这类方法对人工构建本体的依赖度较高，面对新型攻击实体时的适应能力相当有限</w:t>
      </w:r>
      <w:r>
        <w:rPr>
          <w:color w:val="000000"/>
          <w:kern w:val="2"/>
          <w:sz w:val="20"/>
          <w:szCs w:val="20"/>
          <w:lang w:bidi="ar"/>
        </w:rPr>
        <w:t>[4,5]</w:t>
      </w:r>
      <w:r>
        <w:rPr>
          <w:rFonts w:hint="eastAsia" w:cs="宋体"/>
          <w:color w:val="000000"/>
          <w:kern w:val="2"/>
          <w:sz w:val="20"/>
          <w:szCs w:val="20"/>
          <w:lang w:bidi="ar"/>
        </w:rPr>
        <w:t>。随着预训练语言模型的普及，基于序列标注的实体识别能力得到了明显提升。</w:t>
      </w:r>
      <w:r>
        <w:rPr>
          <w:color w:val="000000"/>
          <w:kern w:val="2"/>
          <w:sz w:val="20"/>
          <w:szCs w:val="20"/>
          <w:lang w:bidi="ar"/>
        </w:rPr>
        <w:t>He</w:t>
      </w:r>
      <w:r>
        <w:rPr>
          <w:rFonts w:hint="eastAsia" w:cs="宋体"/>
          <w:color w:val="000000"/>
          <w:kern w:val="2"/>
          <w:sz w:val="20"/>
          <w:szCs w:val="20"/>
          <w:lang w:bidi="ar"/>
        </w:rPr>
        <w:t>等人</w:t>
      </w:r>
      <w:r>
        <w:rPr>
          <w:color w:val="000000"/>
          <w:kern w:val="2"/>
          <w:sz w:val="20"/>
          <w:szCs w:val="20"/>
          <w:lang w:bidi="ar"/>
        </w:rPr>
        <w:t>[10]</w:t>
      </w:r>
      <w:r>
        <w:rPr>
          <w:rFonts w:hint="eastAsia" w:cs="宋体"/>
          <w:color w:val="000000"/>
          <w:kern w:val="2"/>
          <w:sz w:val="20"/>
          <w:szCs w:val="20"/>
          <w:lang w:bidi="ar"/>
        </w:rPr>
        <w:t>设计了一种语法感知图网络，将对比学习引入</w:t>
      </w:r>
      <w:r>
        <w:rPr>
          <w:color w:val="000000"/>
          <w:kern w:val="2"/>
          <w:sz w:val="20"/>
          <w:szCs w:val="20"/>
          <w:lang w:bidi="ar"/>
        </w:rPr>
        <w:t>CTI</w:t>
      </w:r>
      <w:r>
        <w:rPr>
          <w:rFonts w:hint="eastAsia" w:cs="宋体"/>
          <w:color w:val="000000"/>
          <w:kern w:val="2"/>
          <w:sz w:val="20"/>
          <w:szCs w:val="20"/>
          <w:lang w:bidi="ar"/>
        </w:rPr>
        <w:t>三元组抽取，在句法约束下有效改善了实体边界的识别精度。</w:t>
      </w:r>
      <w:r>
        <w:rPr>
          <w:color w:val="000000"/>
          <w:kern w:val="2"/>
          <w:sz w:val="20"/>
          <w:szCs w:val="20"/>
          <w:lang w:bidi="ar"/>
        </w:rPr>
        <w:t>Cai</w:t>
      </w:r>
      <w:r>
        <w:rPr>
          <w:rFonts w:hint="eastAsia" w:cs="宋体"/>
          <w:color w:val="000000"/>
          <w:kern w:val="2"/>
          <w:sz w:val="20"/>
          <w:szCs w:val="20"/>
          <w:lang w:bidi="ar"/>
        </w:rPr>
        <w:t>等人</w:t>
      </w:r>
      <w:r>
        <w:rPr>
          <w:color w:val="000000"/>
          <w:kern w:val="2"/>
          <w:sz w:val="20"/>
          <w:szCs w:val="20"/>
          <w:lang w:bidi="ar"/>
        </w:rPr>
        <w:t>[8]</w:t>
      </w:r>
      <w:r>
        <w:rPr>
          <w:rFonts w:hint="eastAsia" w:cs="宋体"/>
          <w:color w:val="000000"/>
          <w:kern w:val="2"/>
          <w:sz w:val="20"/>
          <w:szCs w:val="20"/>
          <w:lang w:bidi="ar"/>
        </w:rPr>
        <w:t>构建了面向安全增强概要的知识提取框架，引入多级实体识别机制，尝试在结构化指标（如</w:t>
      </w:r>
      <w:r>
        <w:rPr>
          <w:color w:val="000000"/>
          <w:kern w:val="2"/>
          <w:sz w:val="20"/>
          <w:szCs w:val="20"/>
          <w:lang w:bidi="ar"/>
        </w:rPr>
        <w:t>IP</w:t>
      </w:r>
      <w:r>
        <w:rPr>
          <w:rFonts w:hint="eastAsia" w:cs="宋体"/>
          <w:color w:val="000000"/>
          <w:kern w:val="2"/>
          <w:sz w:val="20"/>
          <w:szCs w:val="20"/>
          <w:lang w:bidi="ar"/>
        </w:rPr>
        <w:t>地址、文件哈希）与非结构化描述（如恶意软件别名）之间建立统一的表示通路。</w:t>
      </w:r>
      <w:r>
        <w:rPr>
          <w:color w:val="000000"/>
          <w:kern w:val="2"/>
          <w:sz w:val="20"/>
          <w:szCs w:val="20"/>
          <w:lang w:bidi="ar"/>
        </w:rPr>
        <w:t>Jumani</w:t>
      </w:r>
      <w:r>
        <w:rPr>
          <w:rFonts w:hint="eastAsia" w:cs="宋体"/>
          <w:color w:val="000000"/>
          <w:kern w:val="2"/>
          <w:sz w:val="20"/>
          <w:szCs w:val="20"/>
          <w:lang w:bidi="ar"/>
        </w:rPr>
        <w:t>等人</w:t>
      </w:r>
      <w:r>
        <w:rPr>
          <w:color w:val="000000"/>
          <w:kern w:val="2"/>
          <w:sz w:val="20"/>
          <w:szCs w:val="20"/>
          <w:lang w:bidi="ar"/>
        </w:rPr>
        <w:t>[7]</w:t>
      </w:r>
      <w:r>
        <w:rPr>
          <w:rFonts w:hint="eastAsia" w:cs="宋体"/>
          <w:color w:val="000000"/>
          <w:kern w:val="2"/>
          <w:sz w:val="20"/>
          <w:szCs w:val="20"/>
          <w:lang w:bidi="ar"/>
        </w:rPr>
        <w:t>对</w:t>
      </w:r>
      <w:r>
        <w:rPr>
          <w:color w:val="000000"/>
          <w:kern w:val="2"/>
          <w:sz w:val="20"/>
          <w:szCs w:val="20"/>
          <w:lang w:bidi="ar"/>
        </w:rPr>
        <w:t>CTI</w:t>
      </w:r>
      <w:r>
        <w:rPr>
          <w:rFonts w:hint="eastAsia" w:cs="宋体"/>
          <w:color w:val="000000"/>
          <w:kern w:val="2"/>
          <w:sz w:val="20"/>
          <w:szCs w:val="20"/>
          <w:lang w:bidi="ar"/>
        </w:rPr>
        <w:t>自动化提取的</w:t>
      </w:r>
      <w:r>
        <w:rPr>
          <w:color w:val="000000"/>
          <w:kern w:val="2"/>
          <w:sz w:val="20"/>
          <w:szCs w:val="20"/>
          <w:lang w:bidi="ar"/>
        </w:rPr>
        <w:t>NLP</w:t>
      </w:r>
      <w:r>
        <w:rPr>
          <w:rFonts w:hint="eastAsia" w:cs="宋体"/>
          <w:color w:val="000000"/>
          <w:kern w:val="2"/>
          <w:sz w:val="20"/>
          <w:szCs w:val="20"/>
          <w:lang w:bidi="ar"/>
        </w:rPr>
        <w:t>技术路径进行了系统梳理，明确指出命名实体识别与关系抽取对情报处理自动化的核心地位。近期，大语言模型的引入进一步拓展了这一方向的能力边界。</w:t>
      </w:r>
      <w:r>
        <w:rPr>
          <w:color w:val="000000"/>
          <w:kern w:val="2"/>
          <w:sz w:val="20"/>
          <w:szCs w:val="20"/>
          <w:lang w:bidi="ar"/>
        </w:rPr>
        <w:t>Yang</w:t>
      </w:r>
      <w:r>
        <w:rPr>
          <w:rFonts w:hint="eastAsia" w:cs="宋体"/>
          <w:color w:val="000000"/>
          <w:kern w:val="2"/>
          <w:sz w:val="20"/>
          <w:szCs w:val="20"/>
          <w:lang w:bidi="ar"/>
        </w:rPr>
        <w:t>等人</w:t>
      </w:r>
      <w:r>
        <w:rPr>
          <w:color w:val="000000"/>
          <w:kern w:val="2"/>
          <w:sz w:val="20"/>
          <w:szCs w:val="20"/>
          <w:lang w:bidi="ar"/>
        </w:rPr>
        <w:t>[5]</w:t>
      </w:r>
      <w:r>
        <w:rPr>
          <w:rFonts w:hint="eastAsia" w:cs="宋体"/>
          <w:color w:val="000000"/>
          <w:kern w:val="2"/>
          <w:sz w:val="20"/>
          <w:szCs w:val="20"/>
          <w:lang w:bidi="ar"/>
        </w:rPr>
        <w:t>提出</w:t>
      </w:r>
      <w:r>
        <w:rPr>
          <w:color w:val="000000"/>
          <w:kern w:val="2"/>
          <w:sz w:val="20"/>
          <w:szCs w:val="20"/>
          <w:lang w:bidi="ar"/>
        </w:rPr>
        <w:t>CTI-Thinker</w:t>
      </w:r>
      <w:r>
        <w:rPr>
          <w:rFonts w:hint="eastAsia" w:cs="宋体"/>
          <w:color w:val="000000"/>
          <w:kern w:val="2"/>
          <w:sz w:val="20"/>
          <w:szCs w:val="20"/>
          <w:lang w:bidi="ar"/>
        </w:rPr>
        <w:t>，以</w:t>
      </w:r>
      <w:r>
        <w:rPr>
          <w:color w:val="000000"/>
          <w:kern w:val="2"/>
          <w:sz w:val="20"/>
          <w:szCs w:val="20"/>
          <w:lang w:bidi="ar"/>
        </w:rPr>
        <w:t>LLM</w:t>
      </w:r>
      <w:r>
        <w:rPr>
          <w:rFonts w:hint="eastAsia" w:cs="宋体"/>
          <w:color w:val="000000"/>
          <w:kern w:val="2"/>
          <w:sz w:val="20"/>
          <w:szCs w:val="20"/>
          <w:lang w:bidi="ar"/>
        </w:rPr>
        <w:t>驱动的方式实现知识图谱自动构建与攻击推理，在实体提取的自动化程度和语义理解深度上均有显著推进。</w:t>
      </w:r>
      <w:r>
        <w:rPr>
          <w:rFonts w:hint="eastAsia"/>
          <w:color w:val="000000"/>
          <w:kern w:val="2"/>
          <w:sz w:val="20"/>
          <w:szCs w:val="20"/>
          <w:lang w:bidi="ar"/>
        </w:rPr>
        <w:t xml:space="preserve"> </w:t>
      </w:r>
    </w:p>
    <w:p w14:paraId="6FF07A29">
      <w:pPr>
        <w:pStyle w:val="10"/>
        <w:adjustRightInd w:val="0"/>
        <w:spacing w:beforeAutospacing="0" w:after="60" w:afterAutospacing="0" w:line="400" w:lineRule="exact"/>
        <w:ind w:firstLine="400" w:firstLineChars="200"/>
        <w:jc w:val="both"/>
        <w:rPr>
          <w:color w:val="000000"/>
          <w:kern w:val="2"/>
          <w:sz w:val="20"/>
          <w:szCs w:val="20"/>
        </w:rPr>
      </w:pPr>
      <w:r>
        <w:rPr>
          <w:rFonts w:hint="eastAsia" w:cs="宋体"/>
          <w:color w:val="000000"/>
          <w:kern w:val="2"/>
          <w:sz w:val="20"/>
          <w:szCs w:val="20"/>
          <w:lang w:bidi="ar"/>
        </w:rPr>
        <w:t>值得注意的是，上述序列标注方法通常以独立句子或短文本窗口为基本处理单元，缺乏对</w:t>
      </w:r>
      <w:r>
        <w:rPr>
          <w:color w:val="000000"/>
          <w:kern w:val="2"/>
          <w:sz w:val="20"/>
          <w:szCs w:val="20"/>
          <w:lang w:bidi="ar"/>
        </w:rPr>
        <w:t>CTI</w:t>
      </w:r>
      <w:r>
        <w:rPr>
          <w:rFonts w:hint="eastAsia" w:cs="宋体"/>
          <w:color w:val="000000"/>
          <w:kern w:val="2"/>
          <w:sz w:val="20"/>
          <w:szCs w:val="20"/>
          <w:lang w:bidi="ar"/>
        </w:rPr>
        <w:t>文档整体语义结构的全局感知。</w:t>
      </w:r>
      <w:r>
        <w:rPr>
          <w:color w:val="000000"/>
          <w:kern w:val="2"/>
          <w:sz w:val="20"/>
          <w:szCs w:val="20"/>
          <w:lang w:bidi="ar"/>
        </w:rPr>
        <w:t>PDF</w:t>
      </w:r>
      <w:r>
        <w:rPr>
          <w:rFonts w:hint="eastAsia" w:cs="宋体"/>
          <w:color w:val="000000"/>
          <w:kern w:val="2"/>
          <w:sz w:val="20"/>
          <w:szCs w:val="20"/>
          <w:lang w:bidi="ar"/>
        </w:rPr>
        <w:t>格式报告中的多栏布局、页眉页脚噪声以及编码不一致等解析干扰，容易造成文本边界断裂，破坏实体上下文的完整性</w:t>
      </w:r>
      <w:r>
        <w:rPr>
          <w:color w:val="000000"/>
          <w:kern w:val="2"/>
          <w:sz w:val="20"/>
          <w:szCs w:val="20"/>
          <w:lang w:bidi="ar"/>
        </w:rPr>
        <w:t>[6,7]</w:t>
      </w:r>
      <w:r>
        <w:rPr>
          <w:rFonts w:hint="eastAsia" w:cs="宋体"/>
          <w:color w:val="000000"/>
          <w:kern w:val="2"/>
          <w:sz w:val="20"/>
          <w:szCs w:val="20"/>
          <w:lang w:bidi="ar"/>
        </w:rPr>
        <w:t>。更为棘手的是，同一攻击工具在不同报告中往往以多种别名形式出现，若缺乏规范化与去重处理，将在图构建阶段引入大量冗余节点，直接稀释后续的归因信号。</w:t>
      </w:r>
    </w:p>
    <w:p w14:paraId="07868230">
      <w:pPr>
        <w:pStyle w:val="4"/>
        <w:keepNext/>
        <w:widowControl/>
        <w:spacing w:before="360" w:beforeLines="0" w:after="120" w:afterLines="0"/>
        <w:jc w:val="both"/>
        <w:rPr>
          <w:sz w:val="21"/>
          <w:szCs w:val="21"/>
        </w:rPr>
      </w:pPr>
      <w:r>
        <w:rPr>
          <w:sz w:val="21"/>
          <w:szCs w:val="21"/>
        </w:rPr>
        <w:t xml:space="preserve">2.1.2 </w:t>
      </w:r>
      <w:r>
        <w:rPr>
          <w:rFonts w:hint="eastAsia" w:cs="宋体"/>
          <w:sz w:val="21"/>
          <w:szCs w:val="21"/>
        </w:rPr>
        <w:t>基于文本分类的归因推断方法</w:t>
      </w:r>
    </w:p>
    <w:p w14:paraId="689473CD">
      <w:pPr>
        <w:pStyle w:val="10"/>
        <w:adjustRightInd w:val="0"/>
        <w:spacing w:beforeAutospacing="0" w:after="60" w:afterAutospacing="0" w:line="400" w:lineRule="exact"/>
        <w:ind w:firstLine="400" w:firstLineChars="200"/>
        <w:jc w:val="both"/>
        <w:rPr>
          <w:color w:val="000000"/>
          <w:kern w:val="2"/>
          <w:sz w:val="20"/>
          <w:szCs w:val="20"/>
        </w:rPr>
      </w:pPr>
      <w:r>
        <w:rPr>
          <w:rFonts w:hint="eastAsia" w:cs="宋体"/>
          <w:color w:val="000000"/>
          <w:kern w:val="2"/>
          <w:sz w:val="20"/>
          <w:szCs w:val="20"/>
          <w:lang w:bidi="ar"/>
        </w:rPr>
        <w:t>在实体提取的基础上，如何将</w:t>
      </w:r>
      <w:r>
        <w:rPr>
          <w:color w:val="000000"/>
          <w:kern w:val="2"/>
          <w:sz w:val="20"/>
          <w:szCs w:val="20"/>
          <w:lang w:bidi="ar"/>
        </w:rPr>
        <w:t>CTI</w:t>
      </w:r>
      <w:r>
        <w:rPr>
          <w:rFonts w:hint="eastAsia" w:cs="宋体"/>
          <w:color w:val="000000"/>
          <w:kern w:val="2"/>
          <w:sz w:val="20"/>
          <w:szCs w:val="20"/>
          <w:lang w:bidi="ar"/>
        </w:rPr>
        <w:t>文本有效映射至具体</w:t>
      </w:r>
      <w:r>
        <w:rPr>
          <w:color w:val="000000"/>
          <w:kern w:val="2"/>
          <w:sz w:val="20"/>
          <w:szCs w:val="20"/>
          <w:lang w:bidi="ar"/>
        </w:rPr>
        <w:t>APT</w:t>
      </w:r>
      <w:r>
        <w:rPr>
          <w:rFonts w:hint="eastAsia" w:cs="宋体"/>
          <w:color w:val="000000"/>
          <w:kern w:val="2"/>
          <w:sz w:val="20"/>
          <w:szCs w:val="20"/>
          <w:lang w:bidi="ar"/>
        </w:rPr>
        <w:t>组织标签，是归因任务的核心问题。</w:t>
      </w:r>
      <w:r>
        <w:rPr>
          <w:color w:val="000000"/>
          <w:kern w:val="2"/>
          <w:sz w:val="20"/>
          <w:szCs w:val="20"/>
          <w:lang w:bidi="ar"/>
        </w:rPr>
        <w:t>Perry</w:t>
      </w:r>
      <w:r>
        <w:rPr>
          <w:rFonts w:hint="eastAsia" w:cs="宋体"/>
          <w:color w:val="000000"/>
          <w:kern w:val="2"/>
          <w:sz w:val="20"/>
          <w:szCs w:val="20"/>
          <w:lang w:bidi="ar"/>
        </w:rPr>
        <w:t>等人</w:t>
      </w:r>
      <w:r>
        <w:rPr>
          <w:color w:val="000000"/>
          <w:kern w:val="2"/>
          <w:sz w:val="20"/>
          <w:szCs w:val="20"/>
          <w:lang w:bidi="ar"/>
        </w:rPr>
        <w:t>[16]</w:t>
      </w:r>
      <w:r>
        <w:rPr>
          <w:rFonts w:hint="eastAsia" w:cs="宋体"/>
          <w:color w:val="000000"/>
          <w:kern w:val="2"/>
          <w:sz w:val="20"/>
          <w:szCs w:val="20"/>
          <w:lang w:bidi="ar"/>
        </w:rPr>
        <w:t>提出的</w:t>
      </w:r>
      <w:r>
        <w:rPr>
          <w:color w:val="000000"/>
          <w:kern w:val="2"/>
          <w:sz w:val="20"/>
          <w:szCs w:val="20"/>
          <w:lang w:bidi="ar"/>
        </w:rPr>
        <w:t>No-doubt</w:t>
      </w:r>
      <w:r>
        <w:rPr>
          <w:rFonts w:hint="eastAsia" w:cs="宋体"/>
          <w:color w:val="000000"/>
          <w:kern w:val="2"/>
          <w:sz w:val="20"/>
          <w:szCs w:val="20"/>
          <w:lang w:bidi="ar"/>
        </w:rPr>
        <w:t>系统以</w:t>
      </w:r>
      <w:r>
        <w:rPr>
          <w:color w:val="000000"/>
          <w:kern w:val="2"/>
          <w:sz w:val="20"/>
          <w:szCs w:val="20"/>
          <w:lang w:bidi="ar"/>
        </w:rPr>
        <w:t>SMOBI</w:t>
      </w:r>
      <w:r>
        <w:rPr>
          <w:rFonts w:hint="eastAsia" w:cs="宋体"/>
          <w:color w:val="000000"/>
          <w:kern w:val="2"/>
          <w:sz w:val="20"/>
          <w:szCs w:val="20"/>
          <w:lang w:bidi="ar"/>
        </w:rPr>
        <w:t>文本表示算法捕获词语上下文，通过向量相似度实现归因匹配，是这一方向较早的系统性工作；但其对大规模安全语料的依赖以及偏高的预处理开销，限制了实际部署的灵活性。</w:t>
      </w:r>
      <w:r>
        <w:rPr>
          <w:color w:val="000000"/>
          <w:kern w:val="2"/>
          <w:sz w:val="20"/>
          <w:szCs w:val="20"/>
          <w:lang w:bidi="ar"/>
        </w:rPr>
        <w:t>Irshad</w:t>
      </w:r>
      <w:r>
        <w:rPr>
          <w:rFonts w:hint="eastAsia" w:cs="宋体"/>
          <w:color w:val="000000"/>
          <w:kern w:val="2"/>
          <w:sz w:val="20"/>
          <w:szCs w:val="20"/>
          <w:lang w:bidi="ar"/>
        </w:rPr>
        <w:t>和</w:t>
      </w:r>
      <w:r>
        <w:rPr>
          <w:color w:val="000000"/>
          <w:kern w:val="2"/>
          <w:sz w:val="20"/>
          <w:szCs w:val="20"/>
          <w:lang w:bidi="ar"/>
        </w:rPr>
        <w:t>Siddiqui[17]]</w:t>
      </w:r>
      <w:r>
        <w:rPr>
          <w:rFonts w:hint="eastAsia" w:cs="宋体"/>
          <w:color w:val="000000"/>
          <w:kern w:val="2"/>
          <w:sz w:val="20"/>
          <w:szCs w:val="20"/>
          <w:lang w:bidi="ar"/>
        </w:rPr>
        <w:t>构建了领域嵌入模型</w:t>
      </w:r>
      <w:r>
        <w:rPr>
          <w:color w:val="000000"/>
          <w:kern w:val="2"/>
          <w:sz w:val="20"/>
          <w:szCs w:val="20"/>
          <w:lang w:bidi="ar"/>
        </w:rPr>
        <w:t>Attack2vec</w:t>
      </w:r>
      <w:r>
        <w:rPr>
          <w:rFonts w:hint="eastAsia" w:cs="宋体"/>
          <w:color w:val="000000"/>
          <w:kern w:val="2"/>
          <w:sz w:val="20"/>
          <w:szCs w:val="20"/>
          <w:lang w:bidi="ar"/>
        </w:rPr>
        <w:t>，从策略、技术、工具等多维度抽取攻击特征，后续又引入攻击者背景与意图信息进一步提升预测精度</w:t>
      </w:r>
      <w:r>
        <w:rPr>
          <w:color w:val="000000"/>
          <w:kern w:val="2"/>
          <w:sz w:val="20"/>
          <w:szCs w:val="20"/>
          <w:lang w:bidi="ar"/>
        </w:rPr>
        <w:t>[18]</w:t>
      </w:r>
      <w:r>
        <w:rPr>
          <w:rFonts w:hint="eastAsia" w:cs="宋体"/>
          <w:color w:val="000000"/>
          <w:kern w:val="2"/>
          <w:sz w:val="20"/>
          <w:szCs w:val="20"/>
          <w:lang w:bidi="ar"/>
        </w:rPr>
        <w:t>；尽管如此，其特征验证流程较重，实时性仍有改善空间。</w:t>
      </w:r>
      <w:r>
        <w:rPr>
          <w:color w:val="000000"/>
          <w:kern w:val="2"/>
          <w:sz w:val="20"/>
          <w:szCs w:val="20"/>
          <w:lang w:bidi="ar"/>
        </w:rPr>
        <w:t>Noor</w:t>
      </w:r>
      <w:r>
        <w:rPr>
          <w:rFonts w:hint="eastAsia" w:cs="宋体"/>
          <w:color w:val="000000"/>
          <w:kern w:val="2"/>
          <w:sz w:val="20"/>
          <w:szCs w:val="20"/>
          <w:lang w:bidi="ar"/>
        </w:rPr>
        <w:t>等人</w:t>
      </w:r>
      <w:r>
        <w:rPr>
          <w:color w:val="000000"/>
          <w:kern w:val="2"/>
          <w:sz w:val="20"/>
          <w:szCs w:val="20"/>
          <w:lang w:bidi="ar"/>
        </w:rPr>
        <w:t>[19</w:t>
      </w:r>
      <w:r>
        <w:rPr>
          <w:rFonts w:hint="eastAsia"/>
          <w:color w:val="000000"/>
          <w:kern w:val="2"/>
          <w:sz w:val="20"/>
          <w:szCs w:val="20"/>
          <w:lang w:eastAsia="zh" w:bidi="ar"/>
        </w:rPr>
        <w:t>]</w:t>
      </w:r>
      <w:r>
        <w:rPr>
          <w:rFonts w:hint="eastAsia" w:cs="宋体"/>
          <w:color w:val="000000"/>
          <w:kern w:val="2"/>
          <w:sz w:val="20"/>
          <w:szCs w:val="20"/>
          <w:lang w:bidi="ar"/>
        </w:rPr>
        <w:t>针对金融科技场景验证了高层妥协指标特征对归因精度的提升作用，进一步丰富了文本特征驱动的归因方法体系。</w:t>
      </w:r>
      <w:r>
        <w:rPr>
          <w:color w:val="000000"/>
          <w:kern w:val="2"/>
          <w:sz w:val="20"/>
          <w:szCs w:val="20"/>
          <w:lang w:bidi="ar"/>
        </w:rPr>
        <w:t>Mutalib</w:t>
      </w:r>
      <w:r>
        <w:rPr>
          <w:rFonts w:hint="eastAsia" w:cs="宋体"/>
          <w:color w:val="000000"/>
          <w:kern w:val="2"/>
          <w:sz w:val="20"/>
          <w:szCs w:val="20"/>
          <w:lang w:bidi="ar"/>
        </w:rPr>
        <w:t>等人</w:t>
      </w:r>
      <w:r>
        <w:rPr>
          <w:color w:val="000000"/>
          <w:kern w:val="2"/>
          <w:sz w:val="20"/>
          <w:szCs w:val="20"/>
          <w:lang w:bidi="ar"/>
        </w:rPr>
        <w:t>[2]</w:t>
      </w:r>
      <w:r>
        <w:rPr>
          <w:rFonts w:hint="eastAsia" w:cs="宋体"/>
          <w:color w:val="000000"/>
          <w:kern w:val="2"/>
          <w:sz w:val="20"/>
          <w:szCs w:val="20"/>
          <w:lang w:bidi="ar"/>
        </w:rPr>
        <w:t>对可解释深度学习在</w:t>
      </w:r>
      <w:r>
        <w:rPr>
          <w:color w:val="000000"/>
          <w:kern w:val="2"/>
          <w:sz w:val="20"/>
          <w:szCs w:val="20"/>
          <w:lang w:bidi="ar"/>
        </w:rPr>
        <w:t>APT</w:t>
      </w:r>
      <w:r>
        <w:rPr>
          <w:rFonts w:hint="eastAsia" w:cs="宋体"/>
          <w:color w:val="000000"/>
          <w:kern w:val="2"/>
          <w:sz w:val="20"/>
          <w:szCs w:val="20"/>
          <w:lang w:bidi="ar"/>
        </w:rPr>
        <w:t>检测中的应用进行了综述性分析，揭示了特征表示质量与模型可解释性之间的内在关联。近期，</w:t>
      </w:r>
      <w:r>
        <w:rPr>
          <w:color w:val="000000"/>
          <w:kern w:val="2"/>
          <w:sz w:val="20"/>
          <w:szCs w:val="20"/>
          <w:lang w:bidi="ar"/>
        </w:rPr>
        <w:t>Cai</w:t>
      </w:r>
      <w:r>
        <w:rPr>
          <w:rFonts w:hint="eastAsia" w:cs="宋体"/>
          <w:color w:val="000000"/>
          <w:kern w:val="2"/>
          <w:sz w:val="20"/>
          <w:szCs w:val="20"/>
          <w:lang w:bidi="ar"/>
        </w:rPr>
        <w:t>等人</w:t>
      </w:r>
      <w:r>
        <w:rPr>
          <w:color w:val="000000"/>
          <w:kern w:val="2"/>
          <w:sz w:val="20"/>
          <w:szCs w:val="20"/>
          <w:lang w:bidi="ar"/>
        </w:rPr>
        <w:t>[3]</w:t>
      </w:r>
      <w:r>
        <w:rPr>
          <w:rFonts w:hint="eastAsia" w:cs="宋体"/>
          <w:color w:val="000000"/>
          <w:kern w:val="2"/>
          <w:sz w:val="20"/>
          <w:szCs w:val="20"/>
          <w:lang w:bidi="ar"/>
        </w:rPr>
        <w:t>提出的</w:t>
      </w:r>
      <w:r>
        <w:rPr>
          <w:color w:val="000000"/>
          <w:kern w:val="2"/>
          <w:sz w:val="20"/>
          <w:szCs w:val="20"/>
          <w:lang w:bidi="ar"/>
        </w:rPr>
        <w:t>APT-ATT</w:t>
      </w:r>
      <w:r>
        <w:rPr>
          <w:rFonts w:hint="eastAsia" w:cs="宋体"/>
          <w:color w:val="000000"/>
          <w:kern w:val="2"/>
          <w:sz w:val="20"/>
          <w:szCs w:val="20"/>
          <w:lang w:bidi="ar"/>
        </w:rPr>
        <w:t>将</w:t>
      </w:r>
      <w:r>
        <w:rPr>
          <w:color w:val="000000"/>
          <w:kern w:val="2"/>
          <w:sz w:val="20"/>
          <w:szCs w:val="20"/>
          <w:lang w:bidi="ar"/>
        </w:rPr>
        <w:t>N-Gram</w:t>
      </w:r>
      <w:r>
        <w:rPr>
          <w:rFonts w:hint="eastAsia" w:cs="宋体"/>
          <w:color w:val="000000"/>
          <w:kern w:val="2"/>
          <w:sz w:val="20"/>
          <w:szCs w:val="20"/>
          <w:lang w:bidi="ar"/>
        </w:rPr>
        <w:t>局部语义提取、</w:t>
      </w:r>
      <w:r>
        <w:rPr>
          <w:color w:val="000000"/>
          <w:kern w:val="2"/>
          <w:sz w:val="20"/>
          <w:szCs w:val="20"/>
          <w:lang w:bidi="ar"/>
        </w:rPr>
        <w:t>TF-IDF</w:t>
      </w:r>
      <w:r>
        <w:rPr>
          <w:rFonts w:hint="eastAsia" w:cs="宋体"/>
          <w:color w:val="000000"/>
          <w:kern w:val="2"/>
          <w:sz w:val="20"/>
          <w:szCs w:val="20"/>
          <w:lang w:bidi="ar"/>
        </w:rPr>
        <w:t>快速向量化与卡方统计特征选择有机结合，在轻量化前提下取</w:t>
      </w:r>
      <w:bookmarkStart w:id="11" w:name="_GoBack"/>
      <w:bookmarkEnd w:id="11"/>
      <w:r>
        <w:rPr>
          <w:rFonts w:hint="eastAsia" w:cs="宋体"/>
          <w:color w:val="000000"/>
          <w:kern w:val="2"/>
          <w:sz w:val="20"/>
          <w:szCs w:val="20"/>
          <w:lang w:bidi="ar"/>
        </w:rPr>
        <w:t>得了有竞争力的归因精度，同时引入</w:t>
      </w:r>
      <w:r>
        <w:rPr>
          <w:color w:val="000000"/>
          <w:kern w:val="2"/>
          <w:sz w:val="20"/>
          <w:szCs w:val="20"/>
          <w:lang w:bidi="ar"/>
        </w:rPr>
        <w:t>CTGAN</w:t>
      </w:r>
      <w:r>
        <w:rPr>
          <w:rFonts w:hint="eastAsia" w:cs="宋体"/>
          <w:color w:val="000000"/>
          <w:kern w:val="2"/>
          <w:sz w:val="20"/>
          <w:szCs w:val="20"/>
          <w:lang w:bidi="ar"/>
        </w:rPr>
        <w:t>缓解了</w:t>
      </w:r>
      <w:r>
        <w:rPr>
          <w:color w:val="000000"/>
          <w:kern w:val="2"/>
          <w:sz w:val="20"/>
          <w:szCs w:val="20"/>
          <w:lang w:bidi="ar"/>
        </w:rPr>
        <w:t>CTI</w:t>
      </w:r>
      <w:r>
        <w:rPr>
          <w:rFonts w:hint="eastAsia" w:cs="宋体"/>
          <w:color w:val="000000"/>
          <w:kern w:val="2"/>
          <w:sz w:val="20"/>
          <w:szCs w:val="20"/>
          <w:lang w:bidi="ar"/>
        </w:rPr>
        <w:t>数据中普遍存在的类别不均衡问题。</w:t>
      </w:r>
    </w:p>
    <w:p w14:paraId="214AD7E2">
      <w:pPr>
        <w:pStyle w:val="10"/>
        <w:adjustRightInd w:val="0"/>
        <w:spacing w:beforeAutospacing="0" w:after="60" w:afterAutospacing="0" w:line="400" w:lineRule="exact"/>
        <w:ind w:firstLine="400" w:firstLineChars="200"/>
        <w:jc w:val="both"/>
        <w:rPr>
          <w:color w:val="000000"/>
          <w:kern w:val="2"/>
          <w:sz w:val="20"/>
          <w:szCs w:val="20"/>
        </w:rPr>
      </w:pPr>
      <w:r>
        <w:rPr>
          <w:rFonts w:hint="eastAsia" w:cs="宋体"/>
          <w:color w:val="000000"/>
          <w:kern w:val="2"/>
          <w:sz w:val="20"/>
          <w:szCs w:val="20"/>
          <w:lang w:bidi="ar"/>
        </w:rPr>
        <w:t>传统深度学习方法在特征工程自动化与推理效率上已积累了丰富经验，但它们将</w:t>
      </w:r>
      <w:r>
        <w:rPr>
          <w:color w:val="000000"/>
          <w:kern w:val="2"/>
          <w:sz w:val="20"/>
          <w:szCs w:val="20"/>
          <w:lang w:bidi="ar"/>
        </w:rPr>
        <w:t>CTI</w:t>
      </w:r>
      <w:r>
        <w:rPr>
          <w:rFonts w:hint="eastAsia" w:cs="宋体"/>
          <w:color w:val="000000"/>
          <w:kern w:val="2"/>
          <w:sz w:val="20"/>
          <w:szCs w:val="20"/>
          <w:lang w:bidi="ar"/>
        </w:rPr>
        <w:t>文本视为扁平词袋或固定窗口序列的建模方式，从根本上遮蔽了实体之间的结构化依赖关系；对攻击阶段之间长程语义关联的建模能力也相当有限，跨段落的攻击行为难以被有效关联</w:t>
      </w:r>
      <w:r>
        <w:rPr>
          <w:color w:val="000000"/>
          <w:kern w:val="2"/>
          <w:sz w:val="20"/>
          <w:szCs w:val="20"/>
          <w:lang w:bidi="ar"/>
        </w:rPr>
        <w:t>[1,4]</w:t>
      </w:r>
      <w:r>
        <w:rPr>
          <w:rFonts w:hint="eastAsia" w:cs="宋体"/>
          <w:color w:val="000000"/>
          <w:kern w:val="2"/>
          <w:sz w:val="20"/>
          <w:szCs w:val="20"/>
          <w:lang w:bidi="ar"/>
        </w:rPr>
        <w:t>。这两类缺陷指向同一个深层需求——需要一种能够显式建模实体关系结构的方法，这正是图方法介入的动机所在。</w:t>
      </w:r>
    </w:p>
    <w:p w14:paraId="3FC91B62">
      <w:pPr>
        <w:pStyle w:val="3"/>
        <w:keepNext/>
        <w:widowControl/>
        <w:spacing w:before="360" w:after="120" w:afterLines="0"/>
        <w:jc w:val="both"/>
        <w:rPr>
          <w:sz w:val="24"/>
          <w:szCs w:val="24"/>
        </w:rPr>
      </w:pPr>
      <w:r>
        <w:rPr>
          <w:sz w:val="24"/>
          <w:szCs w:val="24"/>
        </w:rPr>
        <w:t xml:space="preserve">2.2 </w:t>
      </w:r>
      <w:r>
        <w:rPr>
          <w:rFonts w:hint="eastAsia" w:cs="宋体"/>
          <w:sz w:val="24"/>
          <w:szCs w:val="24"/>
        </w:rPr>
        <w:t>基于图神经网络的</w:t>
      </w:r>
      <w:r>
        <w:rPr>
          <w:sz w:val="24"/>
          <w:szCs w:val="24"/>
        </w:rPr>
        <w:t>APT</w:t>
      </w:r>
      <w:r>
        <w:rPr>
          <w:rFonts w:hint="eastAsia" w:cs="宋体"/>
          <w:sz w:val="24"/>
          <w:szCs w:val="24"/>
        </w:rPr>
        <w:t>归因方法</w:t>
      </w:r>
    </w:p>
    <w:p w14:paraId="0FFB9820">
      <w:pPr>
        <w:pStyle w:val="10"/>
        <w:adjustRightInd w:val="0"/>
        <w:spacing w:beforeAutospacing="0" w:after="60" w:afterAutospacing="0" w:line="400" w:lineRule="exact"/>
        <w:ind w:firstLine="400" w:firstLineChars="200"/>
        <w:jc w:val="both"/>
        <w:rPr>
          <w:color w:val="000000"/>
          <w:kern w:val="2"/>
          <w:sz w:val="20"/>
          <w:szCs w:val="20"/>
          <w:lang w:bidi="ar"/>
        </w:rPr>
      </w:pPr>
      <w:r>
        <w:rPr>
          <w:rFonts w:hint="eastAsia"/>
          <w:color w:val="000000"/>
          <w:kern w:val="2"/>
          <w:sz w:val="20"/>
          <w:szCs w:val="20"/>
          <w:lang w:bidi="ar"/>
        </w:rPr>
        <w:t>随着研究的深入，学者们逐渐意识到，仅依赖文本特征难以充分表达</w:t>
      </w:r>
      <w:r>
        <w:rPr>
          <w:color w:val="000000"/>
          <w:kern w:val="2"/>
          <w:sz w:val="20"/>
          <w:szCs w:val="20"/>
          <w:lang w:bidi="ar"/>
        </w:rPr>
        <w:t>APT</w:t>
      </w:r>
      <w:r>
        <w:rPr>
          <w:rFonts w:hint="eastAsia"/>
          <w:color w:val="000000"/>
          <w:kern w:val="2"/>
          <w:sz w:val="20"/>
          <w:szCs w:val="20"/>
          <w:lang w:bidi="ar"/>
        </w:rPr>
        <w:t>攻击过程中的复杂交互关系。于是，图方法开始被引入</w:t>
      </w:r>
      <w:r>
        <w:rPr>
          <w:color w:val="000000"/>
          <w:kern w:val="2"/>
          <w:sz w:val="20"/>
          <w:szCs w:val="20"/>
          <w:lang w:bidi="ar"/>
        </w:rPr>
        <w:t>APT</w:t>
      </w:r>
      <w:r>
        <w:rPr>
          <w:rFonts w:hint="eastAsia"/>
          <w:color w:val="000000"/>
          <w:kern w:val="2"/>
          <w:sz w:val="20"/>
          <w:szCs w:val="20"/>
          <w:lang w:bidi="ar"/>
        </w:rPr>
        <w:t>归因任务，用于刻画实体之间的关联结构。</w:t>
      </w:r>
    </w:p>
    <w:p w14:paraId="2A6B1754">
      <w:pPr>
        <w:pStyle w:val="10"/>
        <w:adjustRightInd w:val="0"/>
        <w:spacing w:beforeAutospacing="0" w:after="60" w:afterAutospacing="0" w:line="400" w:lineRule="exact"/>
        <w:ind w:firstLine="400" w:firstLineChars="200"/>
        <w:jc w:val="both"/>
        <w:rPr>
          <w:color w:val="000000"/>
          <w:kern w:val="2"/>
          <w:sz w:val="20"/>
          <w:szCs w:val="20"/>
          <w:lang w:bidi="ar"/>
        </w:rPr>
      </w:pPr>
      <w:r>
        <w:rPr>
          <w:rFonts w:hint="eastAsia"/>
          <w:color w:val="000000"/>
          <w:kern w:val="2"/>
          <w:sz w:val="20"/>
          <w:szCs w:val="20"/>
          <w:lang w:bidi="ar"/>
        </w:rPr>
        <w:t>相比纯文本模型，图神经网络能够在“节点—关系”的框架下建模攻击行为，使得攻击路径、实体依赖以及阶段演化具备了更直观的表达形式。不过，不同建模方式在表达能力和灵活性上差异较大，现有工作大致可以分为同质图与异质图两类。</w:t>
      </w:r>
    </w:p>
    <w:p w14:paraId="69926043">
      <w:pPr>
        <w:pStyle w:val="4"/>
        <w:keepNext/>
        <w:widowControl/>
        <w:spacing w:before="360" w:beforeLines="0" w:after="120" w:afterLines="0"/>
        <w:jc w:val="both"/>
        <w:rPr>
          <w:sz w:val="21"/>
          <w:szCs w:val="21"/>
        </w:rPr>
      </w:pPr>
      <w:r>
        <w:rPr>
          <w:sz w:val="21"/>
          <w:szCs w:val="21"/>
        </w:rPr>
        <w:t xml:space="preserve">2.2.1 </w:t>
      </w:r>
      <w:r>
        <w:rPr>
          <w:rFonts w:hint="eastAsia" w:cs="宋体"/>
          <w:sz w:val="21"/>
          <w:szCs w:val="21"/>
        </w:rPr>
        <w:t>基于同质图的归因建模</w:t>
      </w:r>
    </w:p>
    <w:p w14:paraId="5238F1B1">
      <w:pPr>
        <w:pStyle w:val="10"/>
        <w:adjustRightInd w:val="0"/>
        <w:spacing w:beforeAutospacing="0" w:after="60" w:afterAutospacing="0" w:line="400" w:lineRule="exact"/>
        <w:ind w:firstLine="400" w:firstLineChars="200"/>
        <w:jc w:val="both"/>
        <w:rPr>
          <w:color w:val="000000"/>
          <w:kern w:val="2"/>
          <w:sz w:val="20"/>
          <w:szCs w:val="20"/>
          <w:lang w:bidi="ar"/>
        </w:rPr>
      </w:pPr>
      <w:r>
        <w:rPr>
          <w:rFonts w:hint="eastAsia"/>
          <w:color w:val="000000"/>
          <w:kern w:val="2"/>
          <w:sz w:val="20"/>
          <w:szCs w:val="20"/>
          <w:lang w:bidi="ar"/>
        </w:rPr>
        <w:t>图神经网络在网络安全领域的系统性研究已有坚实基础。</w:t>
      </w:r>
      <w:r>
        <w:rPr>
          <w:color w:val="000000"/>
          <w:kern w:val="2"/>
          <w:sz w:val="20"/>
          <w:szCs w:val="20"/>
          <w:lang w:bidi="ar"/>
        </w:rPr>
        <w:t>Bilot</w:t>
      </w:r>
      <w:r>
        <w:rPr>
          <w:rFonts w:hint="eastAsia"/>
          <w:color w:val="000000"/>
          <w:kern w:val="2"/>
          <w:sz w:val="20"/>
          <w:szCs w:val="20"/>
          <w:lang w:bidi="ar"/>
        </w:rPr>
        <w:t>等人</w:t>
      </w:r>
      <w:r>
        <w:rPr>
          <w:color w:val="000000"/>
          <w:kern w:val="2"/>
          <w:sz w:val="20"/>
          <w:szCs w:val="20"/>
          <w:lang w:bidi="ar"/>
        </w:rPr>
        <w:t>[1]</w:t>
      </w:r>
      <w:r>
        <w:rPr>
          <w:rFonts w:hint="eastAsia"/>
          <w:color w:val="000000"/>
          <w:kern w:val="2"/>
          <w:sz w:val="20"/>
          <w:szCs w:val="20"/>
          <w:lang w:bidi="ar"/>
        </w:rPr>
        <w:t>对</w:t>
      </w:r>
      <w:r>
        <w:rPr>
          <w:color w:val="000000"/>
          <w:kern w:val="2"/>
          <w:sz w:val="20"/>
          <w:szCs w:val="20"/>
          <w:lang w:bidi="ar"/>
        </w:rPr>
        <w:t>GNN</w:t>
      </w:r>
      <w:r>
        <w:rPr>
          <w:rFonts w:hint="eastAsia"/>
          <w:color w:val="000000"/>
          <w:kern w:val="2"/>
          <w:sz w:val="20"/>
          <w:szCs w:val="20"/>
          <w:lang w:bidi="ar"/>
        </w:rPr>
        <w:t>在入侵检测中的广泛应用进行了综述，梳理了</w:t>
      </w:r>
      <w:r>
        <w:rPr>
          <w:color w:val="000000"/>
          <w:kern w:val="2"/>
          <w:sz w:val="20"/>
          <w:szCs w:val="20"/>
          <w:lang w:bidi="ar"/>
        </w:rPr>
        <w:t>GCN[20]</w:t>
      </w:r>
      <w:r>
        <w:rPr>
          <w:rFonts w:hint="eastAsia"/>
          <w:color w:val="000000"/>
          <w:kern w:val="2"/>
          <w:sz w:val="20"/>
          <w:szCs w:val="20"/>
          <w:lang w:bidi="ar"/>
        </w:rPr>
        <w:t>、</w:t>
      </w:r>
      <w:r>
        <w:rPr>
          <w:color w:val="000000"/>
          <w:kern w:val="2"/>
          <w:sz w:val="20"/>
          <w:szCs w:val="20"/>
          <w:lang w:bidi="ar"/>
        </w:rPr>
        <w:t>GraphSAGE[21]</w:t>
      </w:r>
      <w:r>
        <w:rPr>
          <w:rFonts w:hint="eastAsia"/>
          <w:color w:val="000000"/>
          <w:kern w:val="2"/>
          <w:sz w:val="20"/>
          <w:szCs w:val="20"/>
          <w:lang w:bidi="ar"/>
        </w:rPr>
        <w:t>、</w:t>
      </w:r>
      <w:r>
        <w:rPr>
          <w:color w:val="000000"/>
          <w:kern w:val="2"/>
          <w:sz w:val="20"/>
          <w:szCs w:val="20"/>
          <w:lang w:bidi="ar"/>
        </w:rPr>
        <w:t>GAT[22]</w:t>
      </w:r>
      <w:r>
        <w:rPr>
          <w:rFonts w:hint="eastAsia"/>
          <w:color w:val="000000"/>
          <w:kern w:val="2"/>
          <w:sz w:val="20"/>
          <w:szCs w:val="20"/>
          <w:lang w:bidi="ar"/>
        </w:rPr>
        <w:t>等主流架构在网络流图与溯源图上的建模规律，为安全领域图学习研究提供了重要参照。</w:t>
      </w:r>
      <w:r>
        <w:rPr>
          <w:color w:val="000000"/>
          <w:kern w:val="2"/>
          <w:sz w:val="20"/>
          <w:szCs w:val="20"/>
          <w:lang w:bidi="ar"/>
        </w:rPr>
        <w:t>Warmsley</w:t>
      </w:r>
      <w:r>
        <w:rPr>
          <w:rFonts w:hint="eastAsia"/>
          <w:color w:val="000000"/>
          <w:kern w:val="2"/>
          <w:sz w:val="20"/>
          <w:szCs w:val="20"/>
          <w:lang w:bidi="ar"/>
        </w:rPr>
        <w:t>等人</w:t>
      </w:r>
      <w:r>
        <w:rPr>
          <w:color w:val="000000"/>
          <w:kern w:val="2"/>
          <w:sz w:val="20"/>
          <w:szCs w:val="20"/>
          <w:lang w:bidi="ar"/>
        </w:rPr>
        <w:t>[23]</w:t>
      </w:r>
      <w:r>
        <w:rPr>
          <w:rFonts w:hint="eastAsia"/>
          <w:color w:val="000000"/>
          <w:kern w:val="2"/>
          <w:sz w:val="20"/>
          <w:szCs w:val="20"/>
          <w:lang w:bidi="ar"/>
        </w:rPr>
        <w:t>聚焦于恶意软件控制流图上的</w:t>
      </w:r>
      <w:r>
        <w:rPr>
          <w:color w:val="000000"/>
          <w:kern w:val="2"/>
          <w:sz w:val="20"/>
          <w:szCs w:val="20"/>
          <w:lang w:bidi="ar"/>
        </w:rPr>
        <w:t>GNN</w:t>
      </w:r>
      <w:r>
        <w:rPr>
          <w:rFonts w:hint="eastAsia"/>
          <w:color w:val="000000"/>
          <w:kern w:val="2"/>
          <w:sz w:val="20"/>
          <w:szCs w:val="20"/>
          <w:lang w:bidi="ar"/>
        </w:rPr>
        <w:t>可解释性，验证了梯度反传类方法在提取区分性子图特征方面的优势，从侧面揭示了同质图表示捕获攻击行为语义的潜力。在</w:t>
      </w:r>
      <w:r>
        <w:rPr>
          <w:color w:val="000000"/>
          <w:kern w:val="2"/>
          <w:sz w:val="20"/>
          <w:szCs w:val="20"/>
          <w:lang w:bidi="ar"/>
        </w:rPr>
        <w:t>APT</w:t>
      </w:r>
      <w:r>
        <w:rPr>
          <w:rFonts w:hint="eastAsia"/>
          <w:color w:val="000000"/>
          <w:kern w:val="2"/>
          <w:sz w:val="20"/>
          <w:szCs w:val="20"/>
          <w:lang w:bidi="ar"/>
        </w:rPr>
        <w:t>归因方向，</w:t>
      </w:r>
      <w:r>
        <w:rPr>
          <w:color w:val="000000"/>
          <w:kern w:val="2"/>
          <w:sz w:val="20"/>
          <w:szCs w:val="20"/>
          <w:lang w:bidi="ar"/>
        </w:rPr>
        <w:t>Huang</w:t>
      </w:r>
      <w:r>
        <w:rPr>
          <w:rFonts w:hint="eastAsia"/>
          <w:color w:val="000000"/>
          <w:kern w:val="2"/>
          <w:sz w:val="20"/>
          <w:szCs w:val="20"/>
          <w:lang w:bidi="ar"/>
        </w:rPr>
        <w:t>等人</w:t>
      </w:r>
      <w:r>
        <w:rPr>
          <w:color w:val="000000"/>
          <w:kern w:val="2"/>
          <w:sz w:val="20"/>
          <w:szCs w:val="20"/>
          <w:lang w:bidi="ar"/>
        </w:rPr>
        <w:t>[24]</w:t>
      </w:r>
      <w:r>
        <w:rPr>
          <w:rFonts w:hint="eastAsia"/>
          <w:color w:val="000000"/>
          <w:kern w:val="2"/>
          <w:sz w:val="20"/>
          <w:szCs w:val="20"/>
          <w:lang w:bidi="ar"/>
        </w:rPr>
        <w:t>较早将图嵌入引入攻击溯源，以实体共现关系构建攻击图，结合</w:t>
      </w:r>
      <w:r>
        <w:rPr>
          <w:color w:val="000000"/>
          <w:kern w:val="2"/>
          <w:sz w:val="20"/>
          <w:szCs w:val="20"/>
          <w:lang w:bidi="ar"/>
        </w:rPr>
        <w:t>SVM</w:t>
      </w:r>
      <w:r>
        <w:rPr>
          <w:rFonts w:hint="eastAsia"/>
          <w:color w:val="000000"/>
          <w:kern w:val="2"/>
          <w:sz w:val="20"/>
          <w:szCs w:val="20"/>
          <w:lang w:bidi="ar"/>
        </w:rPr>
        <w:t>完成归因分类，验证了图结构对攻击关联建模的基本有效性；但该方法依赖特定类型的结构化</w:t>
      </w:r>
      <w:r>
        <w:rPr>
          <w:color w:val="000000"/>
          <w:kern w:val="2"/>
          <w:sz w:val="20"/>
          <w:szCs w:val="20"/>
          <w:lang w:bidi="ar"/>
        </w:rPr>
        <w:t>CTI</w:t>
      </w:r>
      <w:r>
        <w:rPr>
          <w:rFonts w:hint="eastAsia"/>
          <w:color w:val="000000"/>
          <w:kern w:val="2"/>
          <w:sz w:val="20"/>
          <w:szCs w:val="20"/>
          <w:lang w:bidi="ar"/>
        </w:rPr>
        <w:t>，对来源多样、格式异构的真实威胁情报的适用范围比较有限。 同质图的根本局限在于假设所有节点和边具有相同的类型语义。</w:t>
      </w:r>
      <w:r>
        <w:rPr>
          <w:color w:val="000000"/>
          <w:kern w:val="2"/>
          <w:sz w:val="20"/>
          <w:szCs w:val="20"/>
          <w:lang w:bidi="ar"/>
        </w:rPr>
        <w:t>CTI</w:t>
      </w:r>
      <w:r>
        <w:rPr>
          <w:rFonts w:hint="eastAsia"/>
          <w:color w:val="000000"/>
          <w:kern w:val="2"/>
          <w:sz w:val="20"/>
          <w:szCs w:val="20"/>
          <w:lang w:bidi="ar"/>
        </w:rPr>
        <w:t>中的实体本身是异质的，</w:t>
      </w:r>
      <w:r>
        <w:rPr>
          <w:color w:val="000000"/>
          <w:kern w:val="2"/>
          <w:sz w:val="20"/>
          <w:szCs w:val="20"/>
          <w:lang w:bidi="ar"/>
        </w:rPr>
        <w:t>IP</w:t>
      </w:r>
      <w:r>
        <w:rPr>
          <w:rFonts w:hint="eastAsia"/>
          <w:color w:val="000000"/>
          <w:kern w:val="2"/>
          <w:sz w:val="20"/>
          <w:szCs w:val="20"/>
          <w:lang w:bidi="ar"/>
        </w:rPr>
        <w:t>地址、恶意软件、攻击工具、受害组织之间存在本质不同的语义属性，强制统一建模不可避免地会丢失大量语义信息，为此研究者普遍转向异质图建模。</w:t>
      </w:r>
    </w:p>
    <w:p w14:paraId="3FA85D22">
      <w:pPr>
        <w:pStyle w:val="4"/>
        <w:keepNext/>
        <w:widowControl/>
        <w:spacing w:before="360" w:beforeLines="0" w:after="120" w:afterLines="0"/>
        <w:jc w:val="both"/>
        <w:rPr>
          <w:sz w:val="21"/>
          <w:szCs w:val="21"/>
        </w:rPr>
      </w:pPr>
      <w:r>
        <w:rPr>
          <w:sz w:val="21"/>
          <w:szCs w:val="21"/>
        </w:rPr>
        <w:t xml:space="preserve">2.2.2 </w:t>
      </w:r>
      <w:r>
        <w:rPr>
          <w:rFonts w:hint="eastAsia" w:cs="宋体"/>
          <w:sz w:val="21"/>
          <w:szCs w:val="21"/>
        </w:rPr>
        <w:t>基于异质图的归因建模</w:t>
      </w:r>
    </w:p>
    <w:p w14:paraId="7BB67E43">
      <w:pPr>
        <w:pStyle w:val="10"/>
        <w:adjustRightInd w:val="0"/>
        <w:spacing w:beforeAutospacing="0" w:after="60" w:afterAutospacing="0" w:line="400" w:lineRule="exact"/>
        <w:ind w:firstLine="400" w:firstLineChars="200"/>
        <w:jc w:val="both"/>
        <w:rPr>
          <w:color w:val="000000"/>
          <w:kern w:val="2"/>
          <w:sz w:val="20"/>
          <w:szCs w:val="20"/>
          <w:lang w:bidi="ar"/>
        </w:rPr>
      </w:pPr>
      <w:r>
        <w:rPr>
          <w:rFonts w:hint="eastAsia"/>
          <w:color w:val="000000"/>
          <w:kern w:val="2"/>
          <w:sz w:val="20"/>
          <w:szCs w:val="20"/>
          <w:lang w:bidi="ar"/>
        </w:rPr>
        <w:t>异质图神经网络（</w:t>
      </w:r>
      <w:r>
        <w:rPr>
          <w:color w:val="000000"/>
          <w:kern w:val="2"/>
          <w:sz w:val="20"/>
          <w:szCs w:val="20"/>
          <w:lang w:bidi="ar"/>
        </w:rPr>
        <w:t>HGNN</w:t>
      </w:r>
      <w:r>
        <w:rPr>
          <w:rFonts w:hint="eastAsia"/>
          <w:color w:val="000000"/>
          <w:kern w:val="2"/>
          <w:sz w:val="20"/>
          <w:szCs w:val="20"/>
          <w:lang w:bidi="ar"/>
        </w:rPr>
        <w:t>）通过引入类型感知变换与关系敏感聚合，能够更完整地刻画</w:t>
      </w:r>
      <w:r>
        <w:rPr>
          <w:color w:val="000000"/>
          <w:kern w:val="2"/>
          <w:sz w:val="20"/>
          <w:szCs w:val="20"/>
          <w:lang w:bidi="ar"/>
        </w:rPr>
        <w:t>CTI</w:t>
      </w:r>
      <w:r>
        <w:rPr>
          <w:rFonts w:hint="eastAsia"/>
          <w:color w:val="000000"/>
          <w:kern w:val="2"/>
          <w:sz w:val="20"/>
          <w:szCs w:val="20"/>
          <w:lang w:bidi="ar"/>
        </w:rPr>
        <w:t>中多类型实体之间的语义差异。</w:t>
      </w:r>
      <w:r>
        <w:rPr>
          <w:color w:val="000000"/>
          <w:kern w:val="2"/>
          <w:sz w:val="20"/>
          <w:szCs w:val="20"/>
          <w:lang w:bidi="ar"/>
        </w:rPr>
        <w:t>Wang</w:t>
      </w:r>
      <w:r>
        <w:rPr>
          <w:rFonts w:hint="eastAsia"/>
          <w:color w:val="000000"/>
          <w:kern w:val="2"/>
          <w:sz w:val="20"/>
          <w:szCs w:val="20"/>
          <w:lang w:bidi="ar"/>
        </w:rPr>
        <w:t>等人</w:t>
      </w:r>
      <w:r>
        <w:rPr>
          <w:color w:val="000000"/>
          <w:kern w:val="2"/>
          <w:sz w:val="20"/>
          <w:szCs w:val="20"/>
          <w:lang w:bidi="ar"/>
        </w:rPr>
        <w:t>[25]</w:t>
      </w:r>
      <w:r>
        <w:rPr>
          <w:rFonts w:hint="eastAsia"/>
          <w:color w:val="000000"/>
          <w:kern w:val="2"/>
          <w:sz w:val="20"/>
          <w:szCs w:val="20"/>
          <w:lang w:bidi="ar"/>
        </w:rPr>
        <w:t>提出的</w:t>
      </w:r>
      <w:r>
        <w:rPr>
          <w:color w:val="000000"/>
          <w:kern w:val="2"/>
          <w:sz w:val="20"/>
          <w:szCs w:val="20"/>
          <w:lang w:bidi="ar"/>
        </w:rPr>
        <w:t>HAN</w:t>
      </w:r>
      <w:r>
        <w:rPr>
          <w:rFonts w:hint="eastAsia"/>
          <w:color w:val="000000"/>
          <w:kern w:val="2"/>
          <w:sz w:val="20"/>
          <w:szCs w:val="20"/>
          <w:lang w:bidi="ar"/>
        </w:rPr>
        <w:t>通过节点级与语义级双层注意力，分别建模局部邻居交互和元路径的全局重要性，是异质图学习的奠基性工作；不过其对预定义元路径的强依赖，在面对新型攻击实体时灵活性明显不足。</w:t>
      </w:r>
      <w:r>
        <w:rPr>
          <w:color w:val="000000"/>
          <w:kern w:val="2"/>
          <w:sz w:val="20"/>
          <w:szCs w:val="20"/>
          <w:lang w:bidi="ar"/>
        </w:rPr>
        <w:t>Hu</w:t>
      </w:r>
      <w:r>
        <w:rPr>
          <w:rFonts w:hint="eastAsia"/>
          <w:color w:val="000000"/>
          <w:kern w:val="2"/>
          <w:sz w:val="20"/>
          <w:szCs w:val="20"/>
          <w:lang w:bidi="ar"/>
        </w:rPr>
        <w:t>等人</w:t>
      </w:r>
      <w:r>
        <w:rPr>
          <w:color w:val="000000"/>
          <w:kern w:val="2"/>
          <w:sz w:val="20"/>
          <w:szCs w:val="20"/>
          <w:lang w:bidi="ar"/>
        </w:rPr>
        <w:t>[26]</w:t>
      </w:r>
      <w:r>
        <w:rPr>
          <w:rFonts w:hint="eastAsia"/>
          <w:color w:val="000000"/>
          <w:kern w:val="2"/>
          <w:sz w:val="20"/>
          <w:szCs w:val="20"/>
          <w:lang w:bidi="ar"/>
        </w:rPr>
        <w:t>进一步提出</w:t>
      </w:r>
      <w:r>
        <w:rPr>
          <w:color w:val="000000"/>
          <w:kern w:val="2"/>
          <w:sz w:val="20"/>
          <w:szCs w:val="20"/>
          <w:lang w:bidi="ar"/>
        </w:rPr>
        <w:t>HGT</w:t>
      </w:r>
      <w:r>
        <w:rPr>
          <w:rFonts w:hint="eastAsia"/>
          <w:color w:val="000000"/>
          <w:kern w:val="2"/>
          <w:sz w:val="20"/>
          <w:szCs w:val="20"/>
          <w:lang w:bidi="ar"/>
        </w:rPr>
        <w:t>，以关系相关注意力与类型感知变换克服元路径依赖，在动态异质图上展现出更好的泛化能力，适合</w:t>
      </w:r>
      <w:r>
        <w:rPr>
          <w:color w:val="000000"/>
          <w:kern w:val="2"/>
          <w:sz w:val="20"/>
          <w:szCs w:val="20"/>
          <w:lang w:bidi="ar"/>
        </w:rPr>
        <w:t>CTI</w:t>
      </w:r>
      <w:r>
        <w:rPr>
          <w:rFonts w:hint="eastAsia"/>
          <w:color w:val="000000"/>
          <w:kern w:val="2"/>
          <w:sz w:val="20"/>
          <w:szCs w:val="20"/>
          <w:lang w:bidi="ar"/>
        </w:rPr>
        <w:t>中攻击类型持续演化的开放场景。</w:t>
      </w:r>
      <w:r>
        <w:rPr>
          <w:color w:val="000000"/>
          <w:kern w:val="2"/>
          <w:sz w:val="20"/>
          <w:szCs w:val="20"/>
          <w:lang w:bidi="ar"/>
        </w:rPr>
        <w:t>Jiang</w:t>
      </w:r>
      <w:r>
        <w:rPr>
          <w:rFonts w:hint="eastAsia"/>
          <w:color w:val="000000"/>
          <w:kern w:val="2"/>
          <w:sz w:val="20"/>
          <w:szCs w:val="20"/>
          <w:lang w:bidi="ar"/>
        </w:rPr>
        <w:t>等人</w:t>
      </w:r>
      <w:r>
        <w:rPr>
          <w:color w:val="000000"/>
          <w:kern w:val="2"/>
          <w:sz w:val="20"/>
          <w:szCs w:val="20"/>
          <w:lang w:bidi="ar"/>
        </w:rPr>
        <w:t>[27]</w:t>
      </w:r>
      <w:r>
        <w:rPr>
          <w:rFonts w:hint="eastAsia"/>
          <w:color w:val="000000"/>
          <w:kern w:val="2"/>
          <w:sz w:val="20"/>
          <w:szCs w:val="20"/>
          <w:lang w:bidi="ar"/>
        </w:rPr>
        <w:t>对面向网络安全异常检测的</w:t>
      </w:r>
      <w:r>
        <w:rPr>
          <w:color w:val="000000"/>
          <w:kern w:val="2"/>
          <w:sz w:val="20"/>
          <w:szCs w:val="20"/>
          <w:lang w:bidi="ar"/>
        </w:rPr>
        <w:t>HGNN</w:t>
      </w:r>
      <w:r>
        <w:rPr>
          <w:rFonts w:hint="eastAsia"/>
          <w:color w:val="000000"/>
          <w:kern w:val="2"/>
          <w:sz w:val="20"/>
          <w:szCs w:val="20"/>
          <w:lang w:bidi="ar"/>
        </w:rPr>
        <w:t>方法进行了系统分类，归纳了节点级、边级和子图级三种粒度的异常检测范式，并指出现有</w:t>
      </w:r>
      <w:r>
        <w:rPr>
          <w:color w:val="000000"/>
          <w:kern w:val="2"/>
          <w:sz w:val="20"/>
          <w:szCs w:val="20"/>
          <w:lang w:bidi="ar"/>
        </w:rPr>
        <w:t>HGNN</w:t>
      </w:r>
      <w:r>
        <w:rPr>
          <w:rFonts w:hint="eastAsia"/>
          <w:color w:val="000000"/>
          <w:kern w:val="2"/>
          <w:sz w:val="20"/>
          <w:szCs w:val="20"/>
          <w:lang w:bidi="ar"/>
        </w:rPr>
        <w:t>方法普遍面临时序建模弱、评估基准缺乏以及可解释性有限等核心挑战。在</w:t>
      </w:r>
      <w:r>
        <w:rPr>
          <w:color w:val="000000"/>
          <w:kern w:val="2"/>
          <w:sz w:val="20"/>
          <w:szCs w:val="20"/>
          <w:lang w:bidi="ar"/>
        </w:rPr>
        <w:t>APT</w:t>
      </w:r>
      <w:r>
        <w:rPr>
          <w:rFonts w:hint="eastAsia"/>
          <w:color w:val="000000"/>
          <w:kern w:val="2"/>
          <w:sz w:val="20"/>
          <w:szCs w:val="20"/>
          <w:lang w:bidi="ar"/>
        </w:rPr>
        <w:t>归因的具体应用中，</w:t>
      </w:r>
      <w:r>
        <w:rPr>
          <w:color w:val="000000"/>
          <w:kern w:val="2"/>
          <w:sz w:val="20"/>
          <w:szCs w:val="20"/>
          <w:lang w:bidi="ar"/>
        </w:rPr>
        <w:t>Ren</w:t>
      </w:r>
      <w:r>
        <w:rPr>
          <w:rFonts w:hint="eastAsia"/>
          <w:color w:val="000000"/>
          <w:kern w:val="2"/>
          <w:sz w:val="20"/>
          <w:szCs w:val="20"/>
          <w:lang w:bidi="ar"/>
        </w:rPr>
        <w:t>等人</w:t>
      </w:r>
      <w:r>
        <w:rPr>
          <w:color w:val="000000"/>
          <w:kern w:val="2"/>
          <w:sz w:val="20"/>
          <w:szCs w:val="20"/>
          <w:lang w:bidi="ar"/>
        </w:rPr>
        <w:t>[28]</w:t>
      </w:r>
      <w:r>
        <w:rPr>
          <w:rFonts w:hint="eastAsia"/>
          <w:color w:val="000000"/>
          <w:kern w:val="2"/>
          <w:sz w:val="20"/>
          <w:szCs w:val="20"/>
          <w:lang w:bidi="ar"/>
        </w:rPr>
        <w:t>构建的</w:t>
      </w:r>
      <w:r>
        <w:rPr>
          <w:color w:val="000000"/>
          <w:kern w:val="2"/>
          <w:sz w:val="20"/>
          <w:szCs w:val="20"/>
          <w:lang w:bidi="ar"/>
        </w:rPr>
        <w:t>CSKG4APT</w:t>
      </w:r>
      <w:r>
        <w:rPr>
          <w:rFonts w:hint="eastAsia"/>
          <w:color w:val="000000"/>
          <w:kern w:val="2"/>
          <w:sz w:val="20"/>
          <w:szCs w:val="20"/>
          <w:lang w:bidi="ar"/>
        </w:rPr>
        <w:t>知识图谱平台将深度学习与专家知识融合，显式编码实体类型间的语义差异；</w:t>
      </w:r>
      <w:r>
        <w:rPr>
          <w:color w:val="000000"/>
          <w:kern w:val="2"/>
          <w:sz w:val="20"/>
          <w:szCs w:val="20"/>
          <w:lang w:bidi="ar"/>
        </w:rPr>
        <w:t>Li</w:t>
      </w:r>
      <w:r>
        <w:rPr>
          <w:rFonts w:hint="eastAsia"/>
          <w:color w:val="000000"/>
          <w:kern w:val="2"/>
          <w:sz w:val="20"/>
          <w:szCs w:val="20"/>
          <w:lang w:bidi="ar"/>
        </w:rPr>
        <w:t>等人</w:t>
      </w:r>
      <w:r>
        <w:rPr>
          <w:color w:val="000000"/>
          <w:kern w:val="2"/>
          <w:sz w:val="20"/>
          <w:szCs w:val="20"/>
          <w:lang w:bidi="ar"/>
        </w:rPr>
        <w:t>[29]</w:t>
      </w:r>
      <w:r>
        <w:rPr>
          <w:rFonts w:hint="eastAsia"/>
          <w:color w:val="000000"/>
          <w:kern w:val="2"/>
          <w:sz w:val="20"/>
          <w:szCs w:val="20"/>
          <w:lang w:bidi="ar"/>
        </w:rPr>
        <w:t>提出</w:t>
      </w:r>
      <w:r>
        <w:rPr>
          <w:color w:val="000000"/>
          <w:kern w:val="2"/>
          <w:sz w:val="20"/>
          <w:szCs w:val="20"/>
          <w:lang w:bidi="ar"/>
        </w:rPr>
        <w:t>AttacKG</w:t>
      </w:r>
      <w:r>
        <w:rPr>
          <w:rFonts w:hint="eastAsia"/>
          <w:color w:val="000000"/>
          <w:kern w:val="2"/>
          <w:sz w:val="20"/>
          <w:szCs w:val="20"/>
          <w:lang w:bidi="ar"/>
        </w:rPr>
        <w:t>，从</w:t>
      </w:r>
      <w:r>
        <w:rPr>
          <w:color w:val="000000"/>
          <w:kern w:val="2"/>
          <w:sz w:val="20"/>
          <w:szCs w:val="20"/>
          <w:lang w:bidi="ar"/>
        </w:rPr>
        <w:t>CTI</w:t>
      </w:r>
      <w:r>
        <w:rPr>
          <w:rFonts w:hint="eastAsia"/>
          <w:color w:val="000000"/>
          <w:kern w:val="2"/>
          <w:sz w:val="20"/>
          <w:szCs w:val="20"/>
          <w:lang w:bidi="ar"/>
        </w:rPr>
        <w:t>报告自动抽取攻击行为图并扩展为技术知识图谱，实现多源情报融合，但输入规模扩大后计算复杂度增长较快。</w:t>
      </w:r>
      <w:r>
        <w:rPr>
          <w:color w:val="000000"/>
          <w:kern w:val="2"/>
          <w:sz w:val="20"/>
          <w:szCs w:val="20"/>
          <w:lang w:bidi="ar"/>
        </w:rPr>
        <w:t>Chen</w:t>
      </w:r>
      <w:r>
        <w:rPr>
          <w:rFonts w:hint="eastAsia"/>
          <w:color w:val="000000"/>
          <w:kern w:val="2"/>
          <w:sz w:val="20"/>
          <w:szCs w:val="20"/>
          <w:lang w:bidi="ar"/>
        </w:rPr>
        <w:t>等人</w:t>
      </w:r>
      <w:r>
        <w:rPr>
          <w:color w:val="000000"/>
          <w:kern w:val="2"/>
          <w:sz w:val="20"/>
          <w:szCs w:val="20"/>
          <w:lang w:bidi="ar"/>
        </w:rPr>
        <w:t>[30]</w:t>
      </w:r>
      <w:r>
        <w:rPr>
          <w:rFonts w:hint="eastAsia"/>
          <w:color w:val="000000"/>
          <w:kern w:val="2"/>
          <w:sz w:val="20"/>
          <w:szCs w:val="20"/>
          <w:lang w:bidi="ar"/>
        </w:rPr>
        <w:t>设计</w:t>
      </w:r>
      <w:r>
        <w:rPr>
          <w:color w:val="000000"/>
          <w:kern w:val="2"/>
          <w:sz w:val="20"/>
          <w:szCs w:val="20"/>
          <w:lang w:bidi="ar"/>
        </w:rPr>
        <w:t>APT-KGL</w:t>
      </w:r>
      <w:r>
        <w:rPr>
          <w:rFonts w:hint="eastAsia"/>
          <w:color w:val="000000"/>
          <w:kern w:val="2"/>
          <w:sz w:val="20"/>
          <w:szCs w:val="20"/>
          <w:lang w:bidi="ar"/>
        </w:rPr>
        <w:t>通过异质溯源图建模缓解样本稀缺问题，</w:t>
      </w:r>
      <w:r>
        <w:rPr>
          <w:color w:val="000000"/>
          <w:kern w:val="2"/>
          <w:sz w:val="20"/>
          <w:szCs w:val="20"/>
          <w:lang w:bidi="ar"/>
        </w:rPr>
        <w:t>Mead</w:t>
      </w:r>
      <w:r>
        <w:rPr>
          <w:rFonts w:hint="eastAsia"/>
          <w:color w:val="000000"/>
          <w:kern w:val="2"/>
          <w:sz w:val="20"/>
          <w:szCs w:val="20"/>
          <w:lang w:bidi="ar"/>
        </w:rPr>
        <w:t>和</w:t>
      </w:r>
      <w:r>
        <w:rPr>
          <w:color w:val="000000"/>
          <w:kern w:val="2"/>
          <w:sz w:val="20"/>
          <w:szCs w:val="20"/>
          <w:lang w:bidi="ar"/>
        </w:rPr>
        <w:t>Arabo[4]</w:t>
      </w:r>
      <w:r>
        <w:rPr>
          <w:rFonts w:hint="eastAsia"/>
          <w:color w:val="000000"/>
          <w:kern w:val="2"/>
          <w:sz w:val="20"/>
          <w:szCs w:val="20"/>
          <w:lang w:bidi="ar"/>
        </w:rPr>
        <w:t>则将异质图神经网络与上下文</w:t>
      </w:r>
      <w:r>
        <w:rPr>
          <w:color w:val="000000"/>
          <w:kern w:val="2"/>
          <w:sz w:val="20"/>
          <w:szCs w:val="20"/>
          <w:lang w:bidi="ar"/>
        </w:rPr>
        <w:t>CTI</w:t>
      </w:r>
      <w:r>
        <w:rPr>
          <w:rFonts w:hint="eastAsia"/>
          <w:color w:val="000000"/>
          <w:kern w:val="2"/>
          <w:sz w:val="20"/>
          <w:szCs w:val="20"/>
          <w:lang w:bidi="ar"/>
        </w:rPr>
        <w:t>相结合，兼顾语义与结构信息，是近期较有代表性的异质图归因工作。</w:t>
      </w:r>
    </w:p>
    <w:p w14:paraId="5BAF412A">
      <w:pPr>
        <w:pStyle w:val="10"/>
        <w:adjustRightInd w:val="0"/>
        <w:spacing w:beforeAutospacing="0" w:after="60" w:afterAutospacing="0" w:line="400" w:lineRule="exact"/>
        <w:ind w:firstLine="400" w:firstLineChars="200"/>
        <w:jc w:val="both"/>
        <w:rPr>
          <w:color w:val="000000"/>
          <w:kern w:val="2"/>
          <w:sz w:val="20"/>
          <w:szCs w:val="20"/>
          <w:lang w:bidi="ar"/>
        </w:rPr>
      </w:pPr>
      <w:r>
        <w:rPr>
          <w:color w:val="000000"/>
          <w:kern w:val="2"/>
          <w:sz w:val="20"/>
          <w:szCs w:val="20"/>
          <w:lang w:bidi="ar"/>
        </w:rPr>
        <w:t>异质图方法在语义表达能力上比同质图有了明显进步，但现有方法大多依赖段落内局部共现关系构建图结构，隐含地假设"语义相关实体在局部文本中同时出现"。这一假设在APT场景下往往站不住脚——初始投递行为与命令控制信息通常跨段落分布，仅靠局部共现所连接的子图之间缺乏桥梁，容易形成"信息孤岛"，跨阶段攻击模式因此无法被完整表达[9,13]。与此同时，多类型关系的独立建模带来的参数膨胀与稀疏样本下的过拟合风险，也是现有工作尚未妥善应对的问题[10]。</w:t>
      </w:r>
    </w:p>
    <w:p w14:paraId="5FA13D33">
      <w:pPr>
        <w:pStyle w:val="3"/>
        <w:keepNext/>
        <w:widowControl/>
        <w:spacing w:before="360" w:after="120" w:afterLines="0"/>
        <w:jc w:val="both"/>
        <w:rPr>
          <w:sz w:val="24"/>
          <w:szCs w:val="24"/>
        </w:rPr>
      </w:pPr>
      <w:r>
        <w:rPr>
          <w:sz w:val="24"/>
          <w:szCs w:val="24"/>
        </w:rPr>
        <w:t xml:space="preserve">2.3 </w:t>
      </w:r>
      <w:r>
        <w:rPr>
          <w:rFonts w:hint="eastAsia" w:cs="宋体"/>
          <w:sz w:val="24"/>
          <w:szCs w:val="24"/>
        </w:rPr>
        <w:t>基于图表示学习深化的</w:t>
      </w:r>
      <w:r>
        <w:rPr>
          <w:sz w:val="24"/>
          <w:szCs w:val="24"/>
        </w:rPr>
        <w:t>APT</w:t>
      </w:r>
      <w:r>
        <w:rPr>
          <w:rFonts w:hint="eastAsia" w:cs="宋体"/>
          <w:sz w:val="24"/>
          <w:szCs w:val="24"/>
        </w:rPr>
        <w:t>归因方法</w:t>
      </w:r>
    </w:p>
    <w:p w14:paraId="67BBC499">
      <w:pPr>
        <w:pStyle w:val="10"/>
        <w:adjustRightInd w:val="0"/>
        <w:spacing w:beforeAutospacing="0" w:after="60" w:afterAutospacing="0" w:line="400" w:lineRule="exact"/>
        <w:ind w:firstLine="400" w:firstLineChars="200"/>
        <w:jc w:val="both"/>
        <w:rPr>
          <w:color w:val="000000"/>
          <w:kern w:val="2"/>
          <w:sz w:val="20"/>
          <w:szCs w:val="20"/>
          <w:lang w:bidi="ar"/>
        </w:rPr>
      </w:pPr>
      <w:r>
        <w:rPr>
          <w:rFonts w:hint="eastAsia"/>
          <w:color w:val="000000"/>
          <w:kern w:val="2"/>
          <w:sz w:val="20"/>
          <w:szCs w:val="20"/>
          <w:lang w:bidi="ar"/>
        </w:rPr>
        <w:t>在图结构建模基础上，进一步提升表示能力成为新的研究重点。一部分工作尝试通过引入外部知识增强图结构，另一部分则关注攻击过程的动态演化，还有一些研究开始从表示学习机制本身入手，探索更合理的特征融合方式。</w:t>
      </w:r>
    </w:p>
    <w:p w14:paraId="37E9344D">
      <w:pPr>
        <w:pStyle w:val="10"/>
        <w:adjustRightInd w:val="0"/>
        <w:spacing w:beforeAutospacing="0" w:after="60" w:afterAutospacing="0" w:line="400" w:lineRule="exact"/>
        <w:ind w:firstLine="400" w:firstLineChars="200"/>
        <w:jc w:val="both"/>
        <w:rPr>
          <w:color w:val="000000"/>
          <w:kern w:val="2"/>
          <w:sz w:val="20"/>
          <w:szCs w:val="20"/>
          <w:lang w:bidi="ar"/>
        </w:rPr>
      </w:pPr>
      <w:r>
        <w:rPr>
          <w:rFonts w:hint="eastAsia"/>
          <w:color w:val="000000"/>
          <w:kern w:val="2"/>
          <w:sz w:val="20"/>
          <w:szCs w:val="20"/>
          <w:lang w:bidi="ar"/>
        </w:rPr>
        <w:t>从发展脉络来看，这一阶段的研究已经不再局限于“把图建出来”，而是开始关注“图怎么用得更好”。围绕这一目标，现有方法可以从知识增强、动态建模以及表示解耦三个方向进行归纳。</w:t>
      </w:r>
    </w:p>
    <w:p w14:paraId="3946450D">
      <w:pPr>
        <w:pStyle w:val="4"/>
        <w:keepNext/>
        <w:widowControl/>
        <w:spacing w:before="360" w:beforeLines="0" w:after="120" w:afterLines="0"/>
        <w:jc w:val="both"/>
        <w:rPr>
          <w:sz w:val="21"/>
          <w:szCs w:val="21"/>
        </w:rPr>
      </w:pPr>
      <w:r>
        <w:rPr>
          <w:sz w:val="21"/>
          <w:szCs w:val="21"/>
        </w:rPr>
        <w:t xml:space="preserve">2.3.1 </w:t>
      </w:r>
      <w:r>
        <w:rPr>
          <w:rFonts w:hint="eastAsia" w:cs="宋体"/>
          <w:sz w:val="21"/>
          <w:szCs w:val="21"/>
        </w:rPr>
        <w:t>融合外部知识的图增强方法</w:t>
      </w:r>
    </w:p>
    <w:p w14:paraId="6DD92543">
      <w:pPr>
        <w:pStyle w:val="10"/>
        <w:adjustRightInd w:val="0"/>
        <w:spacing w:beforeAutospacing="0" w:after="60" w:afterAutospacing="0" w:line="400" w:lineRule="exact"/>
        <w:ind w:firstLine="400" w:firstLineChars="200"/>
        <w:jc w:val="both"/>
        <w:rPr>
          <w:color w:val="000000"/>
          <w:kern w:val="2"/>
          <w:sz w:val="20"/>
          <w:szCs w:val="20"/>
          <w:lang w:bidi="ar"/>
        </w:rPr>
      </w:pPr>
      <w:r>
        <w:rPr>
          <w:rFonts w:hint="eastAsia"/>
          <w:color w:val="000000"/>
          <w:kern w:val="2"/>
          <w:sz w:val="20"/>
          <w:szCs w:val="20"/>
          <w:lang w:bidi="ar"/>
        </w:rPr>
        <w:t>为弥补纯数据驱动方法在小样本场景下的不足，部分研究者将外部领域知识引入图构建环节。</w:t>
      </w:r>
      <w:r>
        <w:rPr>
          <w:color w:val="000000"/>
          <w:kern w:val="2"/>
          <w:sz w:val="20"/>
          <w:szCs w:val="20"/>
          <w:lang w:bidi="ar"/>
        </w:rPr>
        <w:t>Zhang</w:t>
      </w:r>
      <w:r>
        <w:rPr>
          <w:rFonts w:hint="eastAsia"/>
          <w:color w:val="000000"/>
          <w:kern w:val="2"/>
          <w:sz w:val="20"/>
          <w:szCs w:val="20"/>
          <w:lang w:bidi="ar"/>
        </w:rPr>
        <w:t>等人</w:t>
      </w:r>
      <w:r>
        <w:rPr>
          <w:color w:val="000000"/>
          <w:kern w:val="2"/>
          <w:sz w:val="20"/>
          <w:szCs w:val="20"/>
          <w:lang w:bidi="ar"/>
        </w:rPr>
        <w:t>[11]</w:t>
      </w:r>
      <w:r>
        <w:rPr>
          <w:rFonts w:hint="eastAsia"/>
          <w:color w:val="000000"/>
          <w:kern w:val="2"/>
          <w:sz w:val="20"/>
          <w:szCs w:val="20"/>
          <w:lang w:bidi="ar"/>
        </w:rPr>
        <w:t>提出</w:t>
      </w:r>
      <w:r>
        <w:rPr>
          <w:color w:val="000000"/>
          <w:kern w:val="2"/>
          <w:sz w:val="20"/>
          <w:szCs w:val="20"/>
          <w:lang w:bidi="ar"/>
        </w:rPr>
        <w:t>MPCA</w:t>
      </w:r>
      <w:r>
        <w:rPr>
          <w:rFonts w:hint="eastAsia"/>
          <w:color w:val="000000"/>
          <w:kern w:val="2"/>
          <w:sz w:val="20"/>
          <w:szCs w:val="20"/>
          <w:lang w:bidi="ar"/>
        </w:rPr>
        <w:t>，通过多视角置信度与关联分析约束溯源图中的噪声边，改善稀疏场景下图结构的可靠性。</w:t>
      </w:r>
      <w:r>
        <w:rPr>
          <w:color w:val="000000"/>
          <w:kern w:val="2"/>
          <w:sz w:val="20"/>
          <w:szCs w:val="20"/>
          <w:lang w:bidi="ar"/>
        </w:rPr>
        <w:t>Yang</w:t>
      </w:r>
      <w:r>
        <w:rPr>
          <w:rFonts w:hint="eastAsia"/>
          <w:color w:val="000000"/>
          <w:kern w:val="2"/>
          <w:sz w:val="20"/>
          <w:szCs w:val="20"/>
          <w:lang w:bidi="ar"/>
        </w:rPr>
        <w:t>等人</w:t>
      </w:r>
      <w:r>
        <w:rPr>
          <w:color w:val="000000"/>
          <w:kern w:val="2"/>
          <w:sz w:val="20"/>
          <w:szCs w:val="20"/>
          <w:lang w:bidi="ar"/>
        </w:rPr>
        <w:t>[5]</w:t>
      </w:r>
      <w:r>
        <w:rPr>
          <w:rFonts w:hint="eastAsia"/>
          <w:color w:val="000000"/>
          <w:kern w:val="2"/>
          <w:sz w:val="20"/>
          <w:szCs w:val="20"/>
          <w:lang w:bidi="ar"/>
        </w:rPr>
        <w:t>的</w:t>
      </w:r>
      <w:r>
        <w:rPr>
          <w:color w:val="000000"/>
          <w:kern w:val="2"/>
          <w:sz w:val="20"/>
          <w:szCs w:val="20"/>
          <w:lang w:bidi="ar"/>
        </w:rPr>
        <w:t>CTI-Thinker</w:t>
      </w:r>
      <w:r>
        <w:rPr>
          <w:rFonts w:hint="eastAsia"/>
          <w:color w:val="000000"/>
          <w:kern w:val="2"/>
          <w:sz w:val="20"/>
          <w:szCs w:val="20"/>
          <w:lang w:bidi="ar"/>
        </w:rPr>
        <w:t>以</w:t>
      </w:r>
      <w:r>
        <w:rPr>
          <w:color w:val="000000"/>
          <w:kern w:val="2"/>
          <w:sz w:val="20"/>
          <w:szCs w:val="20"/>
          <w:lang w:bidi="ar"/>
        </w:rPr>
        <w:t>LLM</w:t>
      </w:r>
      <w:r>
        <w:rPr>
          <w:rFonts w:hint="eastAsia"/>
          <w:color w:val="000000"/>
          <w:kern w:val="2"/>
          <w:sz w:val="20"/>
          <w:szCs w:val="20"/>
          <w:lang w:bidi="ar"/>
        </w:rPr>
        <w:t>驱动的知识图谱自动构建为基础，实现了从攻击推理到归因判断的端到端流程，在知识融合自动化上有显著突破。何厚翰等人</w:t>
      </w:r>
      <w:r>
        <w:rPr>
          <w:color w:val="000000"/>
          <w:kern w:val="2"/>
          <w:sz w:val="20"/>
          <w:szCs w:val="20"/>
          <w:lang w:bidi="ar"/>
        </w:rPr>
        <w:t>[9]</w:t>
      </w:r>
      <w:r>
        <w:rPr>
          <w:rFonts w:hint="eastAsia"/>
          <w:color w:val="000000"/>
          <w:kern w:val="2"/>
          <w:sz w:val="20"/>
          <w:szCs w:val="20"/>
          <w:lang w:bidi="ar"/>
        </w:rPr>
        <w:t>针对溯源图的多维度边优化展开研究，表明精细化的图结构设计对</w:t>
      </w:r>
      <w:r>
        <w:rPr>
          <w:color w:val="000000"/>
          <w:kern w:val="2"/>
          <w:sz w:val="20"/>
          <w:szCs w:val="20"/>
          <w:lang w:bidi="ar"/>
        </w:rPr>
        <w:t>APT</w:t>
      </w:r>
      <w:r>
        <w:rPr>
          <w:rFonts w:hint="eastAsia"/>
          <w:color w:val="000000"/>
          <w:kern w:val="2"/>
          <w:sz w:val="20"/>
          <w:szCs w:val="20"/>
          <w:lang w:bidi="ar"/>
        </w:rPr>
        <w:t>检测效果具有实际价值。</w:t>
      </w:r>
      <w:r>
        <w:rPr>
          <w:color w:val="000000"/>
          <w:kern w:val="2"/>
          <w:sz w:val="20"/>
          <w:szCs w:val="20"/>
          <w:lang w:bidi="ar"/>
        </w:rPr>
        <w:t>Aly</w:t>
      </w:r>
      <w:r>
        <w:rPr>
          <w:rFonts w:hint="eastAsia"/>
          <w:color w:val="000000"/>
          <w:kern w:val="2"/>
          <w:sz w:val="20"/>
          <w:szCs w:val="20"/>
          <w:lang w:bidi="ar"/>
        </w:rPr>
        <w:t>等人</w:t>
      </w:r>
      <w:r>
        <w:rPr>
          <w:color w:val="000000"/>
          <w:kern w:val="2"/>
          <w:sz w:val="20"/>
          <w:szCs w:val="20"/>
          <w:lang w:bidi="ar"/>
        </w:rPr>
        <w:t>[12]</w:t>
      </w:r>
      <w:r>
        <w:rPr>
          <w:rFonts w:hint="eastAsia"/>
          <w:color w:val="000000"/>
          <w:kern w:val="2"/>
          <w:sz w:val="20"/>
          <w:szCs w:val="20"/>
          <w:lang w:bidi="ar"/>
        </w:rPr>
        <w:t>在</w:t>
      </w:r>
      <w:r>
        <w:rPr>
          <w:color w:val="000000"/>
          <w:kern w:val="2"/>
          <w:sz w:val="20"/>
          <w:szCs w:val="20"/>
          <w:lang w:bidi="ar"/>
        </w:rPr>
        <w:t>OCR-APT</w:t>
      </w:r>
      <w:r>
        <w:rPr>
          <w:rFonts w:hint="eastAsia"/>
          <w:color w:val="000000"/>
          <w:kern w:val="2"/>
          <w:sz w:val="20"/>
          <w:szCs w:val="20"/>
          <w:lang w:bidi="ar"/>
        </w:rPr>
        <w:t>中结合子图异常检测与大语言模型，从审计日志中还原完整攻击叙事，拓宽了知识融合的信息来源。然而，上述方法普遍依赖预定义本体或固定知识库，在面对攻击实体动态演化时适应能力有限，因此如何在不绑定固定本体的前提下将领域先验以数据驱动的方式隐式融入图结构，是本文图构建模块的核心设计动机。</w:t>
      </w:r>
    </w:p>
    <w:p w14:paraId="3822861F">
      <w:pPr>
        <w:pStyle w:val="4"/>
        <w:keepNext/>
        <w:widowControl/>
        <w:spacing w:before="360" w:beforeLines="0" w:after="120" w:afterLines="0"/>
        <w:jc w:val="both"/>
        <w:rPr>
          <w:sz w:val="21"/>
          <w:szCs w:val="21"/>
        </w:rPr>
      </w:pPr>
      <w:r>
        <w:rPr>
          <w:sz w:val="21"/>
          <w:szCs w:val="21"/>
        </w:rPr>
        <w:t xml:space="preserve">2.3.2 </w:t>
      </w:r>
      <w:r>
        <w:rPr>
          <w:rFonts w:hint="eastAsia" w:cs="宋体"/>
          <w:sz w:val="21"/>
          <w:szCs w:val="21"/>
        </w:rPr>
        <w:t>面向</w:t>
      </w:r>
      <w:r>
        <w:rPr>
          <w:sz w:val="21"/>
          <w:szCs w:val="21"/>
        </w:rPr>
        <w:t>APT</w:t>
      </w:r>
      <w:r>
        <w:rPr>
          <w:rFonts w:hint="eastAsia" w:cs="宋体"/>
          <w:sz w:val="21"/>
          <w:szCs w:val="21"/>
        </w:rPr>
        <w:t>攻击阶段的动态图方法</w:t>
      </w:r>
    </w:p>
    <w:p w14:paraId="6C32E657">
      <w:pPr>
        <w:pStyle w:val="10"/>
        <w:adjustRightInd w:val="0"/>
        <w:spacing w:beforeAutospacing="0" w:after="60" w:afterAutospacing="0" w:line="400" w:lineRule="exact"/>
        <w:ind w:firstLine="400" w:firstLineChars="200"/>
        <w:jc w:val="both"/>
        <w:rPr>
          <w:color w:val="000000"/>
          <w:kern w:val="2"/>
          <w:sz w:val="20"/>
          <w:szCs w:val="20"/>
          <w:lang w:bidi="ar"/>
        </w:rPr>
      </w:pPr>
      <w:r>
        <w:rPr>
          <w:color w:val="000000"/>
          <w:kern w:val="2"/>
          <w:sz w:val="20"/>
          <w:szCs w:val="20"/>
          <w:lang w:bidi="ar"/>
        </w:rPr>
        <w:t>APT</w:t>
      </w:r>
      <w:r>
        <w:rPr>
          <w:rFonts w:hint="eastAsia"/>
          <w:color w:val="000000"/>
          <w:kern w:val="2"/>
          <w:sz w:val="20"/>
          <w:szCs w:val="20"/>
          <w:lang w:bidi="ar"/>
        </w:rPr>
        <w:t>攻击本质上是跨越多个时间阶段的持续性过程，静态图快照难以捕获其阶段间的时序演化特征。</w:t>
      </w:r>
      <w:r>
        <w:rPr>
          <w:color w:val="000000"/>
          <w:kern w:val="2"/>
          <w:sz w:val="20"/>
          <w:szCs w:val="20"/>
          <w:lang w:bidi="ar"/>
        </w:rPr>
        <w:t>Lu</w:t>
      </w:r>
      <w:r>
        <w:rPr>
          <w:rFonts w:hint="eastAsia"/>
          <w:color w:val="000000"/>
          <w:kern w:val="2"/>
          <w:sz w:val="20"/>
          <w:szCs w:val="20"/>
          <w:lang w:bidi="ar"/>
        </w:rPr>
        <w:t>等人</w:t>
      </w:r>
      <w:r>
        <w:rPr>
          <w:color w:val="000000"/>
          <w:kern w:val="2"/>
          <w:sz w:val="20"/>
          <w:szCs w:val="20"/>
          <w:lang w:bidi="ar"/>
        </w:rPr>
        <w:t>[13]</w:t>
      </w:r>
      <w:r>
        <w:rPr>
          <w:rFonts w:hint="eastAsia"/>
          <w:color w:val="000000"/>
          <w:kern w:val="2"/>
          <w:sz w:val="20"/>
          <w:szCs w:val="20"/>
          <w:lang w:bidi="ar"/>
        </w:rPr>
        <w:t>提出</w:t>
      </w:r>
      <w:r>
        <w:rPr>
          <w:color w:val="000000"/>
          <w:kern w:val="2"/>
          <w:sz w:val="20"/>
          <w:szCs w:val="20"/>
          <w:lang w:bidi="ar"/>
        </w:rPr>
        <w:t>XAPT</w:t>
      </w:r>
      <w:r>
        <w:rPr>
          <w:rFonts w:hint="eastAsia"/>
          <w:color w:val="000000"/>
          <w:kern w:val="2"/>
          <w:sz w:val="20"/>
          <w:szCs w:val="20"/>
          <w:lang w:bidi="ar"/>
        </w:rPr>
        <w:t>，以异常驱动方式对攻击阶段进行预测，在溯源图的可解释性方面作出了有益探索。</w:t>
      </w:r>
      <w:r>
        <w:rPr>
          <w:color w:val="000000"/>
          <w:kern w:val="2"/>
          <w:sz w:val="20"/>
          <w:szCs w:val="20"/>
          <w:lang w:bidi="ar"/>
        </w:rPr>
        <w:t>Hu</w:t>
      </w:r>
      <w:r>
        <w:rPr>
          <w:rFonts w:hint="eastAsia"/>
          <w:color w:val="000000"/>
          <w:kern w:val="2"/>
          <w:sz w:val="20"/>
          <w:szCs w:val="20"/>
          <w:lang w:bidi="ar"/>
        </w:rPr>
        <w:t>等人</w:t>
      </w:r>
      <w:r>
        <w:rPr>
          <w:color w:val="000000"/>
          <w:kern w:val="2"/>
          <w:sz w:val="20"/>
          <w:szCs w:val="20"/>
          <w:lang w:bidi="ar"/>
        </w:rPr>
        <w:t>[14]</w:t>
      </w:r>
      <w:r>
        <w:rPr>
          <w:rFonts w:hint="eastAsia"/>
          <w:color w:val="000000"/>
          <w:kern w:val="2"/>
          <w:sz w:val="20"/>
          <w:szCs w:val="20"/>
          <w:lang w:bidi="ar"/>
        </w:rPr>
        <w:t>在</w:t>
      </w:r>
      <w:r>
        <w:rPr>
          <w:color w:val="000000"/>
          <w:kern w:val="2"/>
          <w:sz w:val="20"/>
          <w:szCs w:val="20"/>
          <w:lang w:bidi="ar"/>
        </w:rPr>
        <w:t>CCLog</w:t>
      </w:r>
      <w:r>
        <w:rPr>
          <w:rFonts w:hint="eastAsia"/>
          <w:color w:val="000000"/>
          <w:kern w:val="2"/>
          <w:sz w:val="20"/>
          <w:szCs w:val="20"/>
          <w:lang w:bidi="ar"/>
        </w:rPr>
        <w:t>中将日志语义与溯源图拓扑融合，验证了多源异质信息协同建模对取证准确性的积极效果。</w:t>
      </w:r>
      <w:r>
        <w:rPr>
          <w:color w:val="000000"/>
          <w:kern w:val="2"/>
          <w:sz w:val="20"/>
          <w:szCs w:val="20"/>
          <w:lang w:bidi="ar"/>
        </w:rPr>
        <w:t>Tang</w:t>
      </w:r>
      <w:r>
        <w:rPr>
          <w:rFonts w:hint="eastAsia"/>
          <w:color w:val="000000"/>
          <w:kern w:val="2"/>
          <w:sz w:val="20"/>
          <w:szCs w:val="20"/>
          <w:lang w:bidi="ar"/>
        </w:rPr>
        <w:t>等人</w:t>
      </w:r>
      <w:r>
        <w:rPr>
          <w:color w:val="000000"/>
          <w:kern w:val="2"/>
          <w:sz w:val="20"/>
          <w:szCs w:val="20"/>
          <w:lang w:bidi="ar"/>
        </w:rPr>
        <w:t>[6]</w:t>
      </w:r>
      <w:r>
        <w:rPr>
          <w:rFonts w:hint="eastAsia"/>
          <w:color w:val="000000"/>
          <w:kern w:val="2"/>
          <w:sz w:val="20"/>
          <w:szCs w:val="20"/>
          <w:lang w:bidi="ar"/>
        </w:rPr>
        <w:t>提出</w:t>
      </w:r>
      <w:r>
        <w:rPr>
          <w:color w:val="000000"/>
          <w:kern w:val="2"/>
          <w:sz w:val="20"/>
          <w:szCs w:val="20"/>
          <w:lang w:bidi="ar"/>
        </w:rPr>
        <w:t>FALCON</w:t>
      </w:r>
      <w:r>
        <w:rPr>
          <w:rFonts w:hint="eastAsia"/>
          <w:color w:val="000000"/>
          <w:kern w:val="2"/>
          <w:sz w:val="20"/>
          <w:szCs w:val="20"/>
          <w:lang w:bidi="ar"/>
        </w:rPr>
        <w:t>，通过联邦因果学习在跨域场景中实现</w:t>
      </w:r>
      <w:r>
        <w:rPr>
          <w:color w:val="000000"/>
          <w:kern w:val="2"/>
          <w:sz w:val="20"/>
          <w:szCs w:val="20"/>
          <w:lang w:bidi="ar"/>
        </w:rPr>
        <w:t>APT</w:t>
      </w:r>
      <w:r>
        <w:rPr>
          <w:rFonts w:hint="eastAsia"/>
          <w:color w:val="000000"/>
          <w:kern w:val="2"/>
          <w:sz w:val="20"/>
          <w:szCs w:val="20"/>
          <w:lang w:bidi="ar"/>
        </w:rPr>
        <w:t>调查，提供了一种打通组织数据壁垒的结构化思路。</w:t>
      </w:r>
      <w:r>
        <w:rPr>
          <w:color w:val="000000"/>
          <w:kern w:val="2"/>
          <w:sz w:val="20"/>
          <w:szCs w:val="20"/>
          <w:lang w:bidi="ar"/>
        </w:rPr>
        <w:t>Bilot</w:t>
      </w:r>
      <w:r>
        <w:rPr>
          <w:rFonts w:hint="eastAsia"/>
          <w:color w:val="000000"/>
          <w:kern w:val="2"/>
          <w:sz w:val="20"/>
          <w:szCs w:val="20"/>
          <w:lang w:bidi="ar"/>
        </w:rPr>
        <w:t>等人</w:t>
      </w:r>
      <w:r>
        <w:rPr>
          <w:color w:val="000000"/>
          <w:kern w:val="2"/>
          <w:sz w:val="20"/>
          <w:szCs w:val="20"/>
          <w:lang w:bidi="ar"/>
        </w:rPr>
        <w:t>[1]</w:t>
      </w:r>
      <w:r>
        <w:rPr>
          <w:rFonts w:hint="eastAsia"/>
          <w:color w:val="000000"/>
          <w:kern w:val="2"/>
          <w:sz w:val="20"/>
          <w:szCs w:val="20"/>
          <w:lang w:bidi="ar"/>
        </w:rPr>
        <w:t>在综述中强调，时序信息是</w:t>
      </w:r>
      <w:r>
        <w:rPr>
          <w:color w:val="000000"/>
          <w:kern w:val="2"/>
          <w:sz w:val="20"/>
          <w:szCs w:val="20"/>
          <w:lang w:bidi="ar"/>
        </w:rPr>
        <w:t>APT</w:t>
      </w:r>
      <w:r>
        <w:rPr>
          <w:rFonts w:hint="eastAsia"/>
          <w:color w:val="000000"/>
          <w:kern w:val="2"/>
          <w:sz w:val="20"/>
          <w:szCs w:val="20"/>
          <w:lang w:bidi="ar"/>
        </w:rPr>
        <w:t>检测的关键维度，但当前基于动态图的方法多依赖离散快照序列，对跨阶段攻击行为转变的细粒度捕获能力仍有局限，且计算开销随时间步数增长的问题尚未得到根本性缓解。更深层的问题在于，现有动态图方法通常将语义特征与结构特征混合输入同一聚合函数，两类信息的贡献比例无法被动态感知，在数据分布发生偏移时容易出现明显的性能抖动</w:t>
      </w:r>
      <w:r>
        <w:rPr>
          <w:color w:val="000000"/>
          <w:kern w:val="2"/>
          <w:sz w:val="20"/>
          <w:szCs w:val="20"/>
          <w:lang w:bidi="ar"/>
        </w:rPr>
        <w:t>[13]</w:t>
      </w:r>
      <w:r>
        <w:rPr>
          <w:rFonts w:hint="eastAsia"/>
          <w:color w:val="000000"/>
          <w:kern w:val="2"/>
          <w:sz w:val="20"/>
          <w:szCs w:val="20"/>
          <w:lang w:bidi="ar"/>
        </w:rPr>
        <w:t>。</w:t>
      </w:r>
    </w:p>
    <w:p w14:paraId="569B0939">
      <w:pPr>
        <w:pStyle w:val="4"/>
        <w:keepNext/>
        <w:widowControl/>
        <w:spacing w:before="360" w:beforeLines="0" w:after="120" w:afterLines="0"/>
        <w:jc w:val="both"/>
        <w:rPr>
          <w:sz w:val="21"/>
          <w:szCs w:val="21"/>
        </w:rPr>
      </w:pPr>
      <w:r>
        <w:rPr>
          <w:sz w:val="21"/>
          <w:szCs w:val="21"/>
        </w:rPr>
        <w:t xml:space="preserve">2.3.3 </w:t>
      </w:r>
      <w:r>
        <w:rPr>
          <w:rFonts w:hint="eastAsia" w:cs="宋体"/>
          <w:sz w:val="21"/>
          <w:szCs w:val="21"/>
        </w:rPr>
        <w:t>语义与结构解耦的图学习方法</w:t>
      </w:r>
    </w:p>
    <w:p w14:paraId="0AAFC53D">
      <w:pPr>
        <w:pStyle w:val="10"/>
        <w:adjustRightInd w:val="0"/>
        <w:spacing w:beforeAutospacing="0" w:after="60" w:afterAutospacing="0" w:line="400" w:lineRule="exact"/>
        <w:ind w:firstLine="400" w:firstLineChars="200"/>
        <w:jc w:val="both"/>
        <w:rPr>
          <w:color w:val="000000"/>
          <w:kern w:val="2"/>
          <w:sz w:val="20"/>
          <w:szCs w:val="20"/>
          <w:lang w:bidi="ar"/>
        </w:rPr>
      </w:pPr>
      <w:r>
        <w:rPr>
          <w:rFonts w:hint="eastAsia"/>
          <w:color w:val="000000"/>
          <w:kern w:val="2"/>
          <w:sz w:val="20"/>
          <w:szCs w:val="20"/>
          <w:lang w:bidi="ar"/>
        </w:rPr>
        <w:t>平衡节点语义相似性与关系拓扑约束，是图表示学习领域持续关注的核心议题。</w:t>
      </w:r>
      <w:r>
        <w:rPr>
          <w:color w:val="000000"/>
          <w:kern w:val="2"/>
          <w:sz w:val="20"/>
          <w:szCs w:val="20"/>
          <w:lang w:bidi="ar"/>
        </w:rPr>
        <w:t>Schlichtkrull</w:t>
      </w:r>
      <w:r>
        <w:rPr>
          <w:rFonts w:hint="eastAsia"/>
          <w:color w:val="000000"/>
          <w:kern w:val="2"/>
          <w:sz w:val="20"/>
          <w:szCs w:val="20"/>
          <w:lang w:bidi="ar"/>
        </w:rPr>
        <w:t>等人</w:t>
      </w:r>
      <w:r>
        <w:rPr>
          <w:color w:val="000000"/>
          <w:kern w:val="2"/>
          <w:sz w:val="20"/>
          <w:szCs w:val="20"/>
          <w:lang w:bidi="ar"/>
        </w:rPr>
        <w:t>[31]</w:t>
      </w:r>
      <w:r>
        <w:rPr>
          <w:rFonts w:hint="eastAsia"/>
          <w:color w:val="000000"/>
          <w:kern w:val="2"/>
          <w:sz w:val="20"/>
          <w:szCs w:val="20"/>
          <w:lang w:bidi="ar"/>
        </w:rPr>
        <w:t>提出的</w:t>
      </w:r>
      <w:r>
        <w:rPr>
          <w:color w:val="000000"/>
          <w:kern w:val="2"/>
          <w:sz w:val="20"/>
          <w:szCs w:val="20"/>
          <w:lang w:bidi="ar"/>
        </w:rPr>
        <w:t>RGCN</w:t>
      </w:r>
      <w:r>
        <w:rPr>
          <w:rFonts w:hint="eastAsia"/>
          <w:color w:val="000000"/>
          <w:kern w:val="2"/>
          <w:sz w:val="20"/>
          <w:szCs w:val="20"/>
          <w:lang w:bidi="ar"/>
        </w:rPr>
        <w:t>通过基分解机制在多关系类型间共享参数矩阵，有效控制了异质关系建模的参数规模，在稀疏关系场景下展现出较好的泛化能力，为本文应对稀疏归因图的多关系过拟合问题提供了直接参考。</w:t>
      </w:r>
      <w:r>
        <w:rPr>
          <w:color w:val="000000"/>
          <w:kern w:val="2"/>
          <w:sz w:val="20"/>
          <w:szCs w:val="20"/>
          <w:lang w:bidi="ar"/>
        </w:rPr>
        <w:t>Brody</w:t>
      </w:r>
      <w:r>
        <w:rPr>
          <w:rFonts w:hint="eastAsia"/>
          <w:color w:val="000000"/>
          <w:kern w:val="2"/>
          <w:sz w:val="20"/>
          <w:szCs w:val="20"/>
          <w:lang w:bidi="ar"/>
        </w:rPr>
        <w:t>等人</w:t>
      </w:r>
      <w:r>
        <w:rPr>
          <w:color w:val="000000"/>
          <w:kern w:val="2"/>
          <w:sz w:val="20"/>
          <w:szCs w:val="20"/>
          <w:lang w:bidi="ar"/>
        </w:rPr>
        <w:t>[32]</w:t>
      </w:r>
      <w:r>
        <w:rPr>
          <w:rFonts w:hint="eastAsia"/>
          <w:color w:val="000000"/>
          <w:kern w:val="2"/>
          <w:sz w:val="20"/>
          <w:szCs w:val="20"/>
          <w:lang w:bidi="ar"/>
        </w:rPr>
        <w:t>提出</w:t>
      </w:r>
      <w:r>
        <w:rPr>
          <w:color w:val="000000"/>
          <w:kern w:val="2"/>
          <w:sz w:val="20"/>
          <w:szCs w:val="20"/>
          <w:lang w:bidi="ar"/>
        </w:rPr>
        <w:t>GATv2</w:t>
      </w:r>
      <w:r>
        <w:rPr>
          <w:rFonts w:hint="eastAsia"/>
          <w:color w:val="000000"/>
          <w:kern w:val="2"/>
          <w:sz w:val="20"/>
          <w:szCs w:val="20"/>
          <w:lang w:bidi="ar"/>
        </w:rPr>
        <w:t>，修正了原始</w:t>
      </w:r>
      <w:r>
        <w:rPr>
          <w:color w:val="000000"/>
          <w:kern w:val="2"/>
          <w:sz w:val="20"/>
          <w:szCs w:val="20"/>
          <w:lang w:bidi="ar"/>
        </w:rPr>
        <w:t>GAT</w:t>
      </w:r>
      <w:r>
        <w:rPr>
          <w:rFonts w:hint="eastAsia"/>
          <w:color w:val="000000"/>
          <w:kern w:val="2"/>
          <w:sz w:val="20"/>
          <w:szCs w:val="20"/>
          <w:lang w:bidi="ar"/>
        </w:rPr>
        <w:t>注意力权重与目标节点内容无关的缺陷，使注意力机制真正具备逐节点的动态性，在异质节点特征场景下表现更为稳定，是本文语义流模块的核心基础。</w:t>
      </w:r>
      <w:r>
        <w:rPr>
          <w:color w:val="000000"/>
          <w:kern w:val="2"/>
          <w:sz w:val="20"/>
          <w:szCs w:val="20"/>
          <w:lang w:bidi="ar"/>
        </w:rPr>
        <w:t>You</w:t>
      </w:r>
      <w:r>
        <w:rPr>
          <w:rFonts w:hint="eastAsia"/>
          <w:color w:val="000000"/>
          <w:kern w:val="2"/>
          <w:sz w:val="20"/>
          <w:szCs w:val="20"/>
          <w:lang w:bidi="ar"/>
        </w:rPr>
        <w:t>等人</w:t>
      </w:r>
      <w:r>
        <w:rPr>
          <w:color w:val="000000"/>
          <w:kern w:val="2"/>
          <w:sz w:val="20"/>
          <w:szCs w:val="20"/>
          <w:lang w:bidi="ar"/>
        </w:rPr>
        <w:t>[33]</w:t>
      </w:r>
      <w:r>
        <w:rPr>
          <w:rFonts w:hint="eastAsia"/>
          <w:color w:val="000000"/>
          <w:kern w:val="2"/>
          <w:sz w:val="20"/>
          <w:szCs w:val="20"/>
          <w:lang w:bidi="ar"/>
        </w:rPr>
        <w:t>提出</w:t>
      </w:r>
      <w:r>
        <w:rPr>
          <w:color w:val="000000"/>
          <w:kern w:val="2"/>
          <w:sz w:val="20"/>
          <w:szCs w:val="20"/>
          <w:lang w:bidi="ar"/>
        </w:rPr>
        <w:t>GraphCL</w:t>
      </w:r>
      <w:r>
        <w:rPr>
          <w:rFonts w:hint="eastAsia"/>
          <w:color w:val="000000"/>
          <w:kern w:val="2"/>
          <w:sz w:val="20"/>
          <w:szCs w:val="20"/>
          <w:lang w:bidi="ar"/>
        </w:rPr>
        <w:t>，通过多视图对比学习显式区分不同特征视图的贡献，验证了解耦建模在提升图表示泛化能力方面的有效性，为语义流与结构流并行建模的双流架构设计提供了重要的理论支撑。</w:t>
      </w:r>
      <w:r>
        <w:rPr>
          <w:color w:val="000000"/>
          <w:kern w:val="2"/>
          <w:sz w:val="20"/>
          <w:szCs w:val="20"/>
          <w:lang w:bidi="ar"/>
        </w:rPr>
        <w:t>Xu</w:t>
      </w:r>
      <w:r>
        <w:rPr>
          <w:rFonts w:hint="eastAsia"/>
          <w:color w:val="000000"/>
          <w:kern w:val="2"/>
          <w:sz w:val="20"/>
          <w:szCs w:val="20"/>
          <w:lang w:bidi="ar"/>
        </w:rPr>
        <w:t>等人</w:t>
      </w:r>
      <w:r>
        <w:rPr>
          <w:color w:val="000000"/>
          <w:kern w:val="2"/>
          <w:sz w:val="20"/>
          <w:szCs w:val="20"/>
          <w:lang w:bidi="ar"/>
        </w:rPr>
        <w:t>[34]</w:t>
      </w:r>
      <w:r>
        <w:rPr>
          <w:rFonts w:hint="eastAsia"/>
          <w:color w:val="000000"/>
          <w:kern w:val="2"/>
          <w:sz w:val="20"/>
          <w:szCs w:val="20"/>
          <w:lang w:bidi="ar"/>
        </w:rPr>
        <w:t>从理论层面分析了</w:t>
      </w:r>
      <w:r>
        <w:rPr>
          <w:color w:val="000000"/>
          <w:kern w:val="2"/>
          <w:sz w:val="20"/>
          <w:szCs w:val="20"/>
          <w:lang w:bidi="ar"/>
        </w:rPr>
        <w:t>GNN</w:t>
      </w:r>
      <w:r>
        <w:rPr>
          <w:rFonts w:hint="eastAsia"/>
          <w:color w:val="000000"/>
          <w:kern w:val="2"/>
          <w:sz w:val="20"/>
          <w:szCs w:val="20"/>
          <w:lang w:bidi="ar"/>
        </w:rPr>
        <w:t>表达能力的上界，指出其等价于</w:t>
      </w:r>
      <w:r>
        <w:rPr>
          <w:color w:val="000000"/>
          <w:kern w:val="2"/>
          <w:sz w:val="20"/>
          <w:szCs w:val="20"/>
          <w:lang w:bidi="ar"/>
        </w:rPr>
        <w:t>Weisfeiler-Lehman</w:t>
      </w:r>
      <w:r>
        <w:rPr>
          <w:rFonts w:hint="eastAsia"/>
          <w:color w:val="000000"/>
          <w:kern w:val="2"/>
          <w:sz w:val="20"/>
          <w:szCs w:val="20"/>
          <w:lang w:bidi="ar"/>
        </w:rPr>
        <w:t>图同构测试，对本文图级分类架构的设计具有理论指导价值。</w:t>
      </w:r>
      <w:r>
        <w:rPr>
          <w:color w:val="000000"/>
          <w:kern w:val="2"/>
          <w:sz w:val="20"/>
          <w:szCs w:val="20"/>
          <w:lang w:bidi="ar"/>
        </w:rPr>
        <w:t>Lee</w:t>
      </w:r>
      <w:r>
        <w:rPr>
          <w:rFonts w:hint="eastAsia"/>
          <w:color w:val="000000"/>
          <w:kern w:val="2"/>
          <w:sz w:val="20"/>
          <w:szCs w:val="20"/>
          <w:lang w:bidi="ar"/>
        </w:rPr>
        <w:t>等人</w:t>
      </w:r>
      <w:r>
        <w:rPr>
          <w:color w:val="000000"/>
          <w:kern w:val="2"/>
          <w:sz w:val="20"/>
          <w:szCs w:val="20"/>
          <w:lang w:bidi="ar"/>
        </w:rPr>
        <w:t>[35]</w:t>
      </w:r>
      <w:r>
        <w:rPr>
          <w:rFonts w:hint="eastAsia"/>
          <w:color w:val="000000"/>
          <w:kern w:val="2"/>
          <w:sz w:val="20"/>
          <w:szCs w:val="20"/>
          <w:lang w:bidi="ar"/>
        </w:rPr>
        <w:t>提出的</w:t>
      </w:r>
      <w:r>
        <w:rPr>
          <w:color w:val="000000"/>
          <w:kern w:val="2"/>
          <w:sz w:val="20"/>
          <w:szCs w:val="20"/>
          <w:lang w:bidi="ar"/>
        </w:rPr>
        <w:t>SAGPool</w:t>
      </w:r>
      <w:r>
        <w:rPr>
          <w:rFonts w:hint="eastAsia"/>
          <w:color w:val="000000"/>
          <w:kern w:val="2"/>
          <w:sz w:val="20"/>
          <w:szCs w:val="20"/>
          <w:lang w:bidi="ar"/>
        </w:rPr>
        <w:t>通过自注意力实现层次化图级表示聚合，为从节点嵌入中提炼全局归因语义提供了有效手段。</w:t>
      </w:r>
      <w:r>
        <w:rPr>
          <w:color w:val="000000"/>
          <w:kern w:val="2"/>
          <w:sz w:val="20"/>
          <w:szCs w:val="20"/>
          <w:lang w:bidi="ar"/>
        </w:rPr>
        <w:t>Hamilton</w:t>
      </w:r>
      <w:r>
        <w:rPr>
          <w:rFonts w:hint="eastAsia"/>
          <w:color w:val="000000"/>
          <w:kern w:val="2"/>
          <w:sz w:val="20"/>
          <w:szCs w:val="20"/>
          <w:lang w:bidi="ar"/>
        </w:rPr>
        <w:t>等人</w:t>
      </w:r>
      <w:r>
        <w:rPr>
          <w:color w:val="000000"/>
          <w:kern w:val="2"/>
          <w:sz w:val="20"/>
          <w:szCs w:val="20"/>
          <w:lang w:bidi="ar"/>
        </w:rPr>
        <w:t>[21]</w:t>
      </w:r>
      <w:r>
        <w:rPr>
          <w:rFonts w:hint="eastAsia"/>
          <w:color w:val="000000"/>
          <w:kern w:val="2"/>
          <w:sz w:val="20"/>
          <w:szCs w:val="20"/>
          <w:lang w:bidi="ar"/>
        </w:rPr>
        <w:t>提出的</w:t>
      </w:r>
      <w:r>
        <w:rPr>
          <w:color w:val="000000"/>
          <w:kern w:val="2"/>
          <w:sz w:val="20"/>
          <w:szCs w:val="20"/>
          <w:lang w:bidi="ar"/>
        </w:rPr>
        <w:t>GraphSAGE</w:t>
      </w:r>
      <w:r>
        <w:rPr>
          <w:rFonts w:hint="eastAsia"/>
          <w:color w:val="000000"/>
          <w:kern w:val="2"/>
          <w:sz w:val="20"/>
          <w:szCs w:val="20"/>
          <w:lang w:bidi="ar"/>
        </w:rPr>
        <w:t>以归纳聚合实现对大规模图的扩展式学习，对模型在不断增长的</w:t>
      </w:r>
      <w:r>
        <w:rPr>
          <w:color w:val="000000"/>
          <w:kern w:val="2"/>
          <w:sz w:val="20"/>
          <w:szCs w:val="20"/>
          <w:lang w:bidi="ar"/>
        </w:rPr>
        <w:t>CTI</w:t>
      </w:r>
      <w:r>
        <w:rPr>
          <w:rFonts w:hint="eastAsia"/>
          <w:color w:val="000000"/>
          <w:kern w:val="2"/>
          <w:sz w:val="20"/>
          <w:szCs w:val="20"/>
          <w:lang w:bidi="ar"/>
        </w:rPr>
        <w:t>数据上的泛化能力具有启发意义。</w:t>
      </w:r>
    </w:p>
    <w:p w14:paraId="3062DA32">
      <w:pPr>
        <w:pStyle w:val="10"/>
        <w:adjustRightInd w:val="0"/>
        <w:spacing w:beforeAutospacing="0" w:after="60" w:afterAutospacing="0" w:line="400" w:lineRule="exact"/>
        <w:ind w:firstLine="400" w:firstLineChars="200"/>
        <w:jc w:val="both"/>
        <w:rPr>
          <w:color w:val="000000"/>
          <w:kern w:val="2"/>
          <w:sz w:val="20"/>
          <w:szCs w:val="20"/>
          <w:lang w:bidi="ar"/>
        </w:rPr>
      </w:pPr>
      <w:r>
        <w:rPr>
          <w:rFonts w:hint="eastAsia"/>
          <w:color w:val="000000"/>
          <w:kern w:val="2"/>
          <w:sz w:val="20"/>
          <w:szCs w:val="20"/>
          <w:lang w:bidi="ar"/>
        </w:rPr>
        <w:t>语义流与结构流在建模目标上存在本质差异，将二者直接投影至统一嵌入空间容易导致模型偏向单一信息源，在</w:t>
      </w:r>
      <w:r>
        <w:rPr>
          <w:color w:val="000000"/>
          <w:kern w:val="2"/>
          <w:sz w:val="20"/>
          <w:szCs w:val="20"/>
          <w:lang w:bidi="ar"/>
        </w:rPr>
        <w:t>APT</w:t>
      </w:r>
      <w:r>
        <w:rPr>
          <w:rFonts w:hint="eastAsia"/>
          <w:color w:val="000000"/>
          <w:kern w:val="2"/>
          <w:sz w:val="20"/>
          <w:szCs w:val="20"/>
          <w:lang w:bidi="ar"/>
        </w:rPr>
        <w:t>归因常见的稀疏数据与类别不均衡条件下，这种偏置效应会被进一步放大</w:t>
      </w:r>
      <w:r>
        <w:rPr>
          <w:color w:val="000000"/>
          <w:kern w:val="2"/>
          <w:sz w:val="20"/>
          <w:szCs w:val="20"/>
          <w:lang w:bidi="ar"/>
        </w:rPr>
        <w:t>[3,33]</w:t>
      </w:r>
      <w:r>
        <w:rPr>
          <w:rFonts w:hint="eastAsia"/>
          <w:color w:val="000000"/>
          <w:kern w:val="2"/>
          <w:sz w:val="20"/>
          <w:szCs w:val="20"/>
          <w:lang w:bidi="ar"/>
        </w:rPr>
        <w:t>。现有方法缺乏一种可学习的自适应机制，以根据数据分布动态调节两路信息的贡献权重——这一模态偏置问题，与前述实体建模缺失和信息孤岛问题共同构成了制约现有方法归因性能的三重缺陷链。</w:t>
      </w:r>
    </w:p>
    <w:p w14:paraId="6504F502">
      <w:pPr>
        <w:pStyle w:val="10"/>
        <w:adjustRightInd w:val="0"/>
        <w:spacing w:beforeAutospacing="0" w:after="60" w:afterAutospacing="0" w:line="400" w:lineRule="exact"/>
        <w:ind w:firstLine="400" w:firstLineChars="200"/>
        <w:jc w:val="both"/>
        <w:rPr>
          <w:color w:val="000000"/>
          <w:kern w:val="2"/>
          <w:sz w:val="20"/>
          <w:szCs w:val="20"/>
          <w:lang w:bidi="ar"/>
        </w:rPr>
      </w:pPr>
      <w:r>
        <w:rPr>
          <w:rFonts w:hint="eastAsia"/>
          <w:color w:val="000000"/>
          <w:kern w:val="2"/>
          <w:sz w:val="20"/>
          <w:szCs w:val="20"/>
          <w:lang w:bidi="ar"/>
        </w:rPr>
        <w:t>综合来看，现有APT归因研究已经从传统文本分类逐步发展至基于异构图的结构化建模阶段，但仍存在三个尚未充分解决的问题。第一，现有方法大多依赖局部共现关系构建图结构，缺乏对跨段落攻击行为关联的统一建模；第二，多关系异构图在稀疏场景下容易产生参数冗余与结构过拟合问题；第三，现有表示学习方法通常将语义特征与结构特征耦合至统一传播空间，缺乏对两类信息异质性的显式协调机制。上述问题共同限制了APT归因模型在复杂CTI场景下的稳定性与泛化能力。针对这些不足，本文提出APT-CTIA，通过多层异构图建模与双流解耦学习，实现复杂威胁情报场景下更稳定的APT归因。所提方法与现有模型的比较如表1所示。</w:t>
      </w:r>
    </w:p>
    <w:p w14:paraId="4DD320AE">
      <w:pPr>
        <w:pStyle w:val="10"/>
        <w:adjustRightInd w:val="0"/>
        <w:spacing w:beforeAutospacing="0" w:after="60" w:afterAutospacing="0" w:line="400" w:lineRule="exact"/>
        <w:ind w:firstLine="400" w:firstLineChars="200"/>
        <w:jc w:val="both"/>
        <w:rPr>
          <w:rFonts w:cs="宋体"/>
          <w:color w:val="000000"/>
          <w:kern w:val="2"/>
          <w:sz w:val="20"/>
          <w:szCs w:val="20"/>
        </w:rPr>
      </w:pPr>
      <w:r>
        <w:rPr>
          <w:rFonts w:hint="eastAsia" w:cs="宋体"/>
          <w:color w:val="000000"/>
          <w:kern w:val="2"/>
          <w:sz w:val="20"/>
          <w:szCs w:val="20"/>
        </w:rPr>
        <w:t>表</w:t>
      </w:r>
      <w:r>
        <w:rPr>
          <w:color w:val="000000"/>
          <w:kern w:val="2"/>
          <w:sz w:val="20"/>
          <w:szCs w:val="20"/>
        </w:rPr>
        <w:t>1</w:t>
      </w:r>
      <w:r>
        <w:rPr>
          <w:rFonts w:hint="eastAsia" w:cs="宋体"/>
          <w:color w:val="000000"/>
          <w:kern w:val="2"/>
          <w:sz w:val="20"/>
          <w:szCs w:val="20"/>
        </w:rPr>
        <w:t>将近年来不同的</w:t>
      </w:r>
      <w:r>
        <w:rPr>
          <w:color w:val="000000"/>
          <w:kern w:val="2"/>
          <w:sz w:val="20"/>
          <w:szCs w:val="20"/>
        </w:rPr>
        <w:t>APT</w:t>
      </w:r>
      <w:r>
        <w:rPr>
          <w:rFonts w:hint="eastAsia" w:cs="宋体"/>
          <w:color w:val="000000"/>
          <w:kern w:val="2"/>
          <w:sz w:val="20"/>
          <w:szCs w:val="20"/>
        </w:rPr>
        <w:t>归因模型与提出的</w:t>
      </w:r>
      <w:r>
        <w:rPr>
          <w:color w:val="000000"/>
          <w:kern w:val="2"/>
          <w:sz w:val="20"/>
          <w:szCs w:val="20"/>
        </w:rPr>
        <w:t>APT-CTIA</w:t>
      </w:r>
      <w:r>
        <w:rPr>
          <w:rFonts w:hint="eastAsia" w:cs="宋体"/>
          <w:color w:val="000000"/>
          <w:kern w:val="2"/>
          <w:sz w:val="20"/>
          <w:szCs w:val="20"/>
        </w:rPr>
        <w:t>模型进行了比较。</w:t>
      </w:r>
    </w:p>
    <w:p w14:paraId="6209A4EB">
      <w:pPr>
        <w:pStyle w:val="10"/>
        <w:widowControl/>
        <w:spacing w:after="187" w:afterLines="60" w:afterAutospacing="0"/>
        <w:ind w:right="-480" w:rightChars="-200"/>
        <w:jc w:val="center"/>
        <w:rPr>
          <w:sz w:val="18"/>
          <w:szCs w:val="18"/>
        </w:rPr>
      </w:pPr>
      <w:r>
        <w:rPr>
          <w:rFonts w:hint="eastAsia" w:cs="宋体"/>
          <w:b/>
          <w:sz w:val="18"/>
          <w:szCs w:val="18"/>
          <w:lang w:bidi="ar"/>
        </w:rPr>
        <w:t>表</w:t>
      </w:r>
      <w:r>
        <w:rPr>
          <w:b/>
          <w:sz w:val="18"/>
          <w:szCs w:val="18"/>
          <w:lang w:bidi="ar"/>
        </w:rPr>
        <w:t>1 APT</w:t>
      </w:r>
      <w:r>
        <w:rPr>
          <w:rFonts w:hint="eastAsia" w:cs="宋体"/>
          <w:b/>
          <w:sz w:val="18"/>
          <w:szCs w:val="18"/>
          <w:lang w:bidi="ar"/>
        </w:rPr>
        <w:t>归因模型多维度对比（</w:t>
      </w:r>
      <w:r>
        <w:rPr>
          <w:rFonts w:hint="eastAsia" w:cs="宋体"/>
          <w:b/>
          <w:sz w:val="18"/>
          <w:szCs w:val="18"/>
          <w:highlight w:val="yellow"/>
          <w:lang w:bidi="ar"/>
        </w:rPr>
        <w:t>不是最终版</w:t>
      </w:r>
      <w:r>
        <w:rPr>
          <w:rFonts w:hint="eastAsia" w:cs="宋体"/>
          <w:b/>
          <w:sz w:val="18"/>
          <w:szCs w:val="18"/>
          <w:lang w:bidi="ar"/>
        </w:rPr>
        <w:t>）</w:t>
      </w:r>
    </w:p>
    <w:tbl>
      <w:tblPr>
        <w:tblStyle w:val="11"/>
        <w:tblW w:w="4997" w:type="pct"/>
        <w:jc w:val="center"/>
        <w:tblLayout w:type="autofit"/>
        <w:tblCellMar>
          <w:top w:w="0" w:type="dxa"/>
          <w:left w:w="108" w:type="dxa"/>
          <w:bottom w:w="0" w:type="dxa"/>
          <w:right w:w="108" w:type="dxa"/>
        </w:tblCellMar>
      </w:tblPr>
      <w:tblGrid>
        <w:gridCol w:w="1437"/>
        <w:gridCol w:w="1206"/>
        <w:gridCol w:w="1358"/>
        <w:gridCol w:w="1206"/>
        <w:gridCol w:w="1206"/>
        <w:gridCol w:w="1358"/>
        <w:gridCol w:w="746"/>
      </w:tblGrid>
      <w:tr w14:paraId="0F446FAE">
        <w:tblPrEx>
          <w:tblCellMar>
            <w:top w:w="0" w:type="dxa"/>
            <w:left w:w="108" w:type="dxa"/>
            <w:bottom w:w="0" w:type="dxa"/>
            <w:right w:w="108" w:type="dxa"/>
          </w:tblCellMar>
        </w:tblPrEx>
        <w:trPr>
          <w:jc w:val="center"/>
        </w:trPr>
        <w:tc>
          <w:tcPr>
            <w:tcW w:w="842" w:type="pct"/>
            <w:tcBorders>
              <w:top w:val="single" w:color="000000" w:sz="12" w:space="0"/>
              <w:left w:val="nil"/>
              <w:bottom w:val="nil"/>
              <w:right w:val="nil"/>
            </w:tcBorders>
            <w:shd w:val="clear" w:color="auto" w:fill="FFFFFF"/>
            <w:vAlign w:val="center"/>
          </w:tcPr>
          <w:p w14:paraId="2000D9A0">
            <w:pPr>
              <w:widowControl/>
              <w:snapToGrid w:val="0"/>
              <w:spacing w:line="273" w:lineRule="auto"/>
              <w:jc w:val="center"/>
              <w:rPr>
                <w:b/>
                <w:bCs/>
                <w:color w:val="000000"/>
                <w:sz w:val="18"/>
                <w:szCs w:val="18"/>
              </w:rPr>
            </w:pPr>
            <w:r>
              <w:rPr>
                <w:rFonts w:hint="eastAsia" w:cs="宋体"/>
                <w:b/>
                <w:bCs/>
                <w:color w:val="000000"/>
                <w:sz w:val="18"/>
                <w:szCs w:val="18"/>
                <w:lang w:bidi="ar"/>
              </w:rPr>
              <w:t>模型</w:t>
            </w:r>
          </w:p>
        </w:tc>
        <w:tc>
          <w:tcPr>
            <w:tcW w:w="707" w:type="pct"/>
            <w:tcBorders>
              <w:top w:val="single" w:color="000000" w:sz="12" w:space="0"/>
              <w:left w:val="nil"/>
              <w:bottom w:val="nil"/>
              <w:right w:val="nil"/>
            </w:tcBorders>
            <w:shd w:val="clear" w:color="auto" w:fill="FFFFFF"/>
            <w:vAlign w:val="center"/>
          </w:tcPr>
          <w:p w14:paraId="19337FF5">
            <w:pPr>
              <w:widowControl/>
              <w:snapToGrid w:val="0"/>
              <w:spacing w:line="273" w:lineRule="auto"/>
              <w:jc w:val="center"/>
              <w:rPr>
                <w:b/>
                <w:bCs/>
                <w:color w:val="000000"/>
                <w:sz w:val="18"/>
                <w:szCs w:val="18"/>
              </w:rPr>
            </w:pPr>
            <w:r>
              <w:rPr>
                <w:rFonts w:hint="eastAsia" w:cs="宋体"/>
                <w:b/>
                <w:bCs/>
                <w:color w:val="000000"/>
                <w:sz w:val="18"/>
                <w:szCs w:val="18"/>
                <w:lang w:bidi="ar"/>
              </w:rPr>
              <w:t>异构实体建模</w:t>
            </w:r>
          </w:p>
        </w:tc>
        <w:tc>
          <w:tcPr>
            <w:tcW w:w="796" w:type="pct"/>
            <w:tcBorders>
              <w:top w:val="single" w:color="000000" w:sz="12" w:space="0"/>
              <w:left w:val="nil"/>
              <w:bottom w:val="nil"/>
              <w:right w:val="nil"/>
            </w:tcBorders>
            <w:shd w:val="clear" w:color="auto" w:fill="FFFFFF"/>
            <w:vAlign w:val="center"/>
          </w:tcPr>
          <w:p w14:paraId="12020C1E">
            <w:pPr>
              <w:widowControl/>
              <w:snapToGrid w:val="0"/>
              <w:spacing w:line="273" w:lineRule="auto"/>
              <w:jc w:val="center"/>
              <w:rPr>
                <w:b/>
                <w:bCs/>
                <w:color w:val="000000"/>
                <w:sz w:val="18"/>
                <w:szCs w:val="18"/>
              </w:rPr>
            </w:pPr>
            <w:r>
              <w:rPr>
                <w:rFonts w:hint="eastAsia" w:cs="宋体"/>
                <w:b/>
                <w:bCs/>
                <w:color w:val="000000"/>
                <w:sz w:val="18"/>
                <w:szCs w:val="18"/>
                <w:lang w:bidi="ar"/>
              </w:rPr>
              <w:t>跨段落语义连接</w:t>
            </w:r>
          </w:p>
        </w:tc>
        <w:tc>
          <w:tcPr>
            <w:tcW w:w="707" w:type="pct"/>
            <w:tcBorders>
              <w:top w:val="single" w:color="000000" w:sz="12" w:space="0"/>
              <w:left w:val="nil"/>
              <w:bottom w:val="nil"/>
              <w:right w:val="nil"/>
            </w:tcBorders>
            <w:shd w:val="clear" w:color="auto" w:fill="FFFFFF"/>
            <w:vAlign w:val="center"/>
          </w:tcPr>
          <w:p w14:paraId="283AF749">
            <w:pPr>
              <w:widowControl/>
              <w:snapToGrid w:val="0"/>
              <w:spacing w:line="273" w:lineRule="auto"/>
              <w:jc w:val="center"/>
              <w:rPr>
                <w:b/>
                <w:bCs/>
                <w:color w:val="000000"/>
                <w:sz w:val="18"/>
                <w:szCs w:val="18"/>
              </w:rPr>
            </w:pPr>
            <w:r>
              <w:rPr>
                <w:rFonts w:hint="eastAsia" w:cs="宋体"/>
                <w:b/>
                <w:bCs/>
                <w:color w:val="000000"/>
                <w:sz w:val="18"/>
                <w:szCs w:val="18"/>
                <w:lang w:bidi="ar"/>
              </w:rPr>
              <w:t>关系参数共享</w:t>
            </w:r>
          </w:p>
        </w:tc>
        <w:tc>
          <w:tcPr>
            <w:tcW w:w="707" w:type="pct"/>
            <w:tcBorders>
              <w:top w:val="single" w:color="000000" w:sz="12" w:space="0"/>
              <w:left w:val="nil"/>
              <w:bottom w:val="nil"/>
              <w:right w:val="nil"/>
            </w:tcBorders>
            <w:shd w:val="clear" w:color="auto" w:fill="FFFFFF"/>
            <w:vAlign w:val="center"/>
          </w:tcPr>
          <w:p w14:paraId="7EA5E588">
            <w:pPr>
              <w:widowControl/>
              <w:snapToGrid w:val="0"/>
              <w:spacing w:line="273" w:lineRule="auto"/>
              <w:jc w:val="center"/>
              <w:rPr>
                <w:b/>
                <w:bCs/>
                <w:color w:val="000000"/>
                <w:sz w:val="18"/>
                <w:szCs w:val="18"/>
              </w:rPr>
            </w:pPr>
            <w:r>
              <w:rPr>
                <w:rFonts w:hint="eastAsia" w:cs="宋体"/>
                <w:b/>
                <w:bCs/>
                <w:color w:val="000000"/>
                <w:sz w:val="18"/>
                <w:szCs w:val="18"/>
                <w:lang w:bidi="ar"/>
              </w:rPr>
              <w:t>双流表示融合</w:t>
            </w:r>
          </w:p>
        </w:tc>
        <w:tc>
          <w:tcPr>
            <w:tcW w:w="796" w:type="pct"/>
            <w:tcBorders>
              <w:top w:val="single" w:color="000000" w:sz="12" w:space="0"/>
              <w:left w:val="nil"/>
              <w:bottom w:val="nil"/>
              <w:right w:val="nil"/>
            </w:tcBorders>
            <w:shd w:val="clear" w:color="auto" w:fill="FFFFFF"/>
            <w:vAlign w:val="center"/>
          </w:tcPr>
          <w:p w14:paraId="1BEED54C">
            <w:pPr>
              <w:widowControl/>
              <w:snapToGrid w:val="0"/>
              <w:spacing w:line="273" w:lineRule="auto"/>
              <w:jc w:val="center"/>
              <w:rPr>
                <w:b/>
                <w:bCs/>
                <w:color w:val="000000"/>
                <w:sz w:val="18"/>
                <w:szCs w:val="18"/>
              </w:rPr>
            </w:pPr>
            <w:r>
              <w:rPr>
                <w:rFonts w:hint="eastAsia" w:cs="宋体"/>
                <w:b/>
                <w:bCs/>
                <w:color w:val="000000"/>
                <w:sz w:val="18"/>
                <w:szCs w:val="18"/>
                <w:lang w:bidi="ar"/>
              </w:rPr>
              <w:t>类别不均衡处理</w:t>
            </w:r>
          </w:p>
        </w:tc>
        <w:tc>
          <w:tcPr>
            <w:tcW w:w="437" w:type="pct"/>
            <w:tcBorders>
              <w:top w:val="single" w:color="000000" w:sz="12" w:space="0"/>
              <w:left w:val="nil"/>
              <w:bottom w:val="nil"/>
              <w:right w:val="nil"/>
            </w:tcBorders>
            <w:shd w:val="clear" w:color="auto" w:fill="FFFFFF"/>
            <w:vAlign w:val="center"/>
          </w:tcPr>
          <w:p w14:paraId="1AB78E86">
            <w:pPr>
              <w:widowControl/>
              <w:snapToGrid w:val="0"/>
              <w:spacing w:line="273" w:lineRule="auto"/>
              <w:jc w:val="center"/>
              <w:rPr>
                <w:b/>
                <w:bCs/>
                <w:color w:val="000000"/>
                <w:sz w:val="18"/>
                <w:szCs w:val="18"/>
              </w:rPr>
            </w:pPr>
            <w:r>
              <w:rPr>
                <w:rFonts w:hint="eastAsia" w:cs="宋体"/>
                <w:b/>
                <w:bCs/>
                <w:color w:val="000000"/>
                <w:sz w:val="18"/>
                <w:szCs w:val="18"/>
                <w:lang w:bidi="ar"/>
              </w:rPr>
              <w:t>端到端</w:t>
            </w:r>
          </w:p>
        </w:tc>
      </w:tr>
      <w:tr w14:paraId="345EB9AF">
        <w:tblPrEx>
          <w:tblCellMar>
            <w:top w:w="0" w:type="dxa"/>
            <w:left w:w="108" w:type="dxa"/>
            <w:bottom w:w="0" w:type="dxa"/>
            <w:right w:w="108" w:type="dxa"/>
          </w:tblCellMar>
        </w:tblPrEx>
        <w:trPr>
          <w:jc w:val="center"/>
        </w:trPr>
        <w:tc>
          <w:tcPr>
            <w:tcW w:w="842" w:type="pct"/>
            <w:tcBorders>
              <w:top w:val="single" w:color="000000" w:sz="8" w:space="0"/>
              <w:left w:val="nil"/>
              <w:bottom w:val="nil"/>
              <w:right w:val="nil"/>
            </w:tcBorders>
            <w:shd w:val="clear" w:color="auto" w:fill="FFFFFF"/>
            <w:vAlign w:val="center"/>
          </w:tcPr>
          <w:p w14:paraId="5C5F8AA4">
            <w:pPr>
              <w:widowControl/>
              <w:snapToGrid w:val="0"/>
              <w:spacing w:line="273" w:lineRule="auto"/>
              <w:jc w:val="center"/>
              <w:rPr>
                <w:color w:val="000000"/>
                <w:sz w:val="18"/>
                <w:szCs w:val="18"/>
              </w:rPr>
            </w:pPr>
            <w:r>
              <w:rPr>
                <w:color w:val="000000"/>
                <w:sz w:val="18"/>
                <w:szCs w:val="18"/>
                <w:lang w:bidi="ar"/>
              </w:rPr>
              <w:t>No-doubt [</w:t>
            </w:r>
            <w:r>
              <w:rPr>
                <w:rFonts w:hint="eastAsia"/>
                <w:color w:val="000000"/>
                <w:sz w:val="18"/>
                <w:szCs w:val="18"/>
                <w:lang w:eastAsia="zh" w:bidi="ar"/>
              </w:rPr>
              <w:t>16</w:t>
            </w:r>
            <w:r>
              <w:rPr>
                <w:color w:val="000000"/>
                <w:sz w:val="18"/>
                <w:szCs w:val="18"/>
                <w:lang w:bidi="ar"/>
              </w:rPr>
              <w:t>]</w:t>
            </w:r>
          </w:p>
        </w:tc>
        <w:tc>
          <w:tcPr>
            <w:tcW w:w="707" w:type="pct"/>
            <w:tcBorders>
              <w:top w:val="single" w:color="000000" w:sz="8" w:space="0"/>
              <w:left w:val="nil"/>
              <w:bottom w:val="nil"/>
              <w:right w:val="nil"/>
            </w:tcBorders>
            <w:shd w:val="clear" w:color="auto" w:fill="FFFFFF"/>
            <w:vAlign w:val="center"/>
          </w:tcPr>
          <w:p w14:paraId="348534C9">
            <w:pPr>
              <w:widowControl/>
              <w:snapToGrid w:val="0"/>
              <w:spacing w:line="273" w:lineRule="auto"/>
              <w:jc w:val="center"/>
              <w:rPr>
                <w:color w:val="000000"/>
                <w:sz w:val="18"/>
                <w:szCs w:val="18"/>
              </w:rPr>
            </w:pPr>
            <w:r>
              <w:rPr>
                <w:color w:val="000000"/>
                <w:sz w:val="18"/>
                <w:szCs w:val="18"/>
                <w:lang w:bidi="ar"/>
              </w:rPr>
              <w:t>×</w:t>
            </w:r>
          </w:p>
        </w:tc>
        <w:tc>
          <w:tcPr>
            <w:tcW w:w="796" w:type="pct"/>
            <w:tcBorders>
              <w:top w:val="single" w:color="000000" w:sz="8" w:space="0"/>
              <w:left w:val="nil"/>
              <w:bottom w:val="nil"/>
              <w:right w:val="nil"/>
            </w:tcBorders>
            <w:shd w:val="clear" w:color="auto" w:fill="FFFFFF"/>
            <w:vAlign w:val="center"/>
          </w:tcPr>
          <w:p w14:paraId="086F6A61">
            <w:pPr>
              <w:widowControl/>
              <w:snapToGrid w:val="0"/>
              <w:spacing w:line="273" w:lineRule="auto"/>
              <w:jc w:val="center"/>
              <w:rPr>
                <w:color w:val="000000"/>
                <w:sz w:val="18"/>
                <w:szCs w:val="18"/>
              </w:rPr>
            </w:pPr>
            <w:r>
              <w:rPr>
                <w:color w:val="000000"/>
                <w:sz w:val="18"/>
                <w:szCs w:val="18"/>
                <w:lang w:bidi="ar"/>
              </w:rPr>
              <w:t>×</w:t>
            </w:r>
          </w:p>
        </w:tc>
        <w:tc>
          <w:tcPr>
            <w:tcW w:w="707" w:type="pct"/>
            <w:tcBorders>
              <w:top w:val="single" w:color="000000" w:sz="8" w:space="0"/>
              <w:left w:val="nil"/>
              <w:bottom w:val="nil"/>
              <w:right w:val="nil"/>
            </w:tcBorders>
            <w:shd w:val="clear" w:color="auto" w:fill="FFFFFF"/>
            <w:vAlign w:val="center"/>
          </w:tcPr>
          <w:p w14:paraId="3EA2745A">
            <w:pPr>
              <w:widowControl/>
              <w:snapToGrid w:val="0"/>
              <w:spacing w:line="273" w:lineRule="auto"/>
              <w:jc w:val="center"/>
              <w:rPr>
                <w:color w:val="000000"/>
                <w:sz w:val="18"/>
                <w:szCs w:val="18"/>
              </w:rPr>
            </w:pPr>
            <w:r>
              <w:rPr>
                <w:color w:val="000000"/>
                <w:sz w:val="18"/>
                <w:szCs w:val="18"/>
                <w:lang w:bidi="ar"/>
              </w:rPr>
              <w:t>×</w:t>
            </w:r>
          </w:p>
        </w:tc>
        <w:tc>
          <w:tcPr>
            <w:tcW w:w="707" w:type="pct"/>
            <w:tcBorders>
              <w:top w:val="single" w:color="000000" w:sz="8" w:space="0"/>
              <w:left w:val="nil"/>
              <w:bottom w:val="nil"/>
              <w:right w:val="nil"/>
            </w:tcBorders>
            <w:shd w:val="clear" w:color="auto" w:fill="FFFFFF"/>
            <w:vAlign w:val="center"/>
          </w:tcPr>
          <w:p w14:paraId="6C5133B1">
            <w:pPr>
              <w:widowControl/>
              <w:snapToGrid w:val="0"/>
              <w:spacing w:line="273" w:lineRule="auto"/>
              <w:jc w:val="center"/>
              <w:rPr>
                <w:color w:val="000000"/>
                <w:sz w:val="18"/>
                <w:szCs w:val="18"/>
              </w:rPr>
            </w:pPr>
            <w:r>
              <w:rPr>
                <w:color w:val="000000"/>
                <w:sz w:val="18"/>
                <w:szCs w:val="18"/>
                <w:lang w:bidi="ar"/>
              </w:rPr>
              <w:t>×</w:t>
            </w:r>
          </w:p>
        </w:tc>
        <w:tc>
          <w:tcPr>
            <w:tcW w:w="796" w:type="pct"/>
            <w:tcBorders>
              <w:top w:val="single" w:color="000000" w:sz="8" w:space="0"/>
              <w:left w:val="nil"/>
              <w:bottom w:val="nil"/>
              <w:right w:val="nil"/>
            </w:tcBorders>
            <w:shd w:val="clear" w:color="auto" w:fill="FFFFFF"/>
            <w:vAlign w:val="center"/>
          </w:tcPr>
          <w:p w14:paraId="06898AAD">
            <w:pPr>
              <w:widowControl/>
              <w:snapToGrid w:val="0"/>
              <w:spacing w:line="273" w:lineRule="auto"/>
              <w:jc w:val="center"/>
              <w:rPr>
                <w:color w:val="000000"/>
                <w:sz w:val="18"/>
                <w:szCs w:val="18"/>
              </w:rPr>
            </w:pPr>
            <w:r>
              <w:rPr>
                <w:color w:val="000000"/>
                <w:sz w:val="18"/>
                <w:szCs w:val="18"/>
                <w:lang w:bidi="ar"/>
              </w:rPr>
              <w:t>×</w:t>
            </w:r>
          </w:p>
        </w:tc>
        <w:tc>
          <w:tcPr>
            <w:tcW w:w="437" w:type="pct"/>
            <w:tcBorders>
              <w:top w:val="single" w:color="000000" w:sz="8" w:space="0"/>
              <w:left w:val="nil"/>
              <w:bottom w:val="nil"/>
              <w:right w:val="nil"/>
            </w:tcBorders>
            <w:shd w:val="clear" w:color="auto" w:fill="FFFFFF"/>
            <w:vAlign w:val="center"/>
          </w:tcPr>
          <w:p w14:paraId="1C0215F6">
            <w:pPr>
              <w:widowControl/>
              <w:snapToGrid w:val="0"/>
              <w:spacing w:line="273" w:lineRule="auto"/>
              <w:jc w:val="center"/>
              <w:rPr>
                <w:color w:val="000000"/>
                <w:sz w:val="18"/>
                <w:szCs w:val="18"/>
              </w:rPr>
            </w:pPr>
            <w:r>
              <w:rPr>
                <w:color w:val="000000"/>
                <w:sz w:val="18"/>
                <w:szCs w:val="18"/>
                <w:lang w:bidi="ar"/>
              </w:rPr>
              <w:t>×</w:t>
            </w:r>
          </w:p>
        </w:tc>
      </w:tr>
      <w:tr w14:paraId="7978923E">
        <w:tblPrEx>
          <w:tblCellMar>
            <w:top w:w="0" w:type="dxa"/>
            <w:left w:w="108" w:type="dxa"/>
            <w:bottom w:w="0" w:type="dxa"/>
            <w:right w:w="108" w:type="dxa"/>
          </w:tblCellMar>
        </w:tblPrEx>
        <w:trPr>
          <w:jc w:val="center"/>
        </w:trPr>
        <w:tc>
          <w:tcPr>
            <w:tcW w:w="842" w:type="pct"/>
            <w:tcBorders>
              <w:top w:val="nil"/>
              <w:left w:val="nil"/>
              <w:bottom w:val="nil"/>
              <w:right w:val="nil"/>
            </w:tcBorders>
            <w:shd w:val="clear" w:color="auto" w:fill="FFFFFF"/>
            <w:vAlign w:val="center"/>
          </w:tcPr>
          <w:p w14:paraId="1D0A3A86">
            <w:pPr>
              <w:widowControl/>
              <w:snapToGrid w:val="0"/>
              <w:spacing w:line="273" w:lineRule="auto"/>
              <w:jc w:val="center"/>
              <w:rPr>
                <w:color w:val="000000"/>
                <w:sz w:val="18"/>
                <w:szCs w:val="18"/>
              </w:rPr>
            </w:pPr>
            <w:r>
              <w:rPr>
                <w:color w:val="000000"/>
                <w:sz w:val="18"/>
                <w:szCs w:val="18"/>
                <w:lang w:bidi="ar"/>
              </w:rPr>
              <w:t>Attack2vec [</w:t>
            </w:r>
            <w:r>
              <w:rPr>
                <w:rFonts w:hint="eastAsia"/>
                <w:color w:val="000000"/>
                <w:sz w:val="18"/>
                <w:szCs w:val="18"/>
                <w:lang w:eastAsia="zh" w:bidi="ar"/>
              </w:rPr>
              <w:t>17</w:t>
            </w:r>
            <w:r>
              <w:rPr>
                <w:color w:val="000000"/>
                <w:sz w:val="18"/>
                <w:szCs w:val="18"/>
                <w:lang w:bidi="ar"/>
              </w:rPr>
              <w:t>]</w:t>
            </w:r>
          </w:p>
        </w:tc>
        <w:tc>
          <w:tcPr>
            <w:tcW w:w="707" w:type="pct"/>
            <w:tcBorders>
              <w:top w:val="nil"/>
              <w:left w:val="nil"/>
              <w:bottom w:val="nil"/>
              <w:right w:val="nil"/>
            </w:tcBorders>
            <w:shd w:val="clear" w:color="auto" w:fill="FFFFFF"/>
            <w:vAlign w:val="center"/>
          </w:tcPr>
          <w:p w14:paraId="174CE92A">
            <w:pPr>
              <w:widowControl/>
              <w:snapToGrid w:val="0"/>
              <w:spacing w:line="273" w:lineRule="auto"/>
              <w:jc w:val="center"/>
              <w:rPr>
                <w:color w:val="000000"/>
                <w:sz w:val="18"/>
                <w:szCs w:val="18"/>
              </w:rPr>
            </w:pPr>
            <w:r>
              <w:rPr>
                <w:color w:val="000000"/>
                <w:sz w:val="18"/>
                <w:szCs w:val="18"/>
                <w:lang w:bidi="ar"/>
              </w:rPr>
              <w:t>×</w:t>
            </w:r>
          </w:p>
        </w:tc>
        <w:tc>
          <w:tcPr>
            <w:tcW w:w="796" w:type="pct"/>
            <w:tcBorders>
              <w:top w:val="nil"/>
              <w:left w:val="nil"/>
              <w:bottom w:val="nil"/>
              <w:right w:val="nil"/>
            </w:tcBorders>
            <w:shd w:val="clear" w:color="auto" w:fill="FFFFFF"/>
            <w:vAlign w:val="center"/>
          </w:tcPr>
          <w:p w14:paraId="543FE138">
            <w:pPr>
              <w:widowControl/>
              <w:snapToGrid w:val="0"/>
              <w:spacing w:line="273" w:lineRule="auto"/>
              <w:jc w:val="center"/>
              <w:rPr>
                <w:color w:val="000000"/>
                <w:sz w:val="18"/>
                <w:szCs w:val="18"/>
              </w:rPr>
            </w:pPr>
            <w:r>
              <w:rPr>
                <w:color w:val="000000"/>
                <w:sz w:val="18"/>
                <w:szCs w:val="18"/>
                <w:lang w:bidi="ar"/>
              </w:rPr>
              <w:t>×</w:t>
            </w:r>
          </w:p>
        </w:tc>
        <w:tc>
          <w:tcPr>
            <w:tcW w:w="707" w:type="pct"/>
            <w:tcBorders>
              <w:top w:val="nil"/>
              <w:left w:val="nil"/>
              <w:bottom w:val="nil"/>
              <w:right w:val="nil"/>
            </w:tcBorders>
            <w:shd w:val="clear" w:color="auto" w:fill="FFFFFF"/>
            <w:vAlign w:val="center"/>
          </w:tcPr>
          <w:p w14:paraId="67E656E0">
            <w:pPr>
              <w:widowControl/>
              <w:snapToGrid w:val="0"/>
              <w:spacing w:line="273" w:lineRule="auto"/>
              <w:jc w:val="center"/>
              <w:rPr>
                <w:color w:val="000000"/>
                <w:sz w:val="18"/>
                <w:szCs w:val="18"/>
              </w:rPr>
            </w:pPr>
            <w:r>
              <w:rPr>
                <w:color w:val="000000"/>
                <w:sz w:val="18"/>
                <w:szCs w:val="18"/>
                <w:lang w:bidi="ar"/>
              </w:rPr>
              <w:t>×</w:t>
            </w:r>
          </w:p>
        </w:tc>
        <w:tc>
          <w:tcPr>
            <w:tcW w:w="707" w:type="pct"/>
            <w:tcBorders>
              <w:top w:val="nil"/>
              <w:left w:val="nil"/>
              <w:bottom w:val="nil"/>
              <w:right w:val="nil"/>
            </w:tcBorders>
            <w:shd w:val="clear" w:color="auto" w:fill="FFFFFF"/>
            <w:vAlign w:val="center"/>
          </w:tcPr>
          <w:p w14:paraId="63668DBF">
            <w:pPr>
              <w:widowControl/>
              <w:snapToGrid w:val="0"/>
              <w:spacing w:line="273" w:lineRule="auto"/>
              <w:jc w:val="center"/>
              <w:rPr>
                <w:color w:val="000000"/>
                <w:sz w:val="18"/>
                <w:szCs w:val="18"/>
              </w:rPr>
            </w:pPr>
            <w:r>
              <w:rPr>
                <w:color w:val="000000"/>
                <w:sz w:val="18"/>
                <w:szCs w:val="18"/>
                <w:lang w:bidi="ar"/>
              </w:rPr>
              <w:t>×</w:t>
            </w:r>
          </w:p>
        </w:tc>
        <w:tc>
          <w:tcPr>
            <w:tcW w:w="796" w:type="pct"/>
            <w:tcBorders>
              <w:top w:val="nil"/>
              <w:left w:val="nil"/>
              <w:bottom w:val="nil"/>
              <w:right w:val="nil"/>
            </w:tcBorders>
            <w:shd w:val="clear" w:color="auto" w:fill="FFFFFF"/>
            <w:vAlign w:val="center"/>
          </w:tcPr>
          <w:p w14:paraId="7DDD5C2B">
            <w:pPr>
              <w:widowControl/>
              <w:snapToGrid w:val="0"/>
              <w:spacing w:line="273" w:lineRule="auto"/>
              <w:jc w:val="center"/>
              <w:rPr>
                <w:color w:val="000000"/>
                <w:sz w:val="18"/>
                <w:szCs w:val="18"/>
              </w:rPr>
            </w:pPr>
            <w:r>
              <w:rPr>
                <w:color w:val="000000"/>
                <w:sz w:val="18"/>
                <w:szCs w:val="18"/>
                <w:lang w:bidi="ar"/>
              </w:rPr>
              <w:t>×</w:t>
            </w:r>
          </w:p>
        </w:tc>
        <w:tc>
          <w:tcPr>
            <w:tcW w:w="437" w:type="pct"/>
            <w:tcBorders>
              <w:top w:val="nil"/>
              <w:left w:val="nil"/>
              <w:bottom w:val="nil"/>
              <w:right w:val="nil"/>
            </w:tcBorders>
            <w:shd w:val="clear" w:color="auto" w:fill="FFFFFF"/>
            <w:vAlign w:val="center"/>
          </w:tcPr>
          <w:p w14:paraId="322B4322">
            <w:pPr>
              <w:widowControl/>
              <w:snapToGrid w:val="0"/>
              <w:spacing w:line="273" w:lineRule="auto"/>
              <w:jc w:val="center"/>
              <w:rPr>
                <w:color w:val="000000"/>
                <w:sz w:val="18"/>
                <w:szCs w:val="18"/>
              </w:rPr>
            </w:pPr>
            <w:r>
              <w:rPr>
                <w:color w:val="000000"/>
                <w:sz w:val="18"/>
                <w:szCs w:val="18"/>
                <w:lang w:bidi="ar"/>
              </w:rPr>
              <w:t>×</w:t>
            </w:r>
          </w:p>
        </w:tc>
      </w:tr>
      <w:tr w14:paraId="16BFDCDE">
        <w:tblPrEx>
          <w:tblCellMar>
            <w:top w:w="0" w:type="dxa"/>
            <w:left w:w="108" w:type="dxa"/>
            <w:bottom w:w="0" w:type="dxa"/>
            <w:right w:w="108" w:type="dxa"/>
          </w:tblCellMar>
        </w:tblPrEx>
        <w:trPr>
          <w:jc w:val="center"/>
        </w:trPr>
        <w:tc>
          <w:tcPr>
            <w:tcW w:w="842" w:type="pct"/>
            <w:tcBorders>
              <w:top w:val="nil"/>
              <w:left w:val="nil"/>
              <w:bottom w:val="nil"/>
              <w:right w:val="nil"/>
            </w:tcBorders>
            <w:shd w:val="clear" w:color="auto" w:fill="FFFFFF"/>
            <w:vAlign w:val="center"/>
          </w:tcPr>
          <w:p w14:paraId="2BD58F7E">
            <w:pPr>
              <w:widowControl/>
              <w:snapToGrid w:val="0"/>
              <w:spacing w:line="273" w:lineRule="auto"/>
              <w:jc w:val="center"/>
              <w:rPr>
                <w:color w:val="000000"/>
                <w:sz w:val="18"/>
                <w:szCs w:val="18"/>
              </w:rPr>
            </w:pPr>
            <w:r>
              <w:rPr>
                <w:color w:val="000000"/>
                <w:sz w:val="18"/>
                <w:szCs w:val="18"/>
                <w:lang w:bidi="ar"/>
              </w:rPr>
              <w:t>APT-ATT [</w:t>
            </w:r>
            <w:r>
              <w:rPr>
                <w:rFonts w:hint="eastAsia"/>
                <w:color w:val="000000"/>
                <w:sz w:val="18"/>
                <w:szCs w:val="18"/>
                <w:lang w:eastAsia="zh" w:bidi="ar"/>
              </w:rPr>
              <w:t>3</w:t>
            </w:r>
            <w:r>
              <w:rPr>
                <w:color w:val="000000"/>
                <w:sz w:val="18"/>
                <w:szCs w:val="18"/>
                <w:lang w:bidi="ar"/>
              </w:rPr>
              <w:t>]</w:t>
            </w:r>
          </w:p>
        </w:tc>
        <w:tc>
          <w:tcPr>
            <w:tcW w:w="707" w:type="pct"/>
            <w:tcBorders>
              <w:top w:val="nil"/>
              <w:left w:val="nil"/>
              <w:bottom w:val="nil"/>
              <w:right w:val="nil"/>
            </w:tcBorders>
            <w:shd w:val="clear" w:color="auto" w:fill="FFFFFF"/>
            <w:vAlign w:val="center"/>
          </w:tcPr>
          <w:p w14:paraId="36D54943">
            <w:pPr>
              <w:widowControl/>
              <w:snapToGrid w:val="0"/>
              <w:spacing w:line="273" w:lineRule="auto"/>
              <w:jc w:val="center"/>
              <w:rPr>
                <w:color w:val="000000"/>
                <w:sz w:val="18"/>
                <w:szCs w:val="18"/>
              </w:rPr>
            </w:pPr>
            <w:r>
              <w:rPr>
                <w:color w:val="000000"/>
                <w:sz w:val="18"/>
                <w:szCs w:val="18"/>
                <w:lang w:bidi="ar"/>
              </w:rPr>
              <w:t>×</w:t>
            </w:r>
          </w:p>
        </w:tc>
        <w:tc>
          <w:tcPr>
            <w:tcW w:w="796" w:type="pct"/>
            <w:tcBorders>
              <w:top w:val="nil"/>
              <w:left w:val="nil"/>
              <w:bottom w:val="nil"/>
              <w:right w:val="nil"/>
            </w:tcBorders>
            <w:shd w:val="clear" w:color="auto" w:fill="FFFFFF"/>
            <w:vAlign w:val="center"/>
          </w:tcPr>
          <w:p w14:paraId="60111A7B">
            <w:pPr>
              <w:widowControl/>
              <w:snapToGrid w:val="0"/>
              <w:spacing w:line="273" w:lineRule="auto"/>
              <w:jc w:val="center"/>
              <w:rPr>
                <w:color w:val="000000"/>
                <w:sz w:val="18"/>
                <w:szCs w:val="18"/>
              </w:rPr>
            </w:pPr>
            <w:r>
              <w:rPr>
                <w:color w:val="000000"/>
                <w:sz w:val="18"/>
                <w:szCs w:val="18"/>
                <w:lang w:bidi="ar"/>
              </w:rPr>
              <w:t>×</w:t>
            </w:r>
          </w:p>
        </w:tc>
        <w:tc>
          <w:tcPr>
            <w:tcW w:w="707" w:type="pct"/>
            <w:tcBorders>
              <w:top w:val="nil"/>
              <w:left w:val="nil"/>
              <w:bottom w:val="nil"/>
              <w:right w:val="nil"/>
            </w:tcBorders>
            <w:shd w:val="clear" w:color="auto" w:fill="FFFFFF"/>
            <w:vAlign w:val="center"/>
          </w:tcPr>
          <w:p w14:paraId="2B3144F0">
            <w:pPr>
              <w:widowControl/>
              <w:snapToGrid w:val="0"/>
              <w:spacing w:line="273" w:lineRule="auto"/>
              <w:jc w:val="center"/>
              <w:rPr>
                <w:color w:val="000000"/>
                <w:sz w:val="18"/>
                <w:szCs w:val="18"/>
              </w:rPr>
            </w:pPr>
            <w:r>
              <w:rPr>
                <w:color w:val="000000"/>
                <w:sz w:val="18"/>
                <w:szCs w:val="18"/>
                <w:lang w:bidi="ar"/>
              </w:rPr>
              <w:t>×</w:t>
            </w:r>
          </w:p>
        </w:tc>
        <w:tc>
          <w:tcPr>
            <w:tcW w:w="707" w:type="pct"/>
            <w:tcBorders>
              <w:top w:val="nil"/>
              <w:left w:val="nil"/>
              <w:bottom w:val="nil"/>
              <w:right w:val="nil"/>
            </w:tcBorders>
            <w:shd w:val="clear" w:color="auto" w:fill="FFFFFF"/>
            <w:vAlign w:val="center"/>
          </w:tcPr>
          <w:p w14:paraId="3376D03D">
            <w:pPr>
              <w:widowControl/>
              <w:snapToGrid w:val="0"/>
              <w:spacing w:line="273" w:lineRule="auto"/>
              <w:jc w:val="center"/>
              <w:rPr>
                <w:color w:val="000000"/>
                <w:sz w:val="18"/>
                <w:szCs w:val="18"/>
              </w:rPr>
            </w:pPr>
            <w:r>
              <w:rPr>
                <w:color w:val="000000"/>
                <w:sz w:val="18"/>
                <w:szCs w:val="18"/>
                <w:lang w:bidi="ar"/>
              </w:rPr>
              <w:t>×</w:t>
            </w:r>
          </w:p>
        </w:tc>
        <w:tc>
          <w:tcPr>
            <w:tcW w:w="796" w:type="pct"/>
            <w:tcBorders>
              <w:top w:val="nil"/>
              <w:left w:val="nil"/>
              <w:bottom w:val="nil"/>
              <w:right w:val="nil"/>
            </w:tcBorders>
            <w:shd w:val="clear" w:color="auto" w:fill="FFFFFF"/>
            <w:vAlign w:val="center"/>
          </w:tcPr>
          <w:p w14:paraId="5869CAB7">
            <w:pPr>
              <w:widowControl/>
              <w:snapToGrid w:val="0"/>
              <w:spacing w:line="273" w:lineRule="auto"/>
              <w:jc w:val="center"/>
              <w:rPr>
                <w:color w:val="000000"/>
                <w:sz w:val="18"/>
                <w:szCs w:val="18"/>
              </w:rPr>
            </w:pPr>
            <w:r>
              <w:rPr>
                <w:color w:val="000000"/>
                <w:sz w:val="18"/>
                <w:szCs w:val="18"/>
                <w:lang w:bidi="ar"/>
              </w:rPr>
              <w:t>✓</w:t>
            </w:r>
          </w:p>
        </w:tc>
        <w:tc>
          <w:tcPr>
            <w:tcW w:w="437" w:type="pct"/>
            <w:tcBorders>
              <w:top w:val="nil"/>
              <w:left w:val="nil"/>
              <w:bottom w:val="nil"/>
              <w:right w:val="nil"/>
            </w:tcBorders>
            <w:shd w:val="clear" w:color="auto" w:fill="FFFFFF"/>
            <w:vAlign w:val="center"/>
          </w:tcPr>
          <w:p w14:paraId="6DEDC460">
            <w:pPr>
              <w:widowControl/>
              <w:snapToGrid w:val="0"/>
              <w:spacing w:line="273" w:lineRule="auto"/>
              <w:jc w:val="center"/>
              <w:rPr>
                <w:color w:val="000000"/>
                <w:sz w:val="18"/>
                <w:szCs w:val="18"/>
              </w:rPr>
            </w:pPr>
            <w:r>
              <w:rPr>
                <w:color w:val="000000"/>
                <w:sz w:val="18"/>
                <w:szCs w:val="18"/>
                <w:lang w:bidi="ar"/>
              </w:rPr>
              <w:t>×</w:t>
            </w:r>
          </w:p>
        </w:tc>
      </w:tr>
      <w:tr w14:paraId="2AFE96CA">
        <w:tblPrEx>
          <w:tblCellMar>
            <w:top w:w="0" w:type="dxa"/>
            <w:left w:w="108" w:type="dxa"/>
            <w:bottom w:w="0" w:type="dxa"/>
            <w:right w:w="108" w:type="dxa"/>
          </w:tblCellMar>
        </w:tblPrEx>
        <w:trPr>
          <w:jc w:val="center"/>
        </w:trPr>
        <w:tc>
          <w:tcPr>
            <w:tcW w:w="842" w:type="pct"/>
            <w:tcBorders>
              <w:top w:val="nil"/>
              <w:left w:val="nil"/>
              <w:bottom w:val="nil"/>
              <w:right w:val="nil"/>
            </w:tcBorders>
            <w:shd w:val="clear" w:color="auto" w:fill="FFFFFF"/>
            <w:vAlign w:val="center"/>
          </w:tcPr>
          <w:p w14:paraId="63E699F3">
            <w:pPr>
              <w:widowControl/>
              <w:snapToGrid w:val="0"/>
              <w:spacing w:line="273" w:lineRule="auto"/>
              <w:jc w:val="center"/>
              <w:rPr>
                <w:color w:val="000000"/>
                <w:sz w:val="18"/>
                <w:szCs w:val="18"/>
              </w:rPr>
            </w:pPr>
            <w:r>
              <w:rPr>
                <w:color w:val="000000"/>
                <w:sz w:val="18"/>
                <w:szCs w:val="18"/>
                <w:lang w:bidi="ar"/>
              </w:rPr>
              <w:t>CSKG4APT [</w:t>
            </w:r>
            <w:r>
              <w:rPr>
                <w:rFonts w:hint="eastAsia"/>
                <w:color w:val="000000"/>
                <w:sz w:val="18"/>
                <w:szCs w:val="18"/>
                <w:lang w:eastAsia="zh" w:bidi="ar"/>
              </w:rPr>
              <w:t>28</w:t>
            </w:r>
            <w:r>
              <w:rPr>
                <w:color w:val="000000"/>
                <w:sz w:val="18"/>
                <w:szCs w:val="18"/>
                <w:lang w:bidi="ar"/>
              </w:rPr>
              <w:t>]</w:t>
            </w:r>
          </w:p>
        </w:tc>
        <w:tc>
          <w:tcPr>
            <w:tcW w:w="707" w:type="pct"/>
            <w:tcBorders>
              <w:top w:val="nil"/>
              <w:left w:val="nil"/>
              <w:bottom w:val="nil"/>
              <w:right w:val="nil"/>
            </w:tcBorders>
            <w:shd w:val="clear" w:color="auto" w:fill="FFFFFF"/>
            <w:vAlign w:val="center"/>
          </w:tcPr>
          <w:p w14:paraId="4F7BE6A6">
            <w:pPr>
              <w:widowControl/>
              <w:snapToGrid w:val="0"/>
              <w:spacing w:line="273" w:lineRule="auto"/>
              <w:jc w:val="center"/>
              <w:rPr>
                <w:color w:val="000000"/>
                <w:sz w:val="18"/>
                <w:szCs w:val="18"/>
              </w:rPr>
            </w:pPr>
            <w:r>
              <w:rPr>
                <w:rFonts w:hint="eastAsia" w:cs="宋体"/>
                <w:color w:val="000000"/>
                <w:sz w:val="18"/>
                <w:szCs w:val="18"/>
                <w:lang w:bidi="ar"/>
              </w:rPr>
              <w:t>部分</w:t>
            </w:r>
          </w:p>
        </w:tc>
        <w:tc>
          <w:tcPr>
            <w:tcW w:w="796" w:type="pct"/>
            <w:tcBorders>
              <w:top w:val="nil"/>
              <w:left w:val="nil"/>
              <w:bottom w:val="nil"/>
              <w:right w:val="nil"/>
            </w:tcBorders>
            <w:shd w:val="clear" w:color="auto" w:fill="FFFFFF"/>
            <w:vAlign w:val="center"/>
          </w:tcPr>
          <w:p w14:paraId="11CD9808">
            <w:pPr>
              <w:widowControl/>
              <w:snapToGrid w:val="0"/>
              <w:spacing w:line="273" w:lineRule="auto"/>
              <w:jc w:val="center"/>
              <w:rPr>
                <w:color w:val="000000"/>
                <w:sz w:val="18"/>
                <w:szCs w:val="18"/>
              </w:rPr>
            </w:pPr>
            <w:r>
              <w:rPr>
                <w:color w:val="000000"/>
                <w:sz w:val="18"/>
                <w:szCs w:val="18"/>
                <w:lang w:bidi="ar"/>
              </w:rPr>
              <w:t>×</w:t>
            </w:r>
          </w:p>
        </w:tc>
        <w:tc>
          <w:tcPr>
            <w:tcW w:w="707" w:type="pct"/>
            <w:tcBorders>
              <w:top w:val="nil"/>
              <w:left w:val="nil"/>
              <w:bottom w:val="nil"/>
              <w:right w:val="nil"/>
            </w:tcBorders>
            <w:shd w:val="clear" w:color="auto" w:fill="FFFFFF"/>
            <w:vAlign w:val="center"/>
          </w:tcPr>
          <w:p w14:paraId="659F50B2">
            <w:pPr>
              <w:widowControl/>
              <w:snapToGrid w:val="0"/>
              <w:spacing w:line="273" w:lineRule="auto"/>
              <w:jc w:val="center"/>
              <w:rPr>
                <w:color w:val="000000"/>
                <w:sz w:val="18"/>
                <w:szCs w:val="18"/>
              </w:rPr>
            </w:pPr>
            <w:r>
              <w:rPr>
                <w:color w:val="000000"/>
                <w:sz w:val="18"/>
                <w:szCs w:val="18"/>
                <w:lang w:bidi="ar"/>
              </w:rPr>
              <w:t>×</w:t>
            </w:r>
          </w:p>
        </w:tc>
        <w:tc>
          <w:tcPr>
            <w:tcW w:w="707" w:type="pct"/>
            <w:tcBorders>
              <w:top w:val="nil"/>
              <w:left w:val="nil"/>
              <w:bottom w:val="nil"/>
              <w:right w:val="nil"/>
            </w:tcBorders>
            <w:shd w:val="clear" w:color="auto" w:fill="FFFFFF"/>
            <w:vAlign w:val="center"/>
          </w:tcPr>
          <w:p w14:paraId="1EE61E5E">
            <w:pPr>
              <w:widowControl/>
              <w:snapToGrid w:val="0"/>
              <w:spacing w:line="273" w:lineRule="auto"/>
              <w:jc w:val="center"/>
              <w:rPr>
                <w:color w:val="000000"/>
                <w:sz w:val="18"/>
                <w:szCs w:val="18"/>
              </w:rPr>
            </w:pPr>
            <w:r>
              <w:rPr>
                <w:color w:val="000000"/>
                <w:sz w:val="18"/>
                <w:szCs w:val="18"/>
                <w:lang w:bidi="ar"/>
              </w:rPr>
              <w:t>×</w:t>
            </w:r>
          </w:p>
        </w:tc>
        <w:tc>
          <w:tcPr>
            <w:tcW w:w="796" w:type="pct"/>
            <w:tcBorders>
              <w:top w:val="nil"/>
              <w:left w:val="nil"/>
              <w:bottom w:val="nil"/>
              <w:right w:val="nil"/>
            </w:tcBorders>
            <w:shd w:val="clear" w:color="auto" w:fill="FFFFFF"/>
            <w:vAlign w:val="center"/>
          </w:tcPr>
          <w:p w14:paraId="0B9049A5">
            <w:pPr>
              <w:widowControl/>
              <w:snapToGrid w:val="0"/>
              <w:spacing w:line="273" w:lineRule="auto"/>
              <w:jc w:val="center"/>
              <w:rPr>
                <w:color w:val="000000"/>
                <w:sz w:val="18"/>
                <w:szCs w:val="18"/>
              </w:rPr>
            </w:pPr>
            <w:r>
              <w:rPr>
                <w:color w:val="000000"/>
                <w:sz w:val="18"/>
                <w:szCs w:val="18"/>
                <w:lang w:bidi="ar"/>
              </w:rPr>
              <w:t>×</w:t>
            </w:r>
          </w:p>
        </w:tc>
        <w:tc>
          <w:tcPr>
            <w:tcW w:w="437" w:type="pct"/>
            <w:tcBorders>
              <w:top w:val="nil"/>
              <w:left w:val="nil"/>
              <w:bottom w:val="nil"/>
              <w:right w:val="nil"/>
            </w:tcBorders>
            <w:shd w:val="clear" w:color="auto" w:fill="FFFFFF"/>
            <w:vAlign w:val="center"/>
          </w:tcPr>
          <w:p w14:paraId="6A319229">
            <w:pPr>
              <w:widowControl/>
              <w:snapToGrid w:val="0"/>
              <w:spacing w:line="273" w:lineRule="auto"/>
              <w:jc w:val="center"/>
              <w:rPr>
                <w:color w:val="000000"/>
                <w:sz w:val="18"/>
                <w:szCs w:val="18"/>
              </w:rPr>
            </w:pPr>
            <w:r>
              <w:rPr>
                <w:color w:val="000000"/>
                <w:sz w:val="18"/>
                <w:szCs w:val="18"/>
                <w:lang w:bidi="ar"/>
              </w:rPr>
              <w:t>×</w:t>
            </w:r>
          </w:p>
        </w:tc>
      </w:tr>
      <w:tr w14:paraId="6E3564EA">
        <w:tblPrEx>
          <w:tblCellMar>
            <w:top w:w="0" w:type="dxa"/>
            <w:left w:w="108" w:type="dxa"/>
            <w:bottom w:w="0" w:type="dxa"/>
            <w:right w:w="108" w:type="dxa"/>
          </w:tblCellMar>
        </w:tblPrEx>
        <w:trPr>
          <w:jc w:val="center"/>
        </w:trPr>
        <w:tc>
          <w:tcPr>
            <w:tcW w:w="842" w:type="pct"/>
            <w:tcBorders>
              <w:top w:val="nil"/>
              <w:left w:val="nil"/>
              <w:bottom w:val="nil"/>
              <w:right w:val="nil"/>
            </w:tcBorders>
            <w:shd w:val="clear" w:color="auto" w:fill="FFFFFF"/>
            <w:vAlign w:val="center"/>
          </w:tcPr>
          <w:p w14:paraId="68A1FB6D">
            <w:pPr>
              <w:widowControl/>
              <w:snapToGrid w:val="0"/>
              <w:spacing w:line="273" w:lineRule="auto"/>
              <w:jc w:val="center"/>
              <w:rPr>
                <w:color w:val="000000"/>
                <w:sz w:val="18"/>
                <w:szCs w:val="18"/>
              </w:rPr>
            </w:pPr>
            <w:r>
              <w:rPr>
                <w:color w:val="000000"/>
                <w:sz w:val="18"/>
                <w:szCs w:val="18"/>
                <w:lang w:bidi="ar"/>
              </w:rPr>
              <w:t>AttacKG [</w:t>
            </w:r>
            <w:r>
              <w:rPr>
                <w:rFonts w:hint="eastAsia"/>
                <w:color w:val="000000"/>
                <w:sz w:val="18"/>
                <w:szCs w:val="18"/>
                <w:lang w:eastAsia="zh" w:bidi="ar"/>
              </w:rPr>
              <w:t>29</w:t>
            </w:r>
            <w:r>
              <w:rPr>
                <w:color w:val="000000"/>
                <w:sz w:val="18"/>
                <w:szCs w:val="18"/>
                <w:lang w:bidi="ar"/>
              </w:rPr>
              <w:t>]</w:t>
            </w:r>
          </w:p>
        </w:tc>
        <w:tc>
          <w:tcPr>
            <w:tcW w:w="707" w:type="pct"/>
            <w:tcBorders>
              <w:top w:val="nil"/>
              <w:left w:val="nil"/>
              <w:bottom w:val="nil"/>
              <w:right w:val="nil"/>
            </w:tcBorders>
            <w:shd w:val="clear" w:color="auto" w:fill="FFFFFF"/>
            <w:vAlign w:val="center"/>
          </w:tcPr>
          <w:p w14:paraId="4F5AF212">
            <w:pPr>
              <w:widowControl/>
              <w:snapToGrid w:val="0"/>
              <w:spacing w:line="273" w:lineRule="auto"/>
              <w:jc w:val="center"/>
              <w:rPr>
                <w:color w:val="000000"/>
                <w:sz w:val="18"/>
                <w:szCs w:val="18"/>
              </w:rPr>
            </w:pPr>
            <w:r>
              <w:rPr>
                <w:rFonts w:hint="eastAsia" w:cs="宋体"/>
                <w:color w:val="000000"/>
                <w:sz w:val="18"/>
                <w:szCs w:val="18"/>
                <w:lang w:bidi="ar"/>
              </w:rPr>
              <w:t>部分</w:t>
            </w:r>
          </w:p>
        </w:tc>
        <w:tc>
          <w:tcPr>
            <w:tcW w:w="796" w:type="pct"/>
            <w:tcBorders>
              <w:top w:val="nil"/>
              <w:left w:val="nil"/>
              <w:bottom w:val="nil"/>
              <w:right w:val="nil"/>
            </w:tcBorders>
            <w:shd w:val="clear" w:color="auto" w:fill="FFFFFF"/>
            <w:vAlign w:val="center"/>
          </w:tcPr>
          <w:p w14:paraId="55785D1F">
            <w:pPr>
              <w:widowControl/>
              <w:snapToGrid w:val="0"/>
              <w:spacing w:line="273" w:lineRule="auto"/>
              <w:jc w:val="center"/>
              <w:rPr>
                <w:color w:val="000000"/>
                <w:sz w:val="18"/>
                <w:szCs w:val="18"/>
              </w:rPr>
            </w:pPr>
            <w:r>
              <w:rPr>
                <w:color w:val="000000"/>
                <w:sz w:val="18"/>
                <w:szCs w:val="18"/>
                <w:lang w:bidi="ar"/>
              </w:rPr>
              <w:t>×</w:t>
            </w:r>
          </w:p>
        </w:tc>
        <w:tc>
          <w:tcPr>
            <w:tcW w:w="707" w:type="pct"/>
            <w:tcBorders>
              <w:top w:val="nil"/>
              <w:left w:val="nil"/>
              <w:bottom w:val="nil"/>
              <w:right w:val="nil"/>
            </w:tcBorders>
            <w:shd w:val="clear" w:color="auto" w:fill="FFFFFF"/>
            <w:vAlign w:val="center"/>
          </w:tcPr>
          <w:p w14:paraId="3270A5CB">
            <w:pPr>
              <w:widowControl/>
              <w:snapToGrid w:val="0"/>
              <w:spacing w:line="273" w:lineRule="auto"/>
              <w:jc w:val="center"/>
              <w:rPr>
                <w:color w:val="000000"/>
                <w:sz w:val="18"/>
                <w:szCs w:val="18"/>
              </w:rPr>
            </w:pPr>
            <w:r>
              <w:rPr>
                <w:color w:val="000000"/>
                <w:sz w:val="18"/>
                <w:szCs w:val="18"/>
                <w:lang w:bidi="ar"/>
              </w:rPr>
              <w:t>×</w:t>
            </w:r>
          </w:p>
        </w:tc>
        <w:tc>
          <w:tcPr>
            <w:tcW w:w="707" w:type="pct"/>
            <w:tcBorders>
              <w:top w:val="nil"/>
              <w:left w:val="nil"/>
              <w:bottom w:val="nil"/>
              <w:right w:val="nil"/>
            </w:tcBorders>
            <w:shd w:val="clear" w:color="auto" w:fill="FFFFFF"/>
            <w:vAlign w:val="center"/>
          </w:tcPr>
          <w:p w14:paraId="7CB6EC76">
            <w:pPr>
              <w:widowControl/>
              <w:snapToGrid w:val="0"/>
              <w:spacing w:line="273" w:lineRule="auto"/>
              <w:jc w:val="center"/>
              <w:rPr>
                <w:color w:val="000000"/>
                <w:sz w:val="18"/>
                <w:szCs w:val="18"/>
              </w:rPr>
            </w:pPr>
            <w:r>
              <w:rPr>
                <w:color w:val="000000"/>
                <w:sz w:val="18"/>
                <w:szCs w:val="18"/>
                <w:lang w:bidi="ar"/>
              </w:rPr>
              <w:t>×</w:t>
            </w:r>
          </w:p>
        </w:tc>
        <w:tc>
          <w:tcPr>
            <w:tcW w:w="796" w:type="pct"/>
            <w:tcBorders>
              <w:top w:val="nil"/>
              <w:left w:val="nil"/>
              <w:bottom w:val="nil"/>
              <w:right w:val="nil"/>
            </w:tcBorders>
            <w:shd w:val="clear" w:color="auto" w:fill="FFFFFF"/>
            <w:vAlign w:val="center"/>
          </w:tcPr>
          <w:p w14:paraId="14E40DE1">
            <w:pPr>
              <w:widowControl/>
              <w:snapToGrid w:val="0"/>
              <w:spacing w:line="273" w:lineRule="auto"/>
              <w:jc w:val="center"/>
              <w:rPr>
                <w:color w:val="000000"/>
                <w:sz w:val="18"/>
                <w:szCs w:val="18"/>
              </w:rPr>
            </w:pPr>
            <w:r>
              <w:rPr>
                <w:color w:val="000000"/>
                <w:sz w:val="18"/>
                <w:szCs w:val="18"/>
                <w:lang w:bidi="ar"/>
              </w:rPr>
              <w:t>×</w:t>
            </w:r>
          </w:p>
        </w:tc>
        <w:tc>
          <w:tcPr>
            <w:tcW w:w="437" w:type="pct"/>
            <w:tcBorders>
              <w:top w:val="nil"/>
              <w:left w:val="nil"/>
              <w:bottom w:val="nil"/>
              <w:right w:val="nil"/>
            </w:tcBorders>
            <w:shd w:val="clear" w:color="auto" w:fill="FFFFFF"/>
            <w:vAlign w:val="center"/>
          </w:tcPr>
          <w:p w14:paraId="3F01FF62">
            <w:pPr>
              <w:widowControl/>
              <w:snapToGrid w:val="0"/>
              <w:spacing w:line="273" w:lineRule="auto"/>
              <w:jc w:val="center"/>
              <w:rPr>
                <w:color w:val="000000"/>
                <w:sz w:val="18"/>
                <w:szCs w:val="18"/>
              </w:rPr>
            </w:pPr>
            <w:r>
              <w:rPr>
                <w:rFonts w:hint="eastAsia" w:cs="宋体"/>
                <w:color w:val="000000"/>
                <w:sz w:val="18"/>
                <w:szCs w:val="18"/>
                <w:lang w:bidi="ar"/>
              </w:rPr>
              <w:t>部分</w:t>
            </w:r>
          </w:p>
        </w:tc>
      </w:tr>
      <w:tr w14:paraId="4929684D">
        <w:tblPrEx>
          <w:tblCellMar>
            <w:top w:w="0" w:type="dxa"/>
            <w:left w:w="108" w:type="dxa"/>
            <w:bottom w:w="0" w:type="dxa"/>
            <w:right w:w="108" w:type="dxa"/>
          </w:tblCellMar>
        </w:tblPrEx>
        <w:trPr>
          <w:jc w:val="center"/>
        </w:trPr>
        <w:tc>
          <w:tcPr>
            <w:tcW w:w="842" w:type="pct"/>
            <w:tcBorders>
              <w:top w:val="nil"/>
              <w:left w:val="nil"/>
              <w:bottom w:val="nil"/>
              <w:right w:val="nil"/>
            </w:tcBorders>
            <w:shd w:val="clear" w:color="auto" w:fill="FFFFFF"/>
            <w:vAlign w:val="center"/>
          </w:tcPr>
          <w:p w14:paraId="480B2042">
            <w:pPr>
              <w:widowControl/>
              <w:snapToGrid w:val="0"/>
              <w:spacing w:line="273" w:lineRule="auto"/>
              <w:jc w:val="center"/>
              <w:rPr>
                <w:color w:val="000000"/>
                <w:sz w:val="18"/>
                <w:szCs w:val="18"/>
              </w:rPr>
            </w:pPr>
            <w:r>
              <w:rPr>
                <w:color w:val="000000"/>
                <w:sz w:val="18"/>
                <w:szCs w:val="18"/>
                <w:lang w:bidi="ar"/>
              </w:rPr>
              <w:t>APT-KGL [</w:t>
            </w:r>
            <w:r>
              <w:rPr>
                <w:rFonts w:hint="eastAsia"/>
                <w:color w:val="000000"/>
                <w:sz w:val="18"/>
                <w:szCs w:val="18"/>
                <w:lang w:eastAsia="zh" w:bidi="ar"/>
              </w:rPr>
              <w:t>30</w:t>
            </w:r>
            <w:r>
              <w:rPr>
                <w:color w:val="000000"/>
                <w:sz w:val="18"/>
                <w:szCs w:val="18"/>
                <w:lang w:bidi="ar"/>
              </w:rPr>
              <w:t>]</w:t>
            </w:r>
          </w:p>
        </w:tc>
        <w:tc>
          <w:tcPr>
            <w:tcW w:w="707" w:type="pct"/>
            <w:tcBorders>
              <w:top w:val="nil"/>
              <w:left w:val="nil"/>
              <w:bottom w:val="nil"/>
              <w:right w:val="nil"/>
            </w:tcBorders>
            <w:shd w:val="clear" w:color="auto" w:fill="FFFFFF"/>
            <w:vAlign w:val="center"/>
          </w:tcPr>
          <w:p w14:paraId="6182D4FE">
            <w:pPr>
              <w:widowControl/>
              <w:snapToGrid w:val="0"/>
              <w:spacing w:line="273" w:lineRule="auto"/>
              <w:jc w:val="center"/>
              <w:rPr>
                <w:color w:val="000000"/>
                <w:sz w:val="18"/>
                <w:szCs w:val="18"/>
              </w:rPr>
            </w:pPr>
            <w:r>
              <w:rPr>
                <w:color w:val="000000"/>
                <w:sz w:val="18"/>
                <w:szCs w:val="18"/>
                <w:lang w:bidi="ar"/>
              </w:rPr>
              <w:t>✓</w:t>
            </w:r>
          </w:p>
        </w:tc>
        <w:tc>
          <w:tcPr>
            <w:tcW w:w="796" w:type="pct"/>
            <w:tcBorders>
              <w:top w:val="nil"/>
              <w:left w:val="nil"/>
              <w:bottom w:val="nil"/>
              <w:right w:val="nil"/>
            </w:tcBorders>
            <w:shd w:val="clear" w:color="auto" w:fill="FFFFFF"/>
            <w:vAlign w:val="center"/>
          </w:tcPr>
          <w:p w14:paraId="2043EDCD">
            <w:pPr>
              <w:widowControl/>
              <w:snapToGrid w:val="0"/>
              <w:spacing w:line="273" w:lineRule="auto"/>
              <w:jc w:val="center"/>
              <w:rPr>
                <w:color w:val="000000"/>
                <w:sz w:val="18"/>
                <w:szCs w:val="18"/>
              </w:rPr>
            </w:pPr>
            <w:r>
              <w:rPr>
                <w:color w:val="000000"/>
                <w:sz w:val="18"/>
                <w:szCs w:val="18"/>
                <w:lang w:bidi="ar"/>
              </w:rPr>
              <w:t>×</w:t>
            </w:r>
          </w:p>
        </w:tc>
        <w:tc>
          <w:tcPr>
            <w:tcW w:w="707" w:type="pct"/>
            <w:tcBorders>
              <w:top w:val="nil"/>
              <w:left w:val="nil"/>
              <w:bottom w:val="nil"/>
              <w:right w:val="nil"/>
            </w:tcBorders>
            <w:shd w:val="clear" w:color="auto" w:fill="FFFFFF"/>
            <w:vAlign w:val="center"/>
          </w:tcPr>
          <w:p w14:paraId="2A029878">
            <w:pPr>
              <w:widowControl/>
              <w:snapToGrid w:val="0"/>
              <w:spacing w:line="273" w:lineRule="auto"/>
              <w:jc w:val="center"/>
              <w:rPr>
                <w:color w:val="000000"/>
                <w:sz w:val="18"/>
                <w:szCs w:val="18"/>
              </w:rPr>
            </w:pPr>
            <w:r>
              <w:rPr>
                <w:color w:val="000000"/>
                <w:sz w:val="18"/>
                <w:szCs w:val="18"/>
                <w:lang w:bidi="ar"/>
              </w:rPr>
              <w:t>×</w:t>
            </w:r>
          </w:p>
        </w:tc>
        <w:tc>
          <w:tcPr>
            <w:tcW w:w="707" w:type="pct"/>
            <w:tcBorders>
              <w:top w:val="nil"/>
              <w:left w:val="nil"/>
              <w:bottom w:val="nil"/>
              <w:right w:val="nil"/>
            </w:tcBorders>
            <w:shd w:val="clear" w:color="auto" w:fill="FFFFFF"/>
            <w:vAlign w:val="center"/>
          </w:tcPr>
          <w:p w14:paraId="6C4598AF">
            <w:pPr>
              <w:widowControl/>
              <w:snapToGrid w:val="0"/>
              <w:spacing w:line="273" w:lineRule="auto"/>
              <w:jc w:val="center"/>
              <w:rPr>
                <w:color w:val="000000"/>
                <w:sz w:val="18"/>
                <w:szCs w:val="18"/>
              </w:rPr>
            </w:pPr>
            <w:r>
              <w:rPr>
                <w:color w:val="000000"/>
                <w:sz w:val="18"/>
                <w:szCs w:val="18"/>
                <w:lang w:bidi="ar"/>
              </w:rPr>
              <w:t>×</w:t>
            </w:r>
          </w:p>
        </w:tc>
        <w:tc>
          <w:tcPr>
            <w:tcW w:w="796" w:type="pct"/>
            <w:tcBorders>
              <w:top w:val="nil"/>
              <w:left w:val="nil"/>
              <w:bottom w:val="nil"/>
              <w:right w:val="nil"/>
            </w:tcBorders>
            <w:shd w:val="clear" w:color="auto" w:fill="FFFFFF"/>
            <w:vAlign w:val="center"/>
          </w:tcPr>
          <w:p w14:paraId="7EF4C933">
            <w:pPr>
              <w:widowControl/>
              <w:snapToGrid w:val="0"/>
              <w:spacing w:line="273" w:lineRule="auto"/>
              <w:jc w:val="center"/>
              <w:rPr>
                <w:color w:val="000000"/>
                <w:sz w:val="18"/>
                <w:szCs w:val="18"/>
              </w:rPr>
            </w:pPr>
            <w:r>
              <w:rPr>
                <w:color w:val="000000"/>
                <w:sz w:val="18"/>
                <w:szCs w:val="18"/>
                <w:lang w:bidi="ar"/>
              </w:rPr>
              <w:t>✓</w:t>
            </w:r>
          </w:p>
        </w:tc>
        <w:tc>
          <w:tcPr>
            <w:tcW w:w="437" w:type="pct"/>
            <w:tcBorders>
              <w:top w:val="nil"/>
              <w:left w:val="nil"/>
              <w:bottom w:val="nil"/>
              <w:right w:val="nil"/>
            </w:tcBorders>
            <w:shd w:val="clear" w:color="auto" w:fill="FFFFFF"/>
            <w:vAlign w:val="center"/>
          </w:tcPr>
          <w:p w14:paraId="257590EE">
            <w:pPr>
              <w:widowControl/>
              <w:snapToGrid w:val="0"/>
              <w:spacing w:line="273" w:lineRule="auto"/>
              <w:jc w:val="center"/>
              <w:rPr>
                <w:color w:val="000000"/>
                <w:sz w:val="18"/>
                <w:szCs w:val="18"/>
              </w:rPr>
            </w:pPr>
            <w:r>
              <w:rPr>
                <w:rFonts w:hint="eastAsia" w:cs="宋体"/>
                <w:color w:val="000000"/>
                <w:sz w:val="18"/>
                <w:szCs w:val="18"/>
                <w:lang w:bidi="ar"/>
              </w:rPr>
              <w:t>部分</w:t>
            </w:r>
          </w:p>
        </w:tc>
      </w:tr>
      <w:tr w14:paraId="54EF8496">
        <w:tblPrEx>
          <w:tblCellMar>
            <w:top w:w="0" w:type="dxa"/>
            <w:left w:w="108" w:type="dxa"/>
            <w:bottom w:w="0" w:type="dxa"/>
            <w:right w:w="108" w:type="dxa"/>
          </w:tblCellMar>
        </w:tblPrEx>
        <w:trPr>
          <w:jc w:val="center"/>
        </w:trPr>
        <w:tc>
          <w:tcPr>
            <w:tcW w:w="842" w:type="pct"/>
            <w:tcBorders>
              <w:top w:val="nil"/>
              <w:left w:val="nil"/>
              <w:bottom w:val="nil"/>
              <w:right w:val="nil"/>
            </w:tcBorders>
            <w:shd w:val="clear" w:color="auto" w:fill="FFFFFF"/>
            <w:vAlign w:val="center"/>
          </w:tcPr>
          <w:p w14:paraId="15DF0FAC">
            <w:pPr>
              <w:widowControl/>
              <w:snapToGrid w:val="0"/>
              <w:spacing w:line="273" w:lineRule="auto"/>
              <w:jc w:val="center"/>
              <w:rPr>
                <w:color w:val="000000"/>
                <w:sz w:val="18"/>
                <w:szCs w:val="18"/>
              </w:rPr>
            </w:pPr>
            <w:r>
              <w:rPr>
                <w:color w:val="000000"/>
                <w:sz w:val="18"/>
                <w:szCs w:val="18"/>
                <w:lang w:bidi="ar"/>
              </w:rPr>
              <w:t>APT-MMF [</w:t>
            </w:r>
            <w:r>
              <w:rPr>
                <w:rFonts w:hint="eastAsia"/>
                <w:color w:val="000000"/>
                <w:sz w:val="18"/>
                <w:szCs w:val="18"/>
                <w:lang w:eastAsia="zh" w:bidi="ar"/>
              </w:rPr>
              <w:t>22</w:t>
            </w:r>
            <w:r>
              <w:rPr>
                <w:color w:val="000000"/>
                <w:sz w:val="18"/>
                <w:szCs w:val="18"/>
                <w:lang w:bidi="ar"/>
              </w:rPr>
              <w:t>]</w:t>
            </w:r>
          </w:p>
        </w:tc>
        <w:tc>
          <w:tcPr>
            <w:tcW w:w="707" w:type="pct"/>
            <w:tcBorders>
              <w:top w:val="nil"/>
              <w:left w:val="nil"/>
              <w:bottom w:val="nil"/>
              <w:right w:val="nil"/>
            </w:tcBorders>
            <w:shd w:val="clear" w:color="auto" w:fill="FFFFFF"/>
            <w:vAlign w:val="center"/>
          </w:tcPr>
          <w:p w14:paraId="4CE2250D">
            <w:pPr>
              <w:widowControl/>
              <w:snapToGrid w:val="0"/>
              <w:spacing w:line="273" w:lineRule="auto"/>
              <w:jc w:val="center"/>
              <w:rPr>
                <w:color w:val="000000"/>
                <w:sz w:val="18"/>
                <w:szCs w:val="18"/>
              </w:rPr>
            </w:pPr>
            <w:r>
              <w:rPr>
                <w:color w:val="000000"/>
                <w:sz w:val="18"/>
                <w:szCs w:val="18"/>
                <w:lang w:bidi="ar"/>
              </w:rPr>
              <w:t>✓</w:t>
            </w:r>
          </w:p>
        </w:tc>
        <w:tc>
          <w:tcPr>
            <w:tcW w:w="796" w:type="pct"/>
            <w:tcBorders>
              <w:top w:val="nil"/>
              <w:left w:val="nil"/>
              <w:bottom w:val="nil"/>
              <w:right w:val="nil"/>
            </w:tcBorders>
            <w:shd w:val="clear" w:color="auto" w:fill="FFFFFF"/>
            <w:vAlign w:val="center"/>
          </w:tcPr>
          <w:p w14:paraId="3AC6D1A0">
            <w:pPr>
              <w:widowControl/>
              <w:snapToGrid w:val="0"/>
              <w:spacing w:line="273" w:lineRule="auto"/>
              <w:jc w:val="center"/>
              <w:rPr>
                <w:color w:val="000000"/>
                <w:sz w:val="18"/>
                <w:szCs w:val="18"/>
              </w:rPr>
            </w:pPr>
            <w:r>
              <w:rPr>
                <w:color w:val="000000"/>
                <w:sz w:val="18"/>
                <w:szCs w:val="18"/>
                <w:lang w:bidi="ar"/>
              </w:rPr>
              <w:t>×</w:t>
            </w:r>
          </w:p>
        </w:tc>
        <w:tc>
          <w:tcPr>
            <w:tcW w:w="707" w:type="pct"/>
            <w:tcBorders>
              <w:top w:val="nil"/>
              <w:left w:val="nil"/>
              <w:bottom w:val="nil"/>
              <w:right w:val="nil"/>
            </w:tcBorders>
            <w:shd w:val="clear" w:color="auto" w:fill="FFFFFF"/>
            <w:vAlign w:val="center"/>
          </w:tcPr>
          <w:p w14:paraId="25D098C8">
            <w:pPr>
              <w:widowControl/>
              <w:snapToGrid w:val="0"/>
              <w:spacing w:line="273" w:lineRule="auto"/>
              <w:jc w:val="center"/>
              <w:rPr>
                <w:color w:val="000000"/>
                <w:sz w:val="18"/>
                <w:szCs w:val="18"/>
              </w:rPr>
            </w:pPr>
            <w:r>
              <w:rPr>
                <w:color w:val="000000"/>
                <w:sz w:val="18"/>
                <w:szCs w:val="18"/>
                <w:lang w:bidi="ar"/>
              </w:rPr>
              <w:t>×</w:t>
            </w:r>
          </w:p>
        </w:tc>
        <w:tc>
          <w:tcPr>
            <w:tcW w:w="707" w:type="pct"/>
            <w:tcBorders>
              <w:top w:val="nil"/>
              <w:left w:val="nil"/>
              <w:bottom w:val="nil"/>
              <w:right w:val="nil"/>
            </w:tcBorders>
            <w:shd w:val="clear" w:color="auto" w:fill="FFFFFF"/>
            <w:vAlign w:val="center"/>
          </w:tcPr>
          <w:p w14:paraId="22E7E1A3">
            <w:pPr>
              <w:widowControl/>
              <w:snapToGrid w:val="0"/>
              <w:spacing w:line="273" w:lineRule="auto"/>
              <w:jc w:val="center"/>
              <w:rPr>
                <w:color w:val="000000"/>
                <w:sz w:val="18"/>
                <w:szCs w:val="18"/>
              </w:rPr>
            </w:pPr>
            <w:r>
              <w:rPr>
                <w:color w:val="000000"/>
                <w:sz w:val="18"/>
                <w:szCs w:val="18"/>
                <w:lang w:bidi="ar"/>
              </w:rPr>
              <w:t>×</w:t>
            </w:r>
          </w:p>
        </w:tc>
        <w:tc>
          <w:tcPr>
            <w:tcW w:w="796" w:type="pct"/>
            <w:tcBorders>
              <w:top w:val="nil"/>
              <w:left w:val="nil"/>
              <w:bottom w:val="nil"/>
              <w:right w:val="nil"/>
            </w:tcBorders>
            <w:shd w:val="clear" w:color="auto" w:fill="FFFFFF"/>
            <w:vAlign w:val="center"/>
          </w:tcPr>
          <w:p w14:paraId="16FBE388">
            <w:pPr>
              <w:widowControl/>
              <w:snapToGrid w:val="0"/>
              <w:spacing w:line="273" w:lineRule="auto"/>
              <w:jc w:val="center"/>
              <w:rPr>
                <w:color w:val="000000"/>
                <w:sz w:val="18"/>
                <w:szCs w:val="18"/>
              </w:rPr>
            </w:pPr>
            <w:r>
              <w:rPr>
                <w:color w:val="000000"/>
                <w:sz w:val="18"/>
                <w:szCs w:val="18"/>
                <w:lang w:bidi="ar"/>
              </w:rPr>
              <w:t>×</w:t>
            </w:r>
          </w:p>
        </w:tc>
        <w:tc>
          <w:tcPr>
            <w:tcW w:w="437" w:type="pct"/>
            <w:tcBorders>
              <w:top w:val="nil"/>
              <w:left w:val="nil"/>
              <w:bottom w:val="nil"/>
              <w:right w:val="nil"/>
            </w:tcBorders>
            <w:shd w:val="clear" w:color="auto" w:fill="FFFFFF"/>
            <w:vAlign w:val="center"/>
          </w:tcPr>
          <w:p w14:paraId="628E5213">
            <w:pPr>
              <w:widowControl/>
              <w:snapToGrid w:val="0"/>
              <w:spacing w:line="273" w:lineRule="auto"/>
              <w:jc w:val="center"/>
              <w:rPr>
                <w:color w:val="000000"/>
                <w:sz w:val="18"/>
                <w:szCs w:val="18"/>
              </w:rPr>
            </w:pPr>
            <w:r>
              <w:rPr>
                <w:rFonts w:hint="eastAsia" w:cs="宋体"/>
                <w:color w:val="000000"/>
                <w:sz w:val="18"/>
                <w:szCs w:val="18"/>
                <w:lang w:bidi="ar"/>
              </w:rPr>
              <w:t>部分</w:t>
            </w:r>
          </w:p>
        </w:tc>
      </w:tr>
      <w:tr w14:paraId="1646C7EB">
        <w:tblPrEx>
          <w:tblCellMar>
            <w:top w:w="0" w:type="dxa"/>
            <w:left w:w="108" w:type="dxa"/>
            <w:bottom w:w="0" w:type="dxa"/>
            <w:right w:w="108" w:type="dxa"/>
          </w:tblCellMar>
        </w:tblPrEx>
        <w:trPr>
          <w:jc w:val="center"/>
        </w:trPr>
        <w:tc>
          <w:tcPr>
            <w:tcW w:w="842" w:type="pct"/>
            <w:tcBorders>
              <w:top w:val="nil"/>
              <w:left w:val="nil"/>
              <w:bottom w:val="nil"/>
              <w:right w:val="nil"/>
            </w:tcBorders>
            <w:shd w:val="clear" w:color="auto" w:fill="FFFFFF"/>
            <w:vAlign w:val="center"/>
          </w:tcPr>
          <w:p w14:paraId="30FF1AAE">
            <w:pPr>
              <w:widowControl/>
              <w:snapToGrid w:val="0"/>
              <w:spacing w:line="273" w:lineRule="auto"/>
              <w:jc w:val="center"/>
              <w:rPr>
                <w:color w:val="000000"/>
                <w:sz w:val="18"/>
                <w:szCs w:val="18"/>
              </w:rPr>
            </w:pPr>
            <w:r>
              <w:rPr>
                <w:color w:val="000000"/>
                <w:sz w:val="18"/>
                <w:szCs w:val="18"/>
                <w:lang w:bidi="ar"/>
              </w:rPr>
              <w:t>Mead</w:t>
            </w:r>
            <w:r>
              <w:rPr>
                <w:rFonts w:hint="eastAsia" w:cs="宋体"/>
                <w:color w:val="000000"/>
                <w:sz w:val="18"/>
                <w:szCs w:val="18"/>
                <w:lang w:bidi="ar"/>
              </w:rPr>
              <w:t xml:space="preserve">等 </w:t>
            </w:r>
            <w:r>
              <w:rPr>
                <w:color w:val="000000"/>
                <w:sz w:val="18"/>
                <w:szCs w:val="18"/>
                <w:lang w:bidi="ar"/>
              </w:rPr>
              <w:t>[4]</w:t>
            </w:r>
          </w:p>
        </w:tc>
        <w:tc>
          <w:tcPr>
            <w:tcW w:w="707" w:type="pct"/>
            <w:tcBorders>
              <w:top w:val="nil"/>
              <w:left w:val="nil"/>
              <w:bottom w:val="nil"/>
              <w:right w:val="nil"/>
            </w:tcBorders>
            <w:shd w:val="clear" w:color="auto" w:fill="FFFFFF"/>
            <w:vAlign w:val="center"/>
          </w:tcPr>
          <w:p w14:paraId="2D435F17">
            <w:pPr>
              <w:widowControl/>
              <w:snapToGrid w:val="0"/>
              <w:spacing w:line="273" w:lineRule="auto"/>
              <w:jc w:val="center"/>
              <w:rPr>
                <w:color w:val="000000"/>
                <w:sz w:val="18"/>
                <w:szCs w:val="18"/>
              </w:rPr>
            </w:pPr>
            <w:r>
              <w:rPr>
                <w:color w:val="000000"/>
                <w:sz w:val="18"/>
                <w:szCs w:val="18"/>
                <w:lang w:bidi="ar"/>
              </w:rPr>
              <w:t>✓</w:t>
            </w:r>
          </w:p>
        </w:tc>
        <w:tc>
          <w:tcPr>
            <w:tcW w:w="796" w:type="pct"/>
            <w:tcBorders>
              <w:top w:val="nil"/>
              <w:left w:val="nil"/>
              <w:bottom w:val="nil"/>
              <w:right w:val="nil"/>
            </w:tcBorders>
            <w:shd w:val="clear" w:color="auto" w:fill="FFFFFF"/>
            <w:vAlign w:val="center"/>
          </w:tcPr>
          <w:p w14:paraId="12A7C1F4">
            <w:pPr>
              <w:widowControl/>
              <w:snapToGrid w:val="0"/>
              <w:spacing w:line="273" w:lineRule="auto"/>
              <w:jc w:val="center"/>
              <w:rPr>
                <w:color w:val="000000"/>
                <w:sz w:val="18"/>
                <w:szCs w:val="18"/>
              </w:rPr>
            </w:pPr>
            <w:r>
              <w:rPr>
                <w:color w:val="000000"/>
                <w:sz w:val="18"/>
                <w:szCs w:val="18"/>
                <w:lang w:bidi="ar"/>
              </w:rPr>
              <w:t>×</w:t>
            </w:r>
          </w:p>
        </w:tc>
        <w:tc>
          <w:tcPr>
            <w:tcW w:w="707" w:type="pct"/>
            <w:tcBorders>
              <w:top w:val="nil"/>
              <w:left w:val="nil"/>
              <w:bottom w:val="nil"/>
              <w:right w:val="nil"/>
            </w:tcBorders>
            <w:shd w:val="clear" w:color="auto" w:fill="FFFFFF"/>
            <w:vAlign w:val="center"/>
          </w:tcPr>
          <w:p w14:paraId="276A06B3">
            <w:pPr>
              <w:widowControl/>
              <w:snapToGrid w:val="0"/>
              <w:spacing w:line="273" w:lineRule="auto"/>
              <w:jc w:val="center"/>
              <w:rPr>
                <w:color w:val="000000"/>
                <w:sz w:val="18"/>
                <w:szCs w:val="18"/>
              </w:rPr>
            </w:pPr>
            <w:r>
              <w:rPr>
                <w:color w:val="000000"/>
                <w:sz w:val="18"/>
                <w:szCs w:val="18"/>
                <w:lang w:bidi="ar"/>
              </w:rPr>
              <w:t>×</w:t>
            </w:r>
          </w:p>
        </w:tc>
        <w:tc>
          <w:tcPr>
            <w:tcW w:w="707" w:type="pct"/>
            <w:tcBorders>
              <w:top w:val="nil"/>
              <w:left w:val="nil"/>
              <w:bottom w:val="nil"/>
              <w:right w:val="nil"/>
            </w:tcBorders>
            <w:shd w:val="clear" w:color="auto" w:fill="FFFFFF"/>
            <w:vAlign w:val="center"/>
          </w:tcPr>
          <w:p w14:paraId="7B651E22">
            <w:pPr>
              <w:widowControl/>
              <w:snapToGrid w:val="0"/>
              <w:spacing w:line="273" w:lineRule="auto"/>
              <w:jc w:val="center"/>
              <w:rPr>
                <w:color w:val="000000"/>
                <w:sz w:val="18"/>
                <w:szCs w:val="18"/>
              </w:rPr>
            </w:pPr>
            <w:r>
              <w:rPr>
                <w:color w:val="000000"/>
                <w:sz w:val="18"/>
                <w:szCs w:val="18"/>
                <w:lang w:bidi="ar"/>
              </w:rPr>
              <w:t>×</w:t>
            </w:r>
          </w:p>
        </w:tc>
        <w:tc>
          <w:tcPr>
            <w:tcW w:w="796" w:type="pct"/>
            <w:tcBorders>
              <w:top w:val="nil"/>
              <w:left w:val="nil"/>
              <w:bottom w:val="nil"/>
              <w:right w:val="nil"/>
            </w:tcBorders>
            <w:shd w:val="clear" w:color="auto" w:fill="FFFFFF"/>
            <w:vAlign w:val="center"/>
          </w:tcPr>
          <w:p w14:paraId="4E8D8160">
            <w:pPr>
              <w:widowControl/>
              <w:snapToGrid w:val="0"/>
              <w:spacing w:line="273" w:lineRule="auto"/>
              <w:jc w:val="center"/>
              <w:rPr>
                <w:color w:val="000000"/>
                <w:sz w:val="18"/>
                <w:szCs w:val="18"/>
              </w:rPr>
            </w:pPr>
            <w:r>
              <w:rPr>
                <w:color w:val="000000"/>
                <w:sz w:val="18"/>
                <w:szCs w:val="18"/>
                <w:lang w:bidi="ar"/>
              </w:rPr>
              <w:t>×</w:t>
            </w:r>
          </w:p>
        </w:tc>
        <w:tc>
          <w:tcPr>
            <w:tcW w:w="437" w:type="pct"/>
            <w:tcBorders>
              <w:top w:val="nil"/>
              <w:left w:val="nil"/>
              <w:bottom w:val="nil"/>
              <w:right w:val="nil"/>
            </w:tcBorders>
            <w:shd w:val="clear" w:color="auto" w:fill="FFFFFF"/>
            <w:vAlign w:val="center"/>
          </w:tcPr>
          <w:p w14:paraId="16B4D252">
            <w:pPr>
              <w:widowControl/>
              <w:snapToGrid w:val="0"/>
              <w:spacing w:line="273" w:lineRule="auto"/>
              <w:jc w:val="center"/>
              <w:rPr>
                <w:color w:val="000000"/>
                <w:sz w:val="18"/>
                <w:szCs w:val="18"/>
              </w:rPr>
            </w:pPr>
            <w:r>
              <w:rPr>
                <w:rFonts w:hint="eastAsia" w:cs="宋体"/>
                <w:color w:val="000000"/>
                <w:sz w:val="18"/>
                <w:szCs w:val="18"/>
                <w:lang w:bidi="ar"/>
              </w:rPr>
              <w:t>部分</w:t>
            </w:r>
          </w:p>
        </w:tc>
      </w:tr>
      <w:tr w14:paraId="333014E9">
        <w:tblPrEx>
          <w:tblCellMar>
            <w:top w:w="0" w:type="dxa"/>
            <w:left w:w="108" w:type="dxa"/>
            <w:bottom w:w="0" w:type="dxa"/>
            <w:right w:w="108" w:type="dxa"/>
          </w:tblCellMar>
        </w:tblPrEx>
        <w:trPr>
          <w:jc w:val="center"/>
        </w:trPr>
        <w:tc>
          <w:tcPr>
            <w:tcW w:w="842" w:type="pct"/>
            <w:tcBorders>
              <w:top w:val="nil"/>
              <w:left w:val="nil"/>
              <w:bottom w:val="single" w:color="000000" w:sz="12" w:space="0"/>
              <w:right w:val="nil"/>
            </w:tcBorders>
            <w:shd w:val="clear" w:color="auto" w:fill="FFFFFF"/>
            <w:vAlign w:val="center"/>
          </w:tcPr>
          <w:p w14:paraId="0A2EA18A">
            <w:pPr>
              <w:widowControl/>
              <w:snapToGrid w:val="0"/>
              <w:spacing w:line="273" w:lineRule="auto"/>
              <w:jc w:val="center"/>
              <w:rPr>
                <w:color w:val="000000"/>
                <w:sz w:val="18"/>
                <w:szCs w:val="18"/>
              </w:rPr>
            </w:pPr>
            <w:r>
              <w:rPr>
                <w:color w:val="000000"/>
                <w:sz w:val="18"/>
                <w:szCs w:val="18"/>
                <w:lang w:bidi="ar"/>
              </w:rPr>
              <w:t>APT-CTIA</w:t>
            </w:r>
            <w:r>
              <w:rPr>
                <w:rFonts w:hint="eastAsia" w:cs="宋体"/>
                <w:color w:val="000000"/>
                <w:sz w:val="18"/>
                <w:szCs w:val="18"/>
                <w:lang w:bidi="ar"/>
              </w:rPr>
              <w:t>（本文）</w:t>
            </w:r>
          </w:p>
        </w:tc>
        <w:tc>
          <w:tcPr>
            <w:tcW w:w="707" w:type="pct"/>
            <w:tcBorders>
              <w:top w:val="nil"/>
              <w:left w:val="nil"/>
              <w:bottom w:val="single" w:color="000000" w:sz="12" w:space="0"/>
              <w:right w:val="nil"/>
            </w:tcBorders>
            <w:shd w:val="clear" w:color="auto" w:fill="FFFFFF"/>
            <w:vAlign w:val="center"/>
          </w:tcPr>
          <w:p w14:paraId="3BC5577D">
            <w:pPr>
              <w:widowControl/>
              <w:snapToGrid w:val="0"/>
              <w:spacing w:line="273" w:lineRule="auto"/>
              <w:jc w:val="center"/>
              <w:rPr>
                <w:color w:val="000000"/>
                <w:sz w:val="18"/>
                <w:szCs w:val="18"/>
              </w:rPr>
            </w:pPr>
            <w:r>
              <w:rPr>
                <w:color w:val="000000"/>
                <w:sz w:val="18"/>
                <w:szCs w:val="18"/>
                <w:lang w:bidi="ar"/>
              </w:rPr>
              <w:t>✓</w:t>
            </w:r>
          </w:p>
        </w:tc>
        <w:tc>
          <w:tcPr>
            <w:tcW w:w="796" w:type="pct"/>
            <w:tcBorders>
              <w:top w:val="nil"/>
              <w:left w:val="nil"/>
              <w:bottom w:val="single" w:color="000000" w:sz="12" w:space="0"/>
              <w:right w:val="nil"/>
            </w:tcBorders>
            <w:shd w:val="clear" w:color="auto" w:fill="FFFFFF"/>
            <w:vAlign w:val="center"/>
          </w:tcPr>
          <w:p w14:paraId="5E8FE5F9">
            <w:pPr>
              <w:widowControl/>
              <w:snapToGrid w:val="0"/>
              <w:spacing w:line="273" w:lineRule="auto"/>
              <w:jc w:val="center"/>
              <w:rPr>
                <w:color w:val="000000"/>
                <w:sz w:val="18"/>
                <w:szCs w:val="18"/>
              </w:rPr>
            </w:pPr>
            <w:r>
              <w:rPr>
                <w:color w:val="000000"/>
                <w:sz w:val="18"/>
                <w:szCs w:val="18"/>
                <w:lang w:bidi="ar"/>
              </w:rPr>
              <w:t>✓</w:t>
            </w:r>
          </w:p>
        </w:tc>
        <w:tc>
          <w:tcPr>
            <w:tcW w:w="707" w:type="pct"/>
            <w:tcBorders>
              <w:top w:val="nil"/>
              <w:left w:val="nil"/>
              <w:bottom w:val="single" w:color="000000" w:sz="12" w:space="0"/>
              <w:right w:val="nil"/>
            </w:tcBorders>
            <w:shd w:val="clear" w:color="auto" w:fill="FFFFFF"/>
            <w:vAlign w:val="center"/>
          </w:tcPr>
          <w:p w14:paraId="7E46A258">
            <w:pPr>
              <w:widowControl/>
              <w:snapToGrid w:val="0"/>
              <w:spacing w:line="273" w:lineRule="auto"/>
              <w:jc w:val="center"/>
              <w:rPr>
                <w:color w:val="000000"/>
                <w:sz w:val="18"/>
                <w:szCs w:val="18"/>
              </w:rPr>
            </w:pPr>
            <w:r>
              <w:rPr>
                <w:color w:val="000000"/>
                <w:sz w:val="18"/>
                <w:szCs w:val="18"/>
                <w:lang w:bidi="ar"/>
              </w:rPr>
              <w:t>✓</w:t>
            </w:r>
          </w:p>
        </w:tc>
        <w:tc>
          <w:tcPr>
            <w:tcW w:w="707" w:type="pct"/>
            <w:tcBorders>
              <w:top w:val="nil"/>
              <w:left w:val="nil"/>
              <w:bottom w:val="single" w:color="000000" w:sz="12" w:space="0"/>
              <w:right w:val="nil"/>
            </w:tcBorders>
            <w:shd w:val="clear" w:color="auto" w:fill="FFFFFF"/>
            <w:vAlign w:val="center"/>
          </w:tcPr>
          <w:p w14:paraId="20E4A5BF">
            <w:pPr>
              <w:widowControl/>
              <w:snapToGrid w:val="0"/>
              <w:spacing w:line="273" w:lineRule="auto"/>
              <w:jc w:val="center"/>
              <w:rPr>
                <w:color w:val="000000"/>
                <w:sz w:val="18"/>
                <w:szCs w:val="18"/>
              </w:rPr>
            </w:pPr>
            <w:r>
              <w:rPr>
                <w:color w:val="000000"/>
                <w:sz w:val="18"/>
                <w:szCs w:val="18"/>
                <w:lang w:bidi="ar"/>
              </w:rPr>
              <w:t>✓</w:t>
            </w:r>
          </w:p>
        </w:tc>
        <w:tc>
          <w:tcPr>
            <w:tcW w:w="796" w:type="pct"/>
            <w:tcBorders>
              <w:top w:val="nil"/>
              <w:left w:val="nil"/>
              <w:bottom w:val="single" w:color="000000" w:sz="12" w:space="0"/>
              <w:right w:val="nil"/>
            </w:tcBorders>
            <w:shd w:val="clear" w:color="auto" w:fill="FFFFFF"/>
            <w:vAlign w:val="center"/>
          </w:tcPr>
          <w:p w14:paraId="4C34762A">
            <w:pPr>
              <w:widowControl/>
              <w:snapToGrid w:val="0"/>
              <w:spacing w:line="273" w:lineRule="auto"/>
              <w:jc w:val="center"/>
              <w:rPr>
                <w:color w:val="000000"/>
                <w:sz w:val="18"/>
                <w:szCs w:val="18"/>
              </w:rPr>
            </w:pPr>
            <w:r>
              <w:rPr>
                <w:color w:val="000000"/>
                <w:sz w:val="18"/>
                <w:szCs w:val="18"/>
                <w:lang w:bidi="ar"/>
              </w:rPr>
              <w:t>✓</w:t>
            </w:r>
          </w:p>
        </w:tc>
        <w:tc>
          <w:tcPr>
            <w:tcW w:w="437" w:type="pct"/>
            <w:tcBorders>
              <w:top w:val="nil"/>
              <w:left w:val="nil"/>
              <w:bottom w:val="single" w:color="000000" w:sz="12" w:space="0"/>
              <w:right w:val="nil"/>
            </w:tcBorders>
            <w:shd w:val="clear" w:color="auto" w:fill="FFFFFF"/>
            <w:vAlign w:val="center"/>
          </w:tcPr>
          <w:p w14:paraId="7D3E44AE">
            <w:pPr>
              <w:widowControl/>
              <w:snapToGrid w:val="0"/>
              <w:spacing w:line="273" w:lineRule="auto"/>
              <w:jc w:val="center"/>
              <w:rPr>
                <w:color w:val="000000"/>
                <w:sz w:val="18"/>
                <w:szCs w:val="18"/>
              </w:rPr>
            </w:pPr>
            <w:r>
              <w:rPr>
                <w:color w:val="000000"/>
                <w:sz w:val="18"/>
                <w:szCs w:val="18"/>
                <w:lang w:bidi="ar"/>
              </w:rPr>
              <w:t>✓</w:t>
            </w:r>
          </w:p>
        </w:tc>
      </w:tr>
    </w:tbl>
    <w:p w14:paraId="650A3DD2">
      <w:pPr>
        <w:pStyle w:val="2"/>
        <w:keepNext/>
        <w:spacing w:before="360" w:after="120"/>
        <w:jc w:val="both"/>
        <w:rPr>
          <w:sz w:val="24"/>
          <w:szCs w:val="24"/>
          <w:lang w:eastAsia="zh"/>
        </w:rPr>
      </w:pPr>
      <w:r>
        <w:rPr>
          <w:rFonts w:hint="eastAsia"/>
          <w:sz w:val="24"/>
          <w:szCs w:val="24"/>
          <w:lang w:eastAsia="zh"/>
        </w:rPr>
        <w:t>3. 方法论</w:t>
      </w:r>
      <w:bookmarkEnd w:id="0"/>
    </w:p>
    <w:p w14:paraId="3C0EE9CE">
      <w:pPr>
        <w:pStyle w:val="7"/>
        <w:spacing w:after="60" w:line="240" w:lineRule="auto"/>
        <w:ind w:firstLine="400"/>
        <w:rPr>
          <w:lang w:eastAsia="zh"/>
        </w:rPr>
      </w:pPr>
      <w:r>
        <w:rPr>
          <w:rFonts w:hint="eastAsia"/>
          <w:sz w:val="20"/>
          <w:szCs w:val="20"/>
        </w:rPr>
        <w:t>针对现有APT归因方法在异构实体建模不足[3][4]、关系稀疏引发的结构过拟合[32][34]以及语义与结构信息融合失衡[10][14]等关键问题，本文提出一种基于异构图学习的APT归因方法APT-CTIA。不同于将实体表示、关系建模与归因学习割裂处理的传统方法，本文从“语义-结构协同建模”的统一视角出发，将三者整合为一个一致的图学习框架以实现从原始威胁情报到APT归因的端到端建模。具体而言，APT-CTIA由三个紧密耦合的核心模块构成：（1）文档预处理与实体建模模块，（2）多层次异构图构建模块，以及（3）基于双流图神经网络的APT归因模块。其中，模块（1）通过构建高质量实体表示缓解异构实体建模不足问题，模块（2）通过多层关系建模与参数分解与基共享机制应对关系稀疏与结构表达不足问题，模块（3）通过语义-结构双流解耦建模与可学习门控自适应融合机制，解决了现有方法中语义信息与结构信息融合失衡、难以动态调整贡献比例的问题。整体框架如图1所示。</w:t>
      </w:r>
      <w:r>
        <w:drawing>
          <wp:inline distT="0" distB="0" distL="114300" distR="114300">
            <wp:extent cx="5271135" cy="2041525"/>
            <wp:effectExtent l="0" t="0" r="12065" b="3175"/>
            <wp:docPr id="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0"/>
                    <pic:cNvPicPr>
                      <a:picLocks noChangeAspect="1"/>
                    </pic:cNvPicPr>
                  </pic:nvPicPr>
                  <pic:blipFill>
                    <a:blip r:embed="rId6"/>
                    <a:stretch>
                      <a:fillRect/>
                    </a:stretch>
                  </pic:blipFill>
                  <pic:spPr>
                    <a:xfrm>
                      <a:off x="0" y="0"/>
                      <a:ext cx="5271135" cy="2041525"/>
                    </a:xfrm>
                    <a:prstGeom prst="rect">
                      <a:avLst/>
                    </a:prstGeom>
                    <a:noFill/>
                    <a:ln>
                      <a:noFill/>
                    </a:ln>
                  </pic:spPr>
                </pic:pic>
              </a:graphicData>
            </a:graphic>
          </wp:inline>
        </w:drawing>
      </w:r>
    </w:p>
    <w:p w14:paraId="67D4BBE6">
      <w:pPr>
        <w:pStyle w:val="5"/>
        <w:widowControl/>
        <w:spacing w:after="120"/>
        <w:jc w:val="center"/>
        <w:rPr>
          <w:rFonts w:ascii="Times New Roman" w:hAnsi="Times New Roman" w:eastAsia="宋体"/>
          <w:sz w:val="21"/>
          <w:szCs w:val="21"/>
        </w:rPr>
      </w:pPr>
      <w:r>
        <w:rPr>
          <w:rFonts w:ascii="Times New Roman" w:hAnsi="Times New Roman" w:eastAsia="宋体"/>
          <w:sz w:val="21"/>
          <w:szCs w:val="21"/>
        </w:rPr>
        <w:t>图</w:t>
      </w:r>
      <w:r>
        <w:rPr>
          <w:rFonts w:ascii="Times New Roman" w:hAnsi="Times New Roman" w:eastAsia="宋体"/>
          <w:sz w:val="21"/>
          <w:szCs w:val="21"/>
        </w:rPr>
        <w:fldChar w:fldCharType="begin"/>
      </w:r>
      <w:r>
        <w:rPr>
          <w:rFonts w:ascii="Times New Roman" w:hAnsi="Times New Roman" w:eastAsia="宋体"/>
          <w:sz w:val="21"/>
          <w:szCs w:val="21"/>
        </w:rPr>
        <w:instrText xml:space="preserve"> SEQ 图 \* ARABIC </w:instrText>
      </w:r>
      <w:r>
        <w:rPr>
          <w:rFonts w:ascii="Times New Roman" w:hAnsi="Times New Roman" w:eastAsia="宋体"/>
          <w:sz w:val="21"/>
          <w:szCs w:val="21"/>
        </w:rPr>
        <w:fldChar w:fldCharType="separate"/>
      </w:r>
      <w:r>
        <w:rPr>
          <w:rFonts w:ascii="Times New Roman" w:hAnsi="Times New Roman" w:eastAsia="宋体"/>
          <w:sz w:val="21"/>
          <w:szCs w:val="21"/>
        </w:rPr>
        <w:t>1</w:t>
      </w:r>
      <w:r>
        <w:rPr>
          <w:rFonts w:ascii="Times New Roman" w:hAnsi="Times New Roman" w:eastAsia="宋体"/>
          <w:sz w:val="21"/>
          <w:szCs w:val="21"/>
        </w:rPr>
        <w:fldChar w:fldCharType="end"/>
      </w:r>
      <w:r>
        <w:rPr>
          <w:rFonts w:hint="eastAsia" w:ascii="Times New Roman" w:hAnsi="Times New Roman" w:eastAsia="宋体"/>
          <w:sz w:val="21"/>
          <w:szCs w:val="21"/>
        </w:rPr>
        <w:t xml:space="preserve"> APT-CTIA方法的整体框架</w:t>
      </w:r>
    </w:p>
    <w:p w14:paraId="5C1AD956">
      <w:pPr>
        <w:pStyle w:val="7"/>
        <w:spacing w:after="60" w:line="240" w:lineRule="auto"/>
        <w:ind w:firstLine="402"/>
        <w:rPr>
          <w:sz w:val="20"/>
          <w:szCs w:val="20"/>
        </w:rPr>
      </w:pPr>
      <w:r>
        <w:rPr>
          <w:rFonts w:hint="eastAsia"/>
          <w:b/>
          <w:bCs/>
          <w:sz w:val="20"/>
          <w:szCs w:val="20"/>
        </w:rPr>
        <w:t>（1）</w:t>
      </w:r>
      <w:r>
        <w:rPr>
          <w:b/>
          <w:bCs/>
          <w:sz w:val="20"/>
          <w:szCs w:val="20"/>
        </w:rPr>
        <w:t>文档预处理与实体提取模块</w:t>
      </w:r>
      <w:r>
        <w:rPr>
          <w:rFonts w:hint="eastAsia"/>
          <w:b/>
          <w:bCs/>
          <w:sz w:val="20"/>
          <w:szCs w:val="20"/>
        </w:rPr>
        <w:t>：</w:t>
      </w:r>
      <w:r>
        <w:rPr>
          <w:rFonts w:hint="eastAsia"/>
          <w:sz w:val="20"/>
          <w:szCs w:val="20"/>
        </w:rPr>
        <w:t>该模块</w:t>
      </w:r>
      <w:r>
        <w:rPr>
          <w:sz w:val="20"/>
          <w:szCs w:val="20"/>
        </w:rPr>
        <w:t>负责从原始</w:t>
      </w:r>
      <w:r>
        <w:rPr>
          <w:rFonts w:hint="eastAsia"/>
          <w:sz w:val="20"/>
          <w:szCs w:val="20"/>
        </w:rPr>
        <w:t>威胁情报</w:t>
      </w:r>
      <w:r>
        <w:rPr>
          <w:sz w:val="20"/>
          <w:szCs w:val="20"/>
        </w:rPr>
        <w:t>中提取实体并构建初始图</w:t>
      </w:r>
      <w:r>
        <w:rPr>
          <w:rFonts w:hint="eastAsia"/>
          <w:sz w:val="20"/>
          <w:szCs w:val="20"/>
        </w:rPr>
        <w:t>。首先，</w:t>
      </w:r>
      <w:r>
        <w:rPr>
          <w:sz w:val="20"/>
          <w:szCs w:val="20"/>
        </w:rPr>
        <w:t>以多格式（PDF、TXT）原始威胁情报报告作为输入，通过级联回退解析策略提取文档内容，在优先保留原始逻辑段落结构的同时保证解析鲁棒性。</w:t>
      </w:r>
      <w:r>
        <w:rPr>
          <w:rFonts w:hint="eastAsia"/>
          <w:sz w:val="20"/>
          <w:szCs w:val="20"/>
        </w:rPr>
        <w:t>然</w:t>
      </w:r>
      <w:r>
        <w:rPr>
          <w:sz w:val="20"/>
          <w:szCs w:val="20"/>
        </w:rPr>
        <w:t>后，</w:t>
      </w:r>
      <w:r>
        <w:rPr>
          <w:rFonts w:hint="eastAsia"/>
          <w:sz w:val="20"/>
          <w:szCs w:val="20"/>
        </w:rPr>
        <w:t>通过</w:t>
      </w:r>
      <w:r>
        <w:rPr>
          <w:sz w:val="20"/>
          <w:szCs w:val="20"/>
        </w:rPr>
        <w:t>语义感知段落分割策略将文档切分为语义完整的文本单元，为后续实体识别提供高质量的上下文环境。</w:t>
      </w:r>
      <w:r>
        <w:rPr>
          <w:rFonts w:hint="eastAsia"/>
          <w:sz w:val="20"/>
          <w:szCs w:val="20"/>
        </w:rPr>
        <w:t>最后</w:t>
      </w:r>
      <w:r>
        <w:rPr>
          <w:sz w:val="20"/>
          <w:szCs w:val="20"/>
        </w:rPr>
        <w:t>，</w:t>
      </w:r>
      <w:r>
        <w:rPr>
          <w:rFonts w:hint="eastAsia"/>
          <w:sz w:val="20"/>
          <w:szCs w:val="20"/>
        </w:rPr>
        <w:t>利用</w:t>
      </w:r>
      <w:r>
        <w:rPr>
          <w:sz w:val="20"/>
          <w:szCs w:val="20"/>
        </w:rPr>
        <w:t>三级级联实体识别框架从文本单元中提取所有具有归因价值的实体，为每个实体构建780维多粒度节点特征向量</w:t>
      </w:r>
      <w:r>
        <w:rPr>
          <w:rFonts w:hint="eastAsia"/>
          <w:sz w:val="20"/>
          <w:szCs w:val="20"/>
        </w:rPr>
        <w:t>，并记录实体所属的段落位置及实体类型信息，包括实体节点集合、节点特征矩阵、段落文本单元集合，以及实体与段落的归属关系、实体类型信息。</w:t>
      </w:r>
    </w:p>
    <w:p w14:paraId="008191F1">
      <w:pPr>
        <w:pStyle w:val="7"/>
        <w:spacing w:after="60" w:line="240" w:lineRule="auto"/>
        <w:ind w:firstLine="402"/>
        <w:rPr>
          <w:sz w:val="20"/>
          <w:szCs w:val="20"/>
        </w:rPr>
      </w:pPr>
      <w:r>
        <w:rPr>
          <w:rFonts w:hint="eastAsia"/>
          <w:b/>
          <w:bCs/>
          <w:sz w:val="20"/>
          <w:szCs w:val="20"/>
        </w:rPr>
        <w:t>（</w:t>
      </w:r>
      <w:r>
        <w:rPr>
          <w:b/>
          <w:bCs/>
          <w:sz w:val="20"/>
          <w:szCs w:val="20"/>
        </w:rPr>
        <w:t>2</w:t>
      </w:r>
      <w:r>
        <w:rPr>
          <w:rFonts w:hint="eastAsia"/>
          <w:b/>
          <w:bCs/>
          <w:sz w:val="20"/>
          <w:szCs w:val="20"/>
        </w:rPr>
        <w:t>）多层次异构图构建模块：</w:t>
      </w:r>
      <w:r>
        <w:rPr>
          <w:rFonts w:hint="eastAsia"/>
          <w:sz w:val="20"/>
          <w:szCs w:val="20"/>
        </w:rPr>
        <w:t>该模块旨在将离散的威胁情报实体组织为结构化关系网络，并显式编码APT攻击过程中的多层语义关联。首先，以实体节点及其属性信息为基础，根据段落内共现关系构建初始图结构，从而捕获局部上下文中的实体交互模式。考虑到仅依赖局部共现关系难以刻画跨上下文的攻击行为关联，进一步引入多层语义关系建模机制对图结构进行增强，形成包含多类型边的异构图表示。具体而言，多层关系从不同语义层次刻画实体间交互模式，包括：（i）局部上下文关联（段落内共现边），（ii）基于跨段落共现实体构建的桥接连接，以及（iii）基于实体类型约束的先验关系建模（领域语义类型关系边），从而更完整地表达APT攻击过程中多阶段、多角色的行为模式。在关系表示层面，采用基于实体类型对的规则化映射机制，将原始关系映射至有限集合的关系类型，以在控制关系空间复杂度的同时增强跨关系的参数共享能力，从而有效缓解关系稀疏场景下的过拟合问题并提升模型泛化能力。通过该机制，APT攻击生命周期中的领域知识被隐式编码至图结构之中，实现数据驱动与先验知识的有机融合。最终，该模块输出增强的异构图结构，包括实体节点、节点特征、多类型关系边及其关系标签，在同时保留局部语义信息与全局结构模式的基础上，为后续表示学习提供高表达能力的结构输入。总体而言，该模块通过多层关系建模与参数共享机制，有效提升了图结构在稀疏场景下的表达能力与泛化能力。</w:t>
      </w:r>
    </w:p>
    <w:p w14:paraId="22AA46A8">
      <w:pPr>
        <w:pStyle w:val="7"/>
        <w:spacing w:after="60" w:line="240" w:lineRule="auto"/>
        <w:ind w:firstLine="402"/>
        <w:rPr>
          <w:b/>
          <w:bCs/>
          <w:sz w:val="20"/>
          <w:szCs w:val="20"/>
        </w:rPr>
      </w:pPr>
      <w:r>
        <w:rPr>
          <w:rFonts w:hint="eastAsia"/>
          <w:b/>
          <w:bCs/>
          <w:sz w:val="20"/>
          <w:szCs w:val="20"/>
        </w:rPr>
        <w:t>（3）</w:t>
      </w:r>
      <w:bookmarkStart w:id="1" w:name="_Toc15448"/>
      <w:r>
        <w:rPr>
          <w:rFonts w:hint="eastAsia"/>
          <w:sz w:val="20"/>
          <w:szCs w:val="20"/>
        </w:rPr>
        <w:t>基于双流图神经网络的APT归因模块：该模块用于在增强异构图上进行表示学习并完成APT组织归因任务。首先，以构建的异构图为输入，设计语义流与结构流并行的双流图神经网络架构。其中，语义流基于GATv2，通过动态注意力机制建模节点之间的语义相似性；结构流基于RGCN，通过关系特定变换刻画多类型边所蕴含的拓扑约束。不同于现有将语义与结构信息投影至统一嵌入空间的建模范式，所提方法通过结构解耦与自适应门控融合机制显式区分语义相似性与关系约束，从而缓解信息耦合可能对归因决策带来的相互干扰。该设计尤其契合APT归因任务中“攻击语义”与“行为模式”相对解耦的特性，有助于提升模型对复杂攻击模式的辨识能力。在融合阶段，引入可学习门控机制对两条分支输出的节点表示进行逐节点自适应融合，从而动态调节语义信息与结构信息的贡献权重。该机制能够有效缓解不同信息源之间的表达冲突，降低单一信息主导模型学习过程的风险，并提升模型在不同数据分布下的稳定性与泛化能力。在此基础上，通过图级聚合操作（如全局注意力池化）生成图表示，并输入分类器完成APT组织归因，实现从原始威胁情报到归因结果的端到端建模。该模块在前述实体建模与图结构建模的基础上，实现统一表示学习与决策推断，形成完整闭环。</w:t>
      </w:r>
    </w:p>
    <w:p w14:paraId="58224349">
      <w:pPr>
        <w:pStyle w:val="3"/>
        <w:keepNext/>
        <w:spacing w:before="360" w:after="120" w:afterLines="0"/>
        <w:jc w:val="both"/>
        <w:rPr>
          <w:sz w:val="24"/>
          <w:szCs w:val="24"/>
        </w:rPr>
      </w:pPr>
      <w:r>
        <w:rPr>
          <w:rFonts w:hint="eastAsia"/>
          <w:sz w:val="24"/>
          <w:szCs w:val="24"/>
          <w:lang w:eastAsia="zh"/>
        </w:rPr>
        <w:t>3.1 文档预处理与实体</w:t>
      </w:r>
      <w:bookmarkEnd w:id="1"/>
      <w:r>
        <w:rPr>
          <w:rFonts w:hint="eastAsia"/>
          <w:sz w:val="24"/>
          <w:szCs w:val="24"/>
        </w:rPr>
        <w:t>建模</w:t>
      </w:r>
    </w:p>
    <w:p w14:paraId="673C3005">
      <w:pPr>
        <w:pStyle w:val="7"/>
        <w:spacing w:after="60" w:line="240" w:lineRule="auto"/>
        <w:ind w:firstLine="400"/>
        <w:rPr>
          <w:color w:val="000000" w:themeColor="text1"/>
          <w:sz w:val="20"/>
          <w:szCs w:val="20"/>
          <w14:textFill>
            <w14:solidFill>
              <w14:schemeClr w14:val="tx1"/>
            </w14:solidFill>
          </w14:textFill>
        </w:rPr>
      </w:pPr>
      <w:r>
        <w:rPr>
          <w:rFonts w:hint="eastAsia"/>
          <w:color w:val="000000" w:themeColor="text1"/>
          <w:sz w:val="20"/>
          <w:szCs w:val="20"/>
          <w14:textFill>
            <w14:solidFill>
              <w14:schemeClr w14:val="tx1"/>
            </w14:solidFill>
          </w14:textFill>
        </w:rPr>
        <w:t>准确的实体提取与一致性表示是APT归因任务的基础，其质量直接影响后续异构图建模与表示学习效果。然而，现有方法在实体建模阶段仍存在以下关键局限：（1）基于预训练语言模型的方法依赖固定长度或标点分割，难以保持威胁情报段落级语义完整性，且对结构化实体（如IP、哈希）的识别依赖隐式学习，导致稳定性不足[7][15][18]；（2）基于领域知识图谱的方法依赖静态本体，难以适应新型攻击实体及别名演化，导致覆盖能力受限[8][29][30]；（3）多特征融合方法缺乏上下文级语义建模能力，难以有效区分语义歧义实体[36][</w:t>
      </w:r>
      <w:r>
        <w:rPr>
          <w:rFonts w:hint="eastAsia"/>
          <w:color w:val="000000" w:themeColor="text1"/>
          <w:sz w:val="20"/>
          <w:szCs w:val="20"/>
          <w:lang w:eastAsia="zh"/>
          <w14:textFill>
            <w14:solidFill>
              <w14:schemeClr w14:val="tx1"/>
            </w14:solidFill>
          </w14:textFill>
        </w:rPr>
        <w:t>37</w:t>
      </w:r>
      <w:r>
        <w:rPr>
          <w:rFonts w:hint="eastAsia"/>
          <w:color w:val="000000" w:themeColor="text1"/>
          <w:sz w:val="20"/>
          <w:szCs w:val="20"/>
          <w14:textFill>
            <w14:solidFill>
              <w14:schemeClr w14:val="tx1"/>
            </w14:solidFill>
          </w14:textFill>
        </w:rPr>
        <w:t>]；（4）现有实体规范化流程多依赖规则或外部工具，缺乏统一建模机制，导致同一逻辑实体在图中产生冗余表示，影响结构一致性与下游归因性能[17][24][</w:t>
      </w:r>
      <w:r>
        <w:rPr>
          <w:rFonts w:hint="eastAsia"/>
          <w:color w:val="000000" w:themeColor="text1"/>
          <w:sz w:val="20"/>
          <w:szCs w:val="20"/>
          <w:lang w:eastAsia="zh"/>
          <w14:textFill>
            <w14:solidFill>
              <w14:schemeClr w14:val="tx1"/>
            </w14:solidFill>
          </w14:textFill>
        </w:rPr>
        <w:t>38</w:t>
      </w:r>
      <w:r>
        <w:rPr>
          <w:rFonts w:hint="eastAsia"/>
          <w:color w:val="000000" w:themeColor="text1"/>
          <w:sz w:val="20"/>
          <w:szCs w:val="20"/>
          <w14:textFill>
            <w14:solidFill>
              <w14:schemeClr w14:val="tx1"/>
            </w14:solidFill>
          </w14:textFill>
        </w:rPr>
        <w:t>]。</w:t>
      </w:r>
    </w:p>
    <w:p w14:paraId="4E0F337D">
      <w:pPr>
        <w:pStyle w:val="7"/>
        <w:spacing w:after="60" w:line="240" w:lineRule="auto"/>
        <w:ind w:firstLine="400"/>
        <w:rPr>
          <w:color w:val="000000" w:themeColor="text1"/>
          <w:sz w:val="20"/>
          <w:szCs w:val="20"/>
          <w14:textFill>
            <w14:solidFill>
              <w14:schemeClr w14:val="tx1"/>
            </w14:solidFill>
          </w14:textFill>
        </w:rPr>
      </w:pPr>
      <w:r>
        <w:rPr>
          <w:rFonts w:hint="eastAsia"/>
          <w:color w:val="000000" w:themeColor="text1"/>
          <w:sz w:val="20"/>
          <w:szCs w:val="20"/>
          <w14:textFill>
            <w14:solidFill>
              <w14:schemeClr w14:val="tx1"/>
            </w14:solidFill>
          </w14:textFill>
        </w:rPr>
        <w:t>针对上述问题，本文提出一种面向威胁情报的多阶段实体建模方法，从异构实体统一表示视角构建一致性表示空间。如图2所示，整体流程包括文本结构保持、分阶段实体识别与多粒度特征融合三个环节。</w:t>
      </w:r>
    </w:p>
    <w:p w14:paraId="5510E718">
      <w:pPr>
        <w:widowControl/>
        <w:jc w:val="center"/>
        <w:rPr>
          <w:color w:val="000000" w:themeColor="text1"/>
          <w:lang w:eastAsia="zh"/>
          <w14:textFill>
            <w14:solidFill>
              <w14:schemeClr w14:val="tx1"/>
            </w14:solidFill>
          </w14:textFill>
        </w:rPr>
      </w:pPr>
      <w:r>
        <w:rPr>
          <w:color w:val="000000" w:themeColor="text1"/>
          <w14:textFill>
            <w14:solidFill>
              <w14:schemeClr w14:val="tx1"/>
            </w14:solidFill>
          </w14:textFill>
        </w:rPr>
        <w:drawing>
          <wp:inline distT="0" distB="0" distL="114300" distR="114300">
            <wp:extent cx="5048885" cy="4716145"/>
            <wp:effectExtent l="0" t="0" r="5715" b="8255"/>
            <wp:docPr id="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1"/>
                    <pic:cNvPicPr>
                      <a:picLocks noChangeAspect="1"/>
                    </pic:cNvPicPr>
                  </pic:nvPicPr>
                  <pic:blipFill>
                    <a:blip r:embed="rId7"/>
                    <a:stretch>
                      <a:fillRect/>
                    </a:stretch>
                  </pic:blipFill>
                  <pic:spPr>
                    <a:xfrm>
                      <a:off x="0" y="0"/>
                      <a:ext cx="5048885" cy="4716145"/>
                    </a:xfrm>
                    <a:prstGeom prst="rect">
                      <a:avLst/>
                    </a:prstGeom>
                    <a:noFill/>
                    <a:ln>
                      <a:noFill/>
                    </a:ln>
                  </pic:spPr>
                </pic:pic>
              </a:graphicData>
            </a:graphic>
          </wp:inline>
        </w:drawing>
      </w:r>
    </w:p>
    <w:p w14:paraId="3E8F52A5">
      <w:pPr>
        <w:pStyle w:val="5"/>
        <w:widowControl/>
        <w:spacing w:after="120"/>
        <w:jc w:val="center"/>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图</w:t>
      </w:r>
      <w:r>
        <w:rPr>
          <w:rFonts w:ascii="Times New Roman" w:hAnsi="Times New Roman" w:eastAsia="宋体"/>
          <w:color w:val="000000" w:themeColor="text1"/>
          <w:sz w:val="21"/>
          <w:szCs w:val="21"/>
          <w14:textFill>
            <w14:solidFill>
              <w14:schemeClr w14:val="tx1"/>
            </w14:solidFill>
          </w14:textFill>
        </w:rPr>
        <w:fldChar w:fldCharType="begin"/>
      </w:r>
      <w:r>
        <w:rPr>
          <w:rFonts w:ascii="Times New Roman" w:hAnsi="Times New Roman" w:eastAsia="宋体"/>
          <w:color w:val="000000" w:themeColor="text1"/>
          <w:sz w:val="21"/>
          <w:szCs w:val="21"/>
          <w14:textFill>
            <w14:solidFill>
              <w14:schemeClr w14:val="tx1"/>
            </w14:solidFill>
          </w14:textFill>
        </w:rPr>
        <w:instrText xml:space="preserve"> SEQ 图 \* ARABIC </w:instrText>
      </w:r>
      <w:r>
        <w:rPr>
          <w:rFonts w:ascii="Times New Roman" w:hAnsi="Times New Roman" w:eastAsia="宋体"/>
          <w:color w:val="000000" w:themeColor="text1"/>
          <w:sz w:val="21"/>
          <w:szCs w:val="21"/>
          <w14:textFill>
            <w14:solidFill>
              <w14:schemeClr w14:val="tx1"/>
            </w14:solidFill>
          </w14:textFill>
        </w:rPr>
        <w:fldChar w:fldCharType="separate"/>
      </w:r>
      <w:r>
        <w:rPr>
          <w:rFonts w:ascii="Times New Roman" w:hAnsi="Times New Roman" w:eastAsia="宋体"/>
          <w:color w:val="000000" w:themeColor="text1"/>
          <w:sz w:val="21"/>
          <w:szCs w:val="21"/>
          <w14:textFill>
            <w14:solidFill>
              <w14:schemeClr w14:val="tx1"/>
            </w14:solidFill>
          </w14:textFill>
        </w:rPr>
        <w:t>2</w:t>
      </w:r>
      <w:r>
        <w:rPr>
          <w:rFonts w:ascii="Times New Roman" w:hAnsi="Times New Roman" w:eastAsia="宋体"/>
          <w:color w:val="000000" w:themeColor="text1"/>
          <w:sz w:val="21"/>
          <w:szCs w:val="21"/>
          <w14:textFill>
            <w14:solidFill>
              <w14:schemeClr w14:val="tx1"/>
            </w14:solidFill>
          </w14:textFill>
        </w:rPr>
        <w:fldChar w:fldCharType="end"/>
      </w:r>
      <w:r>
        <w:rPr>
          <w:rFonts w:hint="eastAsia" w:ascii="Times New Roman" w:hAnsi="Times New Roman" w:eastAsia="宋体"/>
          <w:color w:val="000000" w:themeColor="text1"/>
          <w:sz w:val="21"/>
          <w:szCs w:val="21"/>
          <w14:textFill>
            <w14:solidFill>
              <w14:schemeClr w14:val="tx1"/>
            </w14:solidFill>
          </w14:textFill>
        </w:rPr>
        <w:t xml:space="preserve"> 文档预处理与实体提取框架</w:t>
      </w:r>
    </w:p>
    <w:p w14:paraId="0038435B">
      <w:pPr>
        <w:pStyle w:val="7"/>
        <w:spacing w:after="60" w:line="240" w:lineRule="auto"/>
        <w:ind w:firstLine="400"/>
        <w:rPr>
          <w:color w:val="000000" w:themeColor="text1"/>
          <w:sz w:val="20"/>
          <w:szCs w:val="20"/>
          <w14:textFill>
            <w14:solidFill>
              <w14:schemeClr w14:val="tx1"/>
            </w14:solidFill>
          </w14:textFill>
        </w:rPr>
      </w:pPr>
      <w:r>
        <w:rPr>
          <w:rFonts w:hint="eastAsia"/>
          <w:color w:val="000000" w:themeColor="text1"/>
          <w:sz w:val="20"/>
          <w:szCs w:val="20"/>
          <w14:textFill>
            <w14:solidFill>
              <w14:schemeClr w14:val="tx1"/>
            </w14:solidFill>
          </w14:textFill>
        </w:rPr>
        <w:t>（1）在预处理阶段，采用级联回退解析策略处理多格式威胁报告（PDF/TXT），在提升跨格式鲁棒性的同时保留原始段落结构；然后，引入分层语义分割策略构建上下文一致的文本单元，避免固定长度分割导致的语义割裂与实体边界破坏。（2）在实体识别阶段，设计基于结构优先与语义补全的三级级联框架：首先通过规则匹配高精度识别结构化实体（如IP、哈希等），然后结合词典与上下文评分识别非结构化攻击实体，最后通过编辑距离与语义相似度实现实体规范化与去重，从而统一同一逻辑实体的多种表征并降低异构分布带来的识别偏差。（3）在特征表示阶段，为每个实体构建融合语义嵌入、统计特征与结构辅助信息的多粒度表示，并通过哈希投影增强对未见实体的开放集建模能力，从而提升模型对新型攻击实体的泛化性。该多粒度表示兼顾语义判别性与统计鲁棒性，为后续异构图关系建模提供一致输入空间。整体而言，该模块通过统一实体建模流程，在保证提取精度的同时实现实体表示的一致性与可扩展性，为后续多层异构图构建与APT归因提供结构化基础。</w:t>
      </w:r>
    </w:p>
    <w:p w14:paraId="3D89A6F8">
      <w:pPr>
        <w:pStyle w:val="4"/>
        <w:keepNext/>
        <w:spacing w:before="360" w:beforeLines="0" w:after="120" w:afterLines="0"/>
        <w:jc w:val="both"/>
        <w:rPr>
          <w:sz w:val="21"/>
          <w:szCs w:val="21"/>
          <w:lang w:eastAsia="zh"/>
        </w:rPr>
      </w:pPr>
      <w:bookmarkStart w:id="2" w:name="_Toc9879"/>
      <w:r>
        <w:rPr>
          <w:rFonts w:hint="eastAsia"/>
          <w:sz w:val="21"/>
          <w:szCs w:val="21"/>
          <w:lang w:eastAsia="zh"/>
        </w:rPr>
        <w:t xml:space="preserve">3.1.1 </w:t>
      </w:r>
      <w:bookmarkEnd w:id="2"/>
      <w:r>
        <w:rPr>
          <w:rFonts w:hint="eastAsia"/>
          <w:sz w:val="21"/>
          <w:szCs w:val="21"/>
          <w:lang w:eastAsia="zh"/>
        </w:rPr>
        <w:t>文档解析与语义一致性文本分割</w:t>
      </w:r>
    </w:p>
    <w:p w14:paraId="72DF5949">
      <w:pPr>
        <w:pStyle w:val="7"/>
        <w:spacing w:after="60" w:line="240" w:lineRule="auto"/>
        <w:ind w:firstLine="400"/>
        <w:rPr>
          <w:color w:val="000000" w:themeColor="text1"/>
          <w:sz w:val="20"/>
          <w:szCs w:val="20"/>
          <w14:textFill>
            <w14:solidFill>
              <w14:schemeClr w14:val="tx1"/>
            </w14:solidFill>
          </w14:textFill>
        </w:rPr>
      </w:pPr>
      <w:r>
        <w:rPr>
          <w:rFonts w:hint="eastAsia"/>
          <w:color w:val="000000" w:themeColor="text1"/>
          <w:sz w:val="20"/>
          <w:szCs w:val="20"/>
          <w14:textFill>
            <w14:solidFill>
              <w14:schemeClr w14:val="tx1"/>
            </w14:solidFill>
          </w14:textFill>
        </w:rPr>
        <w:t>在APT威胁情报场景中，原始报告通常由多源异构机构生成，呈现出显著的跨格式异质性（PDF/TXT）、排版不一致性以及语言混合特征。若缺乏结构化预处理，直接进行实体抽取将导致系统性误差传播，包括多栏PDF解析引起的阅读顺序破坏、固定粒度切分导致的跨语义实体截断，以及非语义内容（如页眉页脚）引入伪共现关系，从而破坏后续图建模的结构可靠性[28][29]。与一般NLP预处理不同，威胁情报数据的核心挑战在于其结构噪声与语义单元不稳定性共存，使得实体边界与上下文依赖关系高度脆弱。因此，本文将文档解析与文本分割统一建模为一个结构一致性恢复过程。</w:t>
      </w:r>
    </w:p>
    <w:p w14:paraId="7466D20C">
      <w:pPr>
        <w:pStyle w:val="7"/>
        <w:spacing w:after="60" w:line="240" w:lineRule="auto"/>
        <w:ind w:firstLine="402"/>
        <w:rPr>
          <w:b/>
          <w:bCs/>
          <w:color w:val="000000" w:themeColor="text1"/>
          <w:sz w:val="20"/>
          <w:szCs w:val="20"/>
          <w14:textFill>
            <w14:solidFill>
              <w14:schemeClr w14:val="tx1"/>
            </w14:solidFill>
          </w14:textFill>
        </w:rPr>
      </w:pPr>
      <w:r>
        <w:rPr>
          <w:rFonts w:hint="eastAsia"/>
          <w:b/>
          <w:bCs/>
          <w:color w:val="000000" w:themeColor="text1"/>
          <w:sz w:val="20"/>
          <w:szCs w:val="20"/>
          <w14:textFill>
            <w14:solidFill>
              <w14:schemeClr w14:val="tx1"/>
            </w14:solidFill>
          </w14:textFill>
        </w:rPr>
        <w:t>（1）结构鲁棒文档解析</w:t>
      </w:r>
    </w:p>
    <w:p w14:paraId="13DF8BDD">
      <w:pPr>
        <w:pStyle w:val="7"/>
        <w:spacing w:after="60" w:line="240" w:lineRule="auto"/>
        <w:ind w:firstLine="400"/>
        <w:rPr>
          <w:color w:val="000000" w:themeColor="text1"/>
          <w:sz w:val="20"/>
          <w:szCs w:val="20"/>
          <w14:textFill>
            <w14:solidFill>
              <w14:schemeClr w14:val="tx1"/>
            </w14:solidFill>
          </w14:textFill>
        </w:rPr>
      </w:pPr>
      <w:r>
        <w:rPr>
          <w:rFonts w:hint="eastAsia"/>
          <w:color w:val="000000" w:themeColor="text1"/>
          <w:sz w:val="20"/>
          <w:szCs w:val="20"/>
          <w14:textFill>
            <w14:solidFill>
              <w14:schemeClr w14:val="tx1"/>
            </w14:solidFill>
          </w14:textFill>
        </w:rPr>
        <w:t>针对多格式输入（PDF与TXT），本文采用级联回退解析机制以在“结构保真性”与“内容完整性”之间取得平衡。</w:t>
      </w:r>
    </w:p>
    <w:p w14:paraId="25DAC254">
      <w:pPr>
        <w:pStyle w:val="7"/>
        <w:spacing w:after="60" w:line="240" w:lineRule="auto"/>
        <w:ind w:firstLine="400"/>
        <w:rPr>
          <w:color w:val="000000" w:themeColor="text1"/>
          <w:sz w:val="20"/>
          <w:szCs w:val="20"/>
          <w14:textFill>
            <w14:solidFill>
              <w14:schemeClr w14:val="tx1"/>
            </w14:solidFill>
          </w14:textFill>
        </w:rPr>
      </w:pPr>
      <w:r>
        <w:rPr>
          <w:rFonts w:hint="eastAsia"/>
          <w:color w:val="000000" w:themeColor="text1"/>
          <w:sz w:val="20"/>
          <w:szCs w:val="20"/>
          <w14:textFill>
            <w14:solidFill>
              <w14:schemeClr w14:val="tx1"/>
            </w14:solidFill>
          </w14:textFill>
        </w:rPr>
        <w:t>对于PDF文档，优先采用布局感知解析方法恢复逻辑阅读顺序与段落结构；当该过程失败或解析质量不足时，自动回退至更鲁棒的块级文本提取策略，从而避免信息缺失与结构破坏的累积效应[8][10]。该设计反映对威胁情报中“结构优先级高于格式一致性”的建模假设。</w:t>
      </w:r>
    </w:p>
    <w:p w14:paraId="2B779EAB">
      <w:pPr>
        <w:pStyle w:val="7"/>
        <w:spacing w:after="60" w:line="240" w:lineRule="auto"/>
        <w:ind w:firstLine="400"/>
        <w:rPr>
          <w:color w:val="000000" w:themeColor="text1"/>
          <w:sz w:val="20"/>
          <w:szCs w:val="20"/>
          <w14:textFill>
            <w14:solidFill>
              <w14:schemeClr w14:val="tx1"/>
            </w14:solidFill>
          </w14:textFill>
        </w:rPr>
      </w:pPr>
      <w:r>
        <w:rPr>
          <w:rFonts w:hint="eastAsia"/>
          <w:color w:val="000000" w:themeColor="text1"/>
          <w:sz w:val="20"/>
          <w:szCs w:val="20"/>
          <w14:textFill>
            <w14:solidFill>
              <w14:schemeClr w14:val="tx1"/>
            </w14:solidFill>
          </w14:textFill>
        </w:rPr>
        <w:t>对于TXT文档，通过字符分布统计实现编码自适应推断，并结合语言识别机制[17][18]实现跨语言统一处理。同时，利用规则化过滤移除页眉、页脚及页码等非语义内容，以抑制由模板信息引入的伪相关结构。</w:t>
      </w:r>
    </w:p>
    <w:p w14:paraId="7379080F">
      <w:pPr>
        <w:pStyle w:val="7"/>
        <w:spacing w:after="60" w:line="240" w:lineRule="auto"/>
        <w:ind w:firstLine="402"/>
        <w:rPr>
          <w:b/>
          <w:bCs/>
          <w:color w:val="000000" w:themeColor="text1"/>
          <w:sz w:val="20"/>
          <w:szCs w:val="20"/>
          <w14:textFill>
            <w14:solidFill>
              <w14:schemeClr w14:val="tx1"/>
            </w14:solidFill>
          </w14:textFill>
        </w:rPr>
      </w:pPr>
      <w:r>
        <w:rPr>
          <w:rFonts w:hint="eastAsia"/>
          <w:b/>
          <w:bCs/>
          <w:color w:val="000000" w:themeColor="text1"/>
          <w:sz w:val="20"/>
          <w:szCs w:val="20"/>
          <w14:textFill>
            <w14:solidFill>
              <w14:schemeClr w14:val="tx1"/>
            </w14:solidFill>
          </w14:textFill>
        </w:rPr>
        <w:t>（2）语义一致性驱动的文本分割</w:t>
      </w:r>
    </w:p>
    <w:p w14:paraId="5AC10E11">
      <w:pPr>
        <w:pStyle w:val="7"/>
        <w:spacing w:after="60" w:line="240" w:lineRule="auto"/>
        <w:ind w:firstLine="400"/>
        <w:rPr>
          <w:color w:val="000000" w:themeColor="text1"/>
          <w:sz w:val="20"/>
          <w:szCs w:val="20"/>
          <w14:textFill>
            <w14:solidFill>
              <w14:schemeClr w14:val="tx1"/>
            </w14:solidFill>
          </w14:textFill>
        </w:rPr>
      </w:pPr>
      <w:r>
        <w:rPr>
          <w:rFonts w:hint="eastAsia"/>
          <w:color w:val="000000" w:themeColor="text1"/>
          <w:sz w:val="20"/>
          <w:szCs w:val="20"/>
          <w14:textFill>
            <w14:solidFill>
              <w14:schemeClr w14:val="tx1"/>
            </w14:solidFill>
          </w14:textFill>
        </w:rPr>
        <w:t>在完成结构恢复后，为解决固定长度切分导致的语义破坏问题，本文进一步构建语义一致性约束下的文本单元划分机制。采用如公式（1）所示的三层分割策略，将解析后得到的纯文本内容</w:t>
      </w:r>
      <w:r>
        <w:rPr>
          <w:rFonts w:hint="eastAsia"/>
          <w:i/>
          <w:iCs/>
          <w:color w:val="000000" w:themeColor="text1"/>
          <w:sz w:val="20"/>
          <w:szCs w:val="20"/>
          <w14:textFill>
            <w14:solidFill>
              <w14:schemeClr w14:val="tx1"/>
            </w14:solidFill>
          </w14:textFill>
        </w:rPr>
        <w:t>D</w:t>
      </w:r>
      <w:r>
        <w:rPr>
          <w:rFonts w:hint="eastAsia"/>
          <w:color w:val="000000" w:themeColor="text1"/>
          <w:sz w:val="20"/>
          <w:szCs w:val="20"/>
          <w14:textFill>
            <w14:solidFill>
              <w14:schemeClr w14:val="tx1"/>
            </w14:solidFill>
          </w14:textFill>
        </w:rPr>
        <w:t>分割为段落集合</w:t>
      </w:r>
      <w:r>
        <w:rPr>
          <w:rFonts w:hint="eastAsia"/>
          <w:i/>
          <w:iCs/>
          <w:color w:val="000000" w:themeColor="text1"/>
          <w:sz w:val="20"/>
          <w:szCs w:val="20"/>
          <w14:textFill>
            <w14:solidFill>
              <w14:schemeClr w14:val="tx1"/>
            </w14:solidFill>
          </w14:textFill>
        </w:rPr>
        <w:t>P</w:t>
      </w:r>
      <w:r>
        <w:rPr>
          <w:rFonts w:hint="eastAsia"/>
          <w:color w:val="000000" w:themeColor="text1"/>
          <w:sz w:val="20"/>
          <w:szCs w:val="20"/>
          <w14:textFill>
            <w14:solidFill>
              <w14:schemeClr w14:val="tx1"/>
            </w14:solidFill>
          </w14:textFill>
        </w:rPr>
        <w:t>，其中</w:t>
      </w:r>
      <w:r>
        <w:rPr>
          <w:rFonts w:hint="eastAsia"/>
          <w:i/>
          <w:iCs/>
          <w:color w:val="000000" w:themeColor="text1"/>
          <w:sz w:val="20"/>
          <w:szCs w:val="20"/>
          <w14:textFill>
            <w14:solidFill>
              <w14:schemeClr w14:val="tx1"/>
            </w14:solidFill>
          </w14:textFill>
        </w:rPr>
        <w:t>p</w:t>
      </w:r>
      <w:r>
        <w:rPr>
          <w:rFonts w:hint="eastAsia"/>
          <w:i/>
          <w:iCs/>
          <w:color w:val="000000" w:themeColor="text1"/>
          <w:sz w:val="20"/>
          <w:szCs w:val="20"/>
          <w:vertAlign w:val="subscript"/>
          <w14:textFill>
            <w14:solidFill>
              <w14:schemeClr w14:val="tx1"/>
            </w14:solidFill>
          </w14:textFill>
        </w:rPr>
        <w:t>i</w:t>
      </w:r>
      <w:r>
        <w:rPr>
          <w:rFonts w:hint="eastAsia"/>
          <w:color w:val="000000" w:themeColor="text1"/>
          <w:sz w:val="20"/>
          <w:szCs w:val="20"/>
          <w14:textFill>
            <w14:solidFill>
              <w14:schemeClr w14:val="tx1"/>
            </w14:solidFill>
          </w14:textFill>
        </w:rPr>
        <w:t>表示文档中的段落、</w:t>
      </w:r>
      <w:r>
        <w:rPr>
          <w:i/>
          <w:iCs/>
          <w:color w:val="000000" w:themeColor="text1"/>
          <w:sz w:val="20"/>
          <w:szCs w:val="20"/>
          <w14:textFill>
            <w14:solidFill>
              <w14:schemeClr w14:val="tx1"/>
            </w14:solidFill>
          </w14:textFill>
        </w:rPr>
        <w:t>θ</w:t>
      </w:r>
      <w:r>
        <w:rPr>
          <w:i/>
          <w:iCs/>
          <w:color w:val="000000" w:themeColor="text1"/>
          <w:sz w:val="20"/>
          <w:szCs w:val="20"/>
          <w:vertAlign w:val="subscript"/>
          <w14:textFill>
            <w14:solidFill>
              <w14:schemeClr w14:val="tx1"/>
            </w14:solidFill>
          </w14:textFill>
        </w:rPr>
        <w:t>len</w:t>
      </w:r>
      <w:r>
        <w:rPr>
          <w:rFonts w:hint="eastAsia" w:cs="宋体"/>
          <w:color w:val="000000" w:themeColor="text1"/>
          <w:sz w:val="20"/>
          <w:szCs w:val="20"/>
          <w14:textFill>
            <w14:solidFill>
              <w14:schemeClr w14:val="tx1"/>
            </w14:solidFill>
          </w14:textFill>
        </w:rPr>
        <w:t>代表表示每个文本碎片的字符数、</w:t>
      </w:r>
      <w:r>
        <w:rPr>
          <w:i/>
          <w:iCs/>
          <w:color w:val="000000" w:themeColor="text1"/>
          <w:sz w:val="20"/>
          <w:szCs w:val="20"/>
          <w14:textFill>
            <w14:solidFill>
              <w14:schemeClr w14:val="tx1"/>
            </w14:solidFill>
          </w14:textFill>
        </w:rPr>
        <w:t>θ</w:t>
      </w:r>
      <w:r>
        <w:rPr>
          <w:rFonts w:hint="eastAsia"/>
          <w:i/>
          <w:iCs/>
          <w:color w:val="000000" w:themeColor="text1"/>
          <w:sz w:val="20"/>
          <w:szCs w:val="20"/>
          <w:vertAlign w:val="subscript"/>
          <w14:textFill>
            <w14:solidFill>
              <w14:schemeClr w14:val="tx1"/>
            </w14:solidFill>
          </w14:textFill>
        </w:rPr>
        <w:t>sim</w:t>
      </w:r>
      <w:r>
        <w:rPr>
          <w:rFonts w:hint="eastAsia" w:cs="宋体"/>
          <w:color w:val="000000" w:themeColor="text1"/>
          <w:sz w:val="20"/>
          <w:szCs w:val="20"/>
          <w14:textFill>
            <w14:solidFill>
              <w14:schemeClr w14:val="tx1"/>
            </w14:solidFill>
          </w14:textFill>
        </w:rPr>
        <w:t>代表语义合并的相似度。</w:t>
      </w:r>
    </w:p>
    <w:p w14:paraId="37C9EF6A">
      <w:pPr>
        <w:pStyle w:val="7"/>
        <w:spacing w:after="60" w:line="240" w:lineRule="auto"/>
        <w:ind w:firstLine="400"/>
        <w:jc w:val="right"/>
        <w:rPr>
          <w:color w:val="000000" w:themeColor="text1"/>
          <w:sz w:val="20"/>
          <w:szCs w:val="20"/>
          <w14:textFill>
            <w14:solidFill>
              <w14:schemeClr w14:val="tx1"/>
            </w14:solidFill>
          </w14:textFill>
        </w:rPr>
      </w:pPr>
      <w:r>
        <w:rPr>
          <w:rFonts w:hint="eastAsia"/>
          <w:color w:val="000000" w:themeColor="text1"/>
          <w:kern w:val="44"/>
          <w:position w:val="-12"/>
          <w:sz w:val="20"/>
          <w:szCs w:val="20"/>
          <w:lang w:bidi="ar"/>
          <w14:textFill>
            <w14:solidFill>
              <w14:schemeClr w14:val="tx1"/>
            </w14:solidFill>
          </w14:textFill>
        </w:rPr>
        <w:object>
          <v:shape id="_x0000_i1025" o:spt="75" type="#_x0000_t75" style="height:18pt;width:206pt;" o:ole="t" filled="f" o:preferrelative="t" stroked="f" coordsize="21600,21600">
            <v:path/>
            <v:fill on="f" focussize="0,0"/>
            <v:stroke on="f" joinstyle="miter"/>
            <v:imagedata r:id="rId9" o:title=""/>
            <o:lock v:ext="edit" aspectratio="f"/>
            <w10:wrap type="none"/>
            <w10:anchorlock/>
          </v:shape>
          <o:OLEObject Type="Embed" ProgID="Equation.DSMT4" ShapeID="_x0000_i1025" DrawAspect="Content" ObjectID="_1468075725" r:id="rId8">
            <o:LockedField>false</o:LockedField>
          </o:OLEObject>
        </w:object>
      </w:r>
      <w:r>
        <w:rPr>
          <w:rFonts w:hint="eastAsia"/>
          <w:color w:val="000000" w:themeColor="text1"/>
          <w:kern w:val="44"/>
          <w:position w:val="-12"/>
          <w:sz w:val="20"/>
          <w:szCs w:val="20"/>
          <w:lang w:bidi="ar"/>
          <w14:textFill>
            <w14:solidFill>
              <w14:schemeClr w14:val="tx1"/>
            </w14:solidFill>
          </w14:textFill>
        </w:rPr>
        <w:t xml:space="preserve">                 </w:t>
      </w:r>
      <w:r>
        <w:rPr>
          <w:rFonts w:hint="eastAsia"/>
          <w:color w:val="000000" w:themeColor="text1"/>
          <w:kern w:val="44"/>
          <w:sz w:val="20"/>
          <w:szCs w:val="20"/>
          <w:lang w:bidi="ar"/>
          <w14:textFill>
            <w14:solidFill>
              <w14:schemeClr w14:val="tx1"/>
            </w14:solidFill>
          </w14:textFill>
        </w:rPr>
        <w:t>（1）</w:t>
      </w:r>
    </w:p>
    <w:p w14:paraId="40987589">
      <w:pPr>
        <w:pStyle w:val="7"/>
        <w:spacing w:after="60" w:line="240" w:lineRule="auto"/>
        <w:ind w:firstLine="400"/>
        <w:rPr>
          <w:color w:val="000000" w:themeColor="text1"/>
          <w:sz w:val="20"/>
          <w:szCs w:val="20"/>
          <w14:textFill>
            <w14:solidFill>
              <w14:schemeClr w14:val="tx1"/>
            </w14:solidFill>
          </w14:textFill>
        </w:rPr>
      </w:pPr>
      <w:r>
        <w:rPr>
          <w:rFonts w:hint="eastAsia"/>
          <w:color w:val="000000" w:themeColor="text1"/>
          <w:sz w:val="20"/>
          <w:szCs w:val="20"/>
          <w14:textFill>
            <w14:solidFill>
              <w14:schemeClr w14:val="tx1"/>
            </w14:solidFill>
          </w14:textFill>
        </w:rPr>
        <w:t>具体而言，首先基于结构换行对文本进行初始划分，并剔除低信息密度片段（</w:t>
      </w:r>
      <w:r>
        <w:rPr>
          <w:i/>
          <w:iCs/>
          <w:color w:val="000000" w:themeColor="text1"/>
          <w:sz w:val="20"/>
          <w:szCs w:val="20"/>
          <w14:textFill>
            <w14:solidFill>
              <w14:schemeClr w14:val="tx1"/>
            </w14:solidFill>
          </w14:textFill>
        </w:rPr>
        <w:t>θ</w:t>
      </w:r>
      <w:r>
        <w:rPr>
          <w:i/>
          <w:iCs/>
          <w:color w:val="000000" w:themeColor="text1"/>
          <w:sz w:val="20"/>
          <w:szCs w:val="20"/>
          <w:vertAlign w:val="subscript"/>
          <w14:textFill>
            <w14:solidFill>
              <w14:schemeClr w14:val="tx1"/>
            </w14:solidFill>
          </w14:textFill>
        </w:rPr>
        <w:t>len</w:t>
      </w:r>
      <w:r>
        <w:rPr>
          <w:rFonts w:hint="eastAsia"/>
          <w:color w:val="000000" w:themeColor="text1"/>
          <w:sz w:val="20"/>
          <w:szCs w:val="20"/>
          <w14:textFill>
            <w14:solidFill>
              <w14:schemeClr w14:val="tx1"/>
            </w14:solidFill>
          </w14:textFill>
        </w:rPr>
        <w:t>&lt;20</w:t>
      </w:r>
      <w:r>
        <w:rPr>
          <w:color w:val="000000" w:themeColor="text1"/>
          <w:sz w:val="20"/>
          <w:szCs w:val="20"/>
          <w14:textFill>
            <w14:solidFill>
              <w14:schemeClr w14:val="tx1"/>
            </w14:solidFill>
          </w14:textFill>
        </w:rPr>
        <w:t>的碎片</w:t>
      </w:r>
      <w:r>
        <w:rPr>
          <w:rFonts w:hint="eastAsia"/>
          <w:color w:val="000000" w:themeColor="text1"/>
          <w:sz w:val="20"/>
          <w:szCs w:val="20"/>
          <w14:textFill>
            <w14:solidFill>
              <w14:schemeClr w14:val="tx1"/>
            </w14:solidFill>
          </w14:textFill>
        </w:rPr>
        <w:t>）；随后，引入语义一致性约束，通过计算相邻文本单元</w:t>
      </w:r>
      <w:r>
        <w:rPr>
          <w:rFonts w:hint="eastAsia"/>
          <w:i/>
          <w:iCs/>
          <w:color w:val="000000" w:themeColor="text1"/>
          <w:sz w:val="20"/>
          <w:szCs w:val="20"/>
          <w14:textFill>
            <w14:solidFill>
              <w14:schemeClr w14:val="tx1"/>
            </w14:solidFill>
          </w14:textFill>
        </w:rPr>
        <w:t>p</w:t>
      </w:r>
      <w:r>
        <w:rPr>
          <w:rFonts w:hint="eastAsia"/>
          <w:i/>
          <w:iCs/>
          <w:color w:val="000000" w:themeColor="text1"/>
          <w:sz w:val="20"/>
          <w:szCs w:val="20"/>
          <w:vertAlign w:val="subscript"/>
          <w14:textFill>
            <w14:solidFill>
              <w14:schemeClr w14:val="tx1"/>
            </w14:solidFill>
          </w14:textFill>
        </w:rPr>
        <w:t>i</w:t>
      </w:r>
      <w:r>
        <w:rPr>
          <w:rFonts w:hint="eastAsia"/>
          <w:color w:val="000000" w:themeColor="text1"/>
          <w:sz w:val="20"/>
          <w:szCs w:val="20"/>
          <w14:textFill>
            <w14:solidFill>
              <w14:schemeClr w14:val="tx1"/>
            </w14:solidFill>
          </w14:textFill>
        </w:rPr>
        <w:t>和</w:t>
      </w:r>
      <w:r>
        <w:rPr>
          <w:rFonts w:hint="eastAsia"/>
          <w:i/>
          <w:iCs/>
          <w:color w:val="000000" w:themeColor="text1"/>
          <w:sz w:val="20"/>
          <w:szCs w:val="20"/>
          <w14:textFill>
            <w14:solidFill>
              <w14:schemeClr w14:val="tx1"/>
            </w14:solidFill>
          </w14:textFill>
        </w:rPr>
        <w:t>p</w:t>
      </w:r>
      <w:r>
        <w:rPr>
          <w:rFonts w:hint="eastAsia"/>
          <w:i/>
          <w:iCs/>
          <w:color w:val="000000" w:themeColor="text1"/>
          <w:sz w:val="20"/>
          <w:szCs w:val="20"/>
          <w:vertAlign w:val="subscript"/>
          <w14:textFill>
            <w14:solidFill>
              <w14:schemeClr w14:val="tx1"/>
            </w14:solidFill>
          </w14:textFill>
        </w:rPr>
        <w:t>i</w:t>
      </w:r>
      <w:r>
        <w:rPr>
          <w:rFonts w:hint="eastAsia"/>
          <w:color w:val="000000" w:themeColor="text1"/>
          <w:sz w:val="20"/>
          <w:szCs w:val="20"/>
          <w:vertAlign w:val="subscript"/>
          <w14:textFill>
            <w14:solidFill>
              <w14:schemeClr w14:val="tx1"/>
            </w14:solidFill>
          </w14:textFill>
        </w:rPr>
        <w:t>+1</w:t>
      </w:r>
      <w:r>
        <w:rPr>
          <w:rFonts w:hint="eastAsia"/>
          <w:color w:val="000000" w:themeColor="text1"/>
          <w:sz w:val="20"/>
          <w:szCs w:val="20"/>
          <w14:textFill>
            <w14:solidFill>
              <w14:schemeClr w14:val="tx1"/>
            </w14:solidFill>
          </w14:textFill>
        </w:rPr>
        <w:t>的语义相似度</w:t>
      </w:r>
      <w:r>
        <w:rPr>
          <w:i/>
          <w:iCs/>
          <w:color w:val="000000" w:themeColor="text1"/>
          <w:sz w:val="20"/>
          <w:szCs w:val="20"/>
          <w14:textFill>
            <w14:solidFill>
              <w14:schemeClr w14:val="tx1"/>
            </w14:solidFill>
          </w14:textFill>
        </w:rPr>
        <w:t>θ</w:t>
      </w:r>
      <w:r>
        <w:rPr>
          <w:rFonts w:hint="eastAsia"/>
          <w:i/>
          <w:iCs/>
          <w:color w:val="000000" w:themeColor="text1"/>
          <w:sz w:val="20"/>
          <w:szCs w:val="20"/>
          <w:vertAlign w:val="subscript"/>
          <w14:textFill>
            <w14:solidFill>
              <w14:schemeClr w14:val="tx1"/>
            </w14:solidFill>
          </w14:textFill>
        </w:rPr>
        <w:t>sim</w:t>
      </w:r>
      <w:r>
        <w:rPr>
          <w:rFonts w:hint="eastAsia"/>
          <w:color w:val="000000" w:themeColor="text1"/>
          <w:sz w:val="20"/>
          <w:szCs w:val="20"/>
          <w14:textFill>
            <w14:solidFill>
              <w14:schemeClr w14:val="tx1"/>
            </w14:solidFill>
          </w14:textFill>
        </w:rPr>
        <w:t>（</w:t>
      </w:r>
      <w:r>
        <w:rPr>
          <w:i/>
          <w:iCs/>
          <w:color w:val="000000" w:themeColor="text1"/>
          <w:sz w:val="20"/>
          <w:szCs w:val="20"/>
          <w14:textFill>
            <w14:solidFill>
              <w14:schemeClr w14:val="tx1"/>
            </w14:solidFill>
          </w14:textFill>
        </w:rPr>
        <w:t>θ</w:t>
      </w:r>
      <w:r>
        <w:rPr>
          <w:rFonts w:hint="eastAsia"/>
          <w:i/>
          <w:iCs/>
          <w:color w:val="000000" w:themeColor="text1"/>
          <w:sz w:val="20"/>
          <w:szCs w:val="20"/>
          <w:vertAlign w:val="subscript"/>
          <w14:textFill>
            <w14:solidFill>
              <w14:schemeClr w14:val="tx1"/>
            </w14:solidFill>
          </w14:textFill>
        </w:rPr>
        <w:t>sim</w:t>
      </w:r>
      <w:r>
        <w:rPr>
          <w:rFonts w:hint="eastAsia"/>
          <w:i/>
          <w:iCs/>
          <w:color w:val="000000" w:themeColor="text1"/>
          <w:sz w:val="20"/>
          <w:szCs w:val="20"/>
          <w14:textFill>
            <w14:solidFill>
              <w14:schemeClr w14:val="tx1"/>
            </w14:solidFill>
          </w14:textFill>
        </w:rPr>
        <w:t>=</w:t>
      </w:r>
      <w:r>
        <w:rPr>
          <w:rFonts w:hint="eastAsia"/>
          <w:color w:val="000000" w:themeColor="text1"/>
          <w:sz w:val="20"/>
          <w:szCs w:val="20"/>
          <w14:textFill>
            <w14:solidFill>
              <w14:schemeClr w14:val="tx1"/>
            </w14:solidFill>
          </w14:textFill>
        </w:rPr>
        <w:t>cos(</w:t>
      </w:r>
      <w:r>
        <w:rPr>
          <w:rFonts w:hint="eastAsia"/>
          <w:i/>
          <w:iCs/>
          <w:color w:val="000000" w:themeColor="text1"/>
          <w:sz w:val="20"/>
          <w:szCs w:val="20"/>
          <w14:textFill>
            <w14:solidFill>
              <w14:schemeClr w14:val="tx1"/>
            </w14:solidFill>
          </w14:textFill>
        </w:rPr>
        <w:t>Enc</w:t>
      </w:r>
      <w:r>
        <w:rPr>
          <w:rFonts w:hint="eastAsia"/>
          <w:color w:val="000000" w:themeColor="text1"/>
          <w:sz w:val="20"/>
          <w:szCs w:val="20"/>
          <w14:textFill>
            <w14:solidFill>
              <w14:schemeClr w14:val="tx1"/>
            </w14:solidFill>
          </w14:textFill>
        </w:rPr>
        <w:t>(</w:t>
      </w:r>
      <w:r>
        <w:rPr>
          <w:rFonts w:hint="eastAsia"/>
          <w:i/>
          <w:iCs/>
          <w:color w:val="000000" w:themeColor="text1"/>
          <w:sz w:val="20"/>
          <w:szCs w:val="20"/>
          <w14:textFill>
            <w14:solidFill>
              <w14:schemeClr w14:val="tx1"/>
            </w14:solidFill>
          </w14:textFill>
        </w:rPr>
        <w:t>p</w:t>
      </w:r>
      <w:r>
        <w:rPr>
          <w:rFonts w:hint="eastAsia"/>
          <w:i/>
          <w:iCs/>
          <w:color w:val="000000" w:themeColor="text1"/>
          <w:sz w:val="20"/>
          <w:szCs w:val="20"/>
          <w:vertAlign w:val="subscript"/>
          <w14:textFill>
            <w14:solidFill>
              <w14:schemeClr w14:val="tx1"/>
            </w14:solidFill>
          </w14:textFill>
        </w:rPr>
        <w:t>i</w:t>
      </w:r>
      <w:r>
        <w:rPr>
          <w:rFonts w:hint="eastAsia"/>
          <w:color w:val="000000" w:themeColor="text1"/>
          <w:sz w:val="20"/>
          <w:szCs w:val="20"/>
          <w14:textFill>
            <w14:solidFill>
              <w14:schemeClr w14:val="tx1"/>
            </w14:solidFill>
          </w14:textFill>
        </w:rPr>
        <w:t>),</w:t>
      </w:r>
      <w:r>
        <w:rPr>
          <w:rFonts w:hint="eastAsia"/>
          <w:i/>
          <w:iCs/>
          <w:color w:val="000000" w:themeColor="text1"/>
          <w:sz w:val="20"/>
          <w:szCs w:val="20"/>
          <w14:textFill>
            <w14:solidFill>
              <w14:schemeClr w14:val="tx1"/>
            </w14:solidFill>
          </w14:textFill>
        </w:rPr>
        <w:t>Enc</w:t>
      </w:r>
      <w:r>
        <w:rPr>
          <w:rFonts w:hint="eastAsia"/>
          <w:color w:val="000000" w:themeColor="text1"/>
          <w:sz w:val="20"/>
          <w:szCs w:val="20"/>
          <w14:textFill>
            <w14:solidFill>
              <w14:schemeClr w14:val="tx1"/>
            </w14:solidFill>
          </w14:textFill>
        </w:rPr>
        <w:t>(</w:t>
      </w:r>
      <w:r>
        <w:rPr>
          <w:rFonts w:hint="eastAsia"/>
          <w:i/>
          <w:iCs/>
          <w:color w:val="000000" w:themeColor="text1"/>
          <w:sz w:val="20"/>
          <w:szCs w:val="20"/>
          <w14:textFill>
            <w14:solidFill>
              <w14:schemeClr w14:val="tx1"/>
            </w14:solidFill>
          </w14:textFill>
        </w:rPr>
        <w:t>p</w:t>
      </w:r>
      <w:r>
        <w:rPr>
          <w:rFonts w:hint="eastAsia"/>
          <w:i/>
          <w:iCs/>
          <w:color w:val="000000" w:themeColor="text1"/>
          <w:sz w:val="20"/>
          <w:szCs w:val="20"/>
          <w:vertAlign w:val="subscript"/>
          <w14:textFill>
            <w14:solidFill>
              <w14:schemeClr w14:val="tx1"/>
            </w14:solidFill>
          </w14:textFill>
        </w:rPr>
        <w:t>i</w:t>
      </w:r>
      <w:r>
        <w:rPr>
          <w:rFonts w:hint="eastAsia"/>
          <w:color w:val="000000" w:themeColor="text1"/>
          <w:sz w:val="20"/>
          <w:szCs w:val="20"/>
          <w:vertAlign w:val="subscript"/>
          <w14:textFill>
            <w14:solidFill>
              <w14:schemeClr w14:val="tx1"/>
            </w14:solidFill>
          </w14:textFill>
        </w:rPr>
        <w:t>+1</w:t>
      </w:r>
      <w:r>
        <w:rPr>
          <w:rFonts w:hint="eastAsia"/>
          <w:color w:val="000000" w:themeColor="text1"/>
          <w:sz w:val="20"/>
          <w:szCs w:val="20"/>
          <w14:textFill>
            <w14:solidFill>
              <w14:schemeClr w14:val="tx1"/>
            </w14:solidFill>
          </w14:textFill>
        </w:rPr>
        <w:t>))，在满足结构连贯性的条件下（</w:t>
      </w:r>
      <w:r>
        <w:rPr>
          <w:i/>
          <w:iCs/>
          <w:color w:val="000000" w:themeColor="text1"/>
          <w:sz w:val="20"/>
          <w:szCs w:val="20"/>
          <w14:textFill>
            <w14:solidFill>
              <w14:schemeClr w14:val="tx1"/>
            </w14:solidFill>
          </w14:textFill>
        </w:rPr>
        <w:t>θ</w:t>
      </w:r>
      <w:r>
        <w:rPr>
          <w:rFonts w:hint="eastAsia"/>
          <w:i/>
          <w:iCs/>
          <w:color w:val="000000" w:themeColor="text1"/>
          <w:sz w:val="20"/>
          <w:szCs w:val="20"/>
          <w:vertAlign w:val="subscript"/>
          <w14:textFill>
            <w14:solidFill>
              <w14:schemeClr w14:val="tx1"/>
            </w14:solidFill>
          </w14:textFill>
        </w:rPr>
        <w:t>sim</w:t>
      </w:r>
      <w:r>
        <w:rPr>
          <w:rFonts w:hint="eastAsia"/>
          <w:color w:val="000000" w:themeColor="text1"/>
          <w:sz w:val="20"/>
          <w:szCs w:val="20"/>
          <w14:textFill>
            <w14:solidFill>
              <w14:schemeClr w14:val="tx1"/>
            </w14:solidFill>
          </w14:textFill>
        </w:rPr>
        <w:t>&gt;0.8）执行自适应合并，从而恢复跨行语义依赖关系；最后，对超长文本单元（</w:t>
      </w:r>
      <w:r>
        <w:rPr>
          <w:i/>
          <w:iCs/>
          <w:color w:val="000000" w:themeColor="text1"/>
          <w:sz w:val="20"/>
          <w:szCs w:val="20"/>
          <w14:textFill>
            <w14:solidFill>
              <w14:schemeClr w14:val="tx1"/>
            </w14:solidFill>
          </w14:textFill>
        </w:rPr>
        <w:t>θ</w:t>
      </w:r>
      <w:r>
        <w:rPr>
          <w:i/>
          <w:iCs/>
          <w:color w:val="000000" w:themeColor="text1"/>
          <w:sz w:val="20"/>
          <w:szCs w:val="20"/>
          <w:vertAlign w:val="subscript"/>
          <w14:textFill>
            <w14:solidFill>
              <w14:schemeClr w14:val="tx1"/>
            </w14:solidFill>
          </w14:textFill>
        </w:rPr>
        <w:t>len</w:t>
      </w:r>
      <w:r>
        <w:rPr>
          <w:rFonts w:hint="eastAsia"/>
          <w:color w:val="000000" w:themeColor="text1"/>
          <w:sz w:val="20"/>
          <w:szCs w:val="20"/>
          <w14:textFill>
            <w14:solidFill>
              <w14:schemeClr w14:val="tx1"/>
            </w14:solidFill>
          </w14:textFill>
        </w:rPr>
        <w:t>&gt;1000）执行句子级重分割，以避免局部实体密集区域对后续共现建模产生结构偏置。该过程可形式化为一种结构约束与语义连续性联合优化机制，其目标是在降低噪声传播的同时最大化上下文完整性，从而为实体识别提供稳定语义窗口。</w:t>
      </w:r>
    </w:p>
    <w:p w14:paraId="5D73C965">
      <w:pPr>
        <w:pStyle w:val="7"/>
        <w:spacing w:after="60" w:line="240" w:lineRule="auto"/>
        <w:ind w:firstLine="402"/>
        <w:rPr>
          <w:b/>
          <w:bCs/>
          <w:color w:val="000000" w:themeColor="text1"/>
          <w:sz w:val="20"/>
          <w:szCs w:val="20"/>
          <w14:textFill>
            <w14:solidFill>
              <w14:schemeClr w14:val="tx1"/>
            </w14:solidFill>
          </w14:textFill>
        </w:rPr>
      </w:pPr>
      <w:r>
        <w:rPr>
          <w:rFonts w:hint="eastAsia"/>
          <w:b/>
          <w:bCs/>
          <w:color w:val="000000" w:themeColor="text1"/>
          <w:sz w:val="20"/>
          <w:szCs w:val="20"/>
          <w14:textFill>
            <w14:solidFill>
              <w14:schemeClr w14:val="tx1"/>
            </w14:solidFill>
          </w14:textFill>
        </w:rPr>
        <w:t>（3）参数确定与稳定性约束</w:t>
      </w:r>
    </w:p>
    <w:p w14:paraId="51FB251A">
      <w:pPr>
        <w:pStyle w:val="7"/>
        <w:spacing w:after="60" w:line="240" w:lineRule="auto"/>
        <w:ind w:firstLine="400"/>
        <w:rPr>
          <w:color w:val="000000" w:themeColor="text1"/>
          <w:sz w:val="20"/>
          <w:szCs w:val="20"/>
          <w14:textFill>
            <w14:solidFill>
              <w14:schemeClr w14:val="tx1"/>
            </w14:solidFill>
          </w14:textFill>
        </w:rPr>
      </w:pPr>
      <w:r>
        <w:rPr>
          <w:rFonts w:hint="eastAsia"/>
          <w:color w:val="000000" w:themeColor="text1"/>
          <w:sz w:val="20"/>
          <w:szCs w:val="20"/>
          <w14:textFill>
            <w14:solidFill>
              <w14:schemeClr w14:val="tx1"/>
            </w14:solidFill>
          </w14:textFill>
        </w:rPr>
        <w:t>相关阈值参数（</w:t>
      </w:r>
      <w:commentRangeStart w:id="0"/>
      <w:r>
        <w:rPr>
          <w:rFonts w:hint="eastAsia"/>
          <w:color w:val="000000" w:themeColor="text1"/>
          <w:sz w:val="20"/>
          <w:szCs w:val="20"/>
          <w14:textFill>
            <w14:solidFill>
              <w14:schemeClr w14:val="tx1"/>
            </w14:solidFill>
          </w14:textFill>
        </w:rPr>
        <w:t>语义一致性约束</w:t>
      </w:r>
      <w:r>
        <w:rPr>
          <w:i/>
          <w:iCs/>
          <w:color w:val="000000" w:themeColor="text1"/>
          <w:sz w:val="20"/>
          <w:szCs w:val="20"/>
          <w14:textFill>
            <w14:solidFill>
              <w14:schemeClr w14:val="tx1"/>
            </w14:solidFill>
          </w14:textFill>
        </w:rPr>
        <w:t>θ</w:t>
      </w:r>
      <w:r>
        <w:rPr>
          <w:rFonts w:hint="eastAsia"/>
          <w:i/>
          <w:iCs/>
          <w:color w:val="000000" w:themeColor="text1"/>
          <w:sz w:val="20"/>
          <w:szCs w:val="20"/>
          <w:vertAlign w:val="subscript"/>
          <w14:textFill>
            <w14:solidFill>
              <w14:schemeClr w14:val="tx1"/>
            </w14:solidFill>
          </w14:textFill>
        </w:rPr>
        <w:t>sim</w:t>
      </w:r>
      <w:r>
        <w:rPr>
          <w:rFonts w:hint="eastAsia"/>
          <w:color w:val="000000" w:themeColor="text1"/>
          <w:sz w:val="20"/>
          <w:szCs w:val="20"/>
          <w14:textFill>
            <w14:solidFill>
              <w14:schemeClr w14:val="tx1"/>
            </w14:solidFill>
          </w14:textFill>
        </w:rPr>
        <w:t>与长度约束</w:t>
      </w:r>
      <w:r>
        <w:rPr>
          <w:i/>
          <w:iCs/>
          <w:color w:val="000000" w:themeColor="text1"/>
          <w:sz w:val="20"/>
          <w:szCs w:val="20"/>
          <w14:textFill>
            <w14:solidFill>
              <w14:schemeClr w14:val="tx1"/>
            </w14:solidFill>
          </w14:textFill>
        </w:rPr>
        <w:t>θ</w:t>
      </w:r>
      <w:r>
        <w:rPr>
          <w:i/>
          <w:iCs/>
          <w:color w:val="000000" w:themeColor="text1"/>
          <w:sz w:val="20"/>
          <w:szCs w:val="20"/>
          <w:vertAlign w:val="subscript"/>
          <w14:textFill>
            <w14:solidFill>
              <w14:schemeClr w14:val="tx1"/>
            </w14:solidFill>
          </w14:textFill>
        </w:rPr>
        <w:t>len</w:t>
      </w:r>
      <w:commentRangeEnd w:id="0"/>
      <w:r>
        <w:rPr>
          <w:color w:val="000000" w:themeColor="text1"/>
          <w:sz w:val="20"/>
          <w:szCs w:val="20"/>
          <w14:textFill>
            <w14:solidFill>
              <w14:schemeClr w14:val="tx1"/>
            </w14:solidFill>
          </w14:textFill>
        </w:rPr>
        <w:commentReference w:id="0"/>
      </w:r>
      <w:r>
        <w:rPr>
          <w:rFonts w:hint="eastAsia"/>
          <w:color w:val="000000" w:themeColor="text1"/>
          <w:sz w:val="20"/>
          <w:szCs w:val="20"/>
          <w14:textFill>
            <w14:solidFill>
              <w14:schemeClr w14:val="tx1"/>
            </w14:solidFill>
          </w14:textFill>
        </w:rPr>
        <w:t>）通过验证集进行经验优化，以平衡结构完整性与建模粒度。该过程确保不同类别APT样本在文本结构恢复阶段具有一致的处理尺度，从而避免因预处理偏差导致的类别偏移问题。</w:t>
      </w:r>
    </w:p>
    <w:p w14:paraId="6DA0CAF7">
      <w:pPr>
        <w:pStyle w:val="7"/>
        <w:spacing w:after="60" w:line="240" w:lineRule="auto"/>
        <w:ind w:firstLine="402"/>
        <w:rPr>
          <w:b/>
          <w:bCs/>
          <w:color w:val="000000" w:themeColor="text1"/>
          <w:sz w:val="20"/>
          <w:szCs w:val="20"/>
          <w14:textFill>
            <w14:solidFill>
              <w14:schemeClr w14:val="tx1"/>
            </w14:solidFill>
          </w14:textFill>
        </w:rPr>
      </w:pPr>
      <w:r>
        <w:rPr>
          <w:rFonts w:hint="eastAsia"/>
          <w:b/>
          <w:bCs/>
          <w:color w:val="000000" w:themeColor="text1"/>
          <w:sz w:val="20"/>
          <w:szCs w:val="20"/>
          <w14:textFill>
            <w14:solidFill>
              <w14:schemeClr w14:val="tx1"/>
            </w14:solidFill>
          </w14:textFill>
        </w:rPr>
        <w:t>（4）输出与建模接口</w:t>
      </w:r>
    </w:p>
    <w:p w14:paraId="179D0196">
      <w:pPr>
        <w:pStyle w:val="7"/>
        <w:spacing w:after="60" w:line="240" w:lineRule="auto"/>
        <w:ind w:firstLine="400"/>
        <w:rPr>
          <w:color w:val="000000" w:themeColor="text1"/>
          <w:sz w:val="20"/>
          <w:szCs w:val="20"/>
          <w14:textFill>
            <w14:solidFill>
              <w14:schemeClr w14:val="tx1"/>
            </w14:solidFill>
          </w14:textFill>
        </w:rPr>
      </w:pPr>
      <w:r>
        <w:rPr>
          <w:rFonts w:hint="eastAsia"/>
          <w:color w:val="000000" w:themeColor="text1"/>
          <w:sz w:val="20"/>
          <w:szCs w:val="20"/>
          <w14:textFill>
            <w14:solidFill>
              <w14:schemeClr w14:val="tx1"/>
            </w14:solidFill>
          </w14:textFill>
        </w:rPr>
        <w:t>该模块最终生成结构一致且语义连续的文本单元集合，为后续异构实体识别与关系建模提供稳定输入空间，并确保实体共现关系的构建不受结构噪声干扰，从而提高图结构的语义可信度与拓扑稳定性。</w:t>
      </w:r>
    </w:p>
    <w:p w14:paraId="7AAE23B8">
      <w:pPr>
        <w:pStyle w:val="4"/>
        <w:keepNext/>
        <w:spacing w:before="360" w:beforeLines="0" w:after="120" w:afterLines="0"/>
        <w:jc w:val="both"/>
        <w:rPr>
          <w:sz w:val="21"/>
          <w:szCs w:val="21"/>
          <w:lang w:eastAsia="zh"/>
        </w:rPr>
      </w:pPr>
      <w:bookmarkStart w:id="3" w:name="_Toc25512"/>
      <w:r>
        <w:rPr>
          <w:rFonts w:hint="eastAsia"/>
          <w:sz w:val="21"/>
          <w:szCs w:val="21"/>
          <w:lang w:eastAsia="zh"/>
        </w:rPr>
        <w:t xml:space="preserve">3.1.2 </w:t>
      </w:r>
      <w:bookmarkEnd w:id="3"/>
      <w:r>
        <w:rPr>
          <w:rFonts w:hint="eastAsia"/>
          <w:sz w:val="21"/>
          <w:szCs w:val="21"/>
          <w:lang w:eastAsia="zh"/>
        </w:rPr>
        <w:t>面向威胁情报的分层级联实体识别框架</w:t>
      </w:r>
    </w:p>
    <w:p w14:paraId="04EEA437">
      <w:pPr>
        <w:pStyle w:val="7"/>
        <w:spacing w:after="60" w:line="240" w:lineRule="auto"/>
        <w:ind w:firstLine="400"/>
        <w:rPr>
          <w:color w:val="000000" w:themeColor="text1"/>
          <w:sz w:val="20"/>
          <w:szCs w:val="20"/>
          <w14:textFill>
            <w14:solidFill>
              <w14:schemeClr w14:val="tx1"/>
            </w14:solidFill>
          </w14:textFill>
        </w:rPr>
      </w:pPr>
      <w:r>
        <w:rPr>
          <w:rFonts w:hint="eastAsia"/>
          <w:color w:val="000000" w:themeColor="text1"/>
          <w:sz w:val="20"/>
          <w:szCs w:val="20"/>
          <w14:textFill>
            <w14:solidFill>
              <w14:schemeClr w14:val="tx1"/>
            </w14:solidFill>
          </w14:textFill>
        </w:rPr>
        <w:t>威胁情报文本同时包含结构化攻击指标（如</w:t>
      </w:r>
      <w:r>
        <w:rPr>
          <w:color w:val="000000" w:themeColor="text1"/>
          <w:sz w:val="20"/>
          <w:szCs w:val="20"/>
          <w14:textFill>
            <w14:solidFill>
              <w14:schemeClr w14:val="tx1"/>
            </w14:solidFill>
          </w14:textFill>
        </w:rPr>
        <w:t>IP地址、哈希值等IoC实体</w:t>
      </w:r>
      <w:r>
        <w:rPr>
          <w:rFonts w:hint="eastAsia"/>
          <w:color w:val="000000" w:themeColor="text1"/>
          <w:sz w:val="20"/>
          <w:szCs w:val="20"/>
          <w14:textFill>
            <w14:solidFill>
              <w14:schemeClr w14:val="tx1"/>
            </w14:solidFill>
          </w14:textFill>
        </w:rPr>
        <w:t>）与非结构化语义实体（如</w:t>
      </w:r>
      <w:r>
        <w:rPr>
          <w:color w:val="000000" w:themeColor="text1"/>
          <w:sz w:val="20"/>
          <w:szCs w:val="20"/>
          <w14:textFill>
            <w14:solidFill>
              <w14:schemeClr w14:val="tx1"/>
            </w14:solidFill>
          </w14:textFill>
        </w:rPr>
        <w:t>恶意软件名、组织别名等</w:t>
      </w:r>
      <w:r>
        <w:rPr>
          <w:rFonts w:hint="eastAsia"/>
          <w:color w:val="000000" w:themeColor="text1"/>
          <w:sz w:val="20"/>
          <w:szCs w:val="20"/>
          <w14:textFill>
            <w14:solidFill>
              <w14:schemeClr w14:val="tx1"/>
            </w14:solidFill>
          </w14:textFill>
        </w:rPr>
        <w:t>）。两类实体在形式约束、语义依赖及可观测性上存在显著差异，使得统一建模方法面临“精确率-召回率权衡”和“语义歧义传播”问题[7][15][17]。针对上述挑战，本文提出一种分层级联实体识别框架。该框架遵循“确定性抽取→上下文感知过滤→语义归一化”的渐进式建模范式，在结构化约束逐步放松的过程中实现实体集合的高精度收敛。与端到端联合抽取方法不同，该设计不追求统一优化目标，而采用具有有界误差传播的渐进式改进策略：即在高置信阶段优先保证精度，并通过后续阶段逐步恢复语义表达能力，从而降低早期误差的不可逆传播风险。</w:t>
      </w:r>
    </w:p>
    <w:p w14:paraId="06A2263D">
      <w:pPr>
        <w:pStyle w:val="7"/>
        <w:spacing w:after="60" w:line="240" w:lineRule="auto"/>
        <w:ind w:firstLine="402"/>
        <w:rPr>
          <w:b/>
          <w:bCs/>
          <w:color w:val="000000" w:themeColor="text1"/>
          <w:sz w:val="20"/>
          <w:szCs w:val="20"/>
          <w14:textFill>
            <w14:solidFill>
              <w14:schemeClr w14:val="tx1"/>
            </w14:solidFill>
          </w14:textFill>
        </w:rPr>
      </w:pPr>
      <w:r>
        <w:rPr>
          <w:rFonts w:hint="eastAsia"/>
          <w:b/>
          <w:bCs/>
          <w:color w:val="000000" w:themeColor="text1"/>
          <w:sz w:val="20"/>
          <w:szCs w:val="20"/>
          <w14:textFill>
            <w14:solidFill>
              <w14:schemeClr w14:val="tx1"/>
            </w14:solidFill>
          </w14:textFill>
        </w:rPr>
        <w:t>（1）确定性结构化指标提取</w:t>
      </w:r>
    </w:p>
    <w:p w14:paraId="2A76DCAC">
      <w:pPr>
        <w:pStyle w:val="7"/>
        <w:spacing w:after="60" w:line="240" w:lineRule="auto"/>
        <w:ind w:firstLine="400"/>
        <w:rPr>
          <w:color w:val="000000" w:themeColor="text1"/>
          <w:sz w:val="20"/>
          <w:szCs w:val="20"/>
          <w14:textFill>
            <w14:solidFill>
              <w14:schemeClr w14:val="tx1"/>
            </w14:solidFill>
          </w14:textFill>
        </w:rPr>
      </w:pPr>
      <w:r>
        <w:rPr>
          <w:rFonts w:hint="eastAsia"/>
          <w:color w:val="000000" w:themeColor="text1"/>
          <w:sz w:val="20"/>
          <w:szCs w:val="20"/>
          <w14:textFill>
            <w14:solidFill>
              <w14:schemeClr w14:val="tx1"/>
            </w14:solidFill>
          </w14:textFill>
        </w:rPr>
        <w:t>该阶段面向高确定性结构化实体，采用规则驱动的确定性抽取策略以提供高精度实体锚点。具体如下：1）IP地址通过正则表达式匹配，并显式剔除RFC 1918私有地址段（e.g., 127.0.0.0/8, 10.0.0.0/8, 192.168.0.0/16），以降低内网通信对APT归因的干扰；2）哈希值检测结合长度约束（32/40/64）与负向前后断言机制，避免将长十六进制序列（如内存地址）误识别为加密摘要；3）MITRE ATT&amp;CK技术编号（e.g., T1566.002）通过结构合法性约束与外部知识库一致性验证进行双重过滤，以排除“格式合法但语义无效”的伪实体。该阶段的输出具有高精度、低召回率和有限的语义歧义关键性质，通过构建可靠实体锚点并显式约束后续阶段的候选搜索空间，从而降低整体系统的误匹配上界。</w:t>
      </w:r>
    </w:p>
    <w:p w14:paraId="2DB55DA6">
      <w:pPr>
        <w:pStyle w:val="7"/>
        <w:spacing w:after="60" w:line="240" w:lineRule="auto"/>
        <w:ind w:firstLine="402"/>
        <w:rPr>
          <w:b/>
          <w:bCs/>
          <w:color w:val="000000" w:themeColor="text1"/>
          <w:sz w:val="20"/>
          <w:szCs w:val="20"/>
          <w14:textFill>
            <w14:solidFill>
              <w14:schemeClr w14:val="tx1"/>
            </w14:solidFill>
          </w14:textFill>
        </w:rPr>
      </w:pPr>
      <w:r>
        <w:rPr>
          <w:rFonts w:hint="eastAsia"/>
          <w:b/>
          <w:bCs/>
          <w:color w:val="000000" w:themeColor="text1"/>
          <w:sz w:val="20"/>
          <w:szCs w:val="20"/>
          <w14:textFill>
            <w14:solidFill>
              <w14:schemeClr w14:val="tx1"/>
            </w14:solidFill>
          </w14:textFill>
        </w:rPr>
        <w:t>（2）针对歧义的上下文感知候选词过滤</w:t>
      </w:r>
    </w:p>
    <w:p w14:paraId="0B91006A">
      <w:pPr>
        <w:pStyle w:val="7"/>
        <w:spacing w:after="60" w:line="240" w:lineRule="auto"/>
        <w:ind w:firstLine="400"/>
        <w:rPr>
          <w:color w:val="000000" w:themeColor="text1"/>
          <w:sz w:val="20"/>
          <w:szCs w:val="20"/>
          <w14:textFill>
            <w14:solidFill>
              <w14:schemeClr w14:val="tx1"/>
            </w14:solidFill>
          </w14:textFill>
        </w:rPr>
      </w:pPr>
      <w:r>
        <w:rPr>
          <w:rFonts w:hint="eastAsia"/>
          <w:color w:val="000000" w:themeColor="text1"/>
          <w:sz w:val="20"/>
          <w:szCs w:val="20"/>
          <w14:textFill>
            <w14:solidFill>
              <w14:schemeClr w14:val="tx1"/>
            </w14:solidFill>
          </w14:textFill>
        </w:rPr>
        <w:t>该阶段针对恶意软件名称、APT组织别名及攻击工具等非结构化实体，执行基于上下文语义的候选过滤。考虑到安全语料中普遍存在的实体歧义问题（e.g., “Lazarus”可指APT组织或宗教语境），仅依赖词典匹配将导致系统性误报。因此，本文定义如公式（2）所示的上下文一致性评分函数，其中TF-IDF(</w:t>
      </w:r>
      <w:r>
        <w:rPr>
          <w:rFonts w:hint="eastAsia"/>
          <w:i/>
          <w:iCs/>
          <w:color w:val="000000" w:themeColor="text1"/>
          <w:sz w:val="20"/>
          <w:szCs w:val="20"/>
          <w14:textFill>
            <w14:solidFill>
              <w14:schemeClr w14:val="tx1"/>
            </w14:solidFill>
          </w14:textFill>
        </w:rPr>
        <w:t>w</w:t>
      </w:r>
      <w:r>
        <w:rPr>
          <w:rFonts w:hint="eastAsia"/>
          <w:color w:val="000000" w:themeColor="text1"/>
          <w:sz w:val="20"/>
          <w:szCs w:val="20"/>
          <w14:textFill>
            <w14:solidFill>
              <w14:schemeClr w14:val="tx1"/>
            </w14:solidFill>
          </w14:textFill>
        </w:rPr>
        <w:t>,</w:t>
      </w:r>
      <w:r>
        <w:rPr>
          <w:rFonts w:hint="eastAsia"/>
          <w:i/>
          <w:iCs/>
          <w:color w:val="000000" w:themeColor="text1"/>
          <w:sz w:val="20"/>
          <w:szCs w:val="20"/>
          <w14:textFill>
            <w14:solidFill>
              <w14:schemeClr w14:val="tx1"/>
            </w14:solidFill>
          </w14:textFill>
        </w:rPr>
        <w:t>D</w:t>
      </w:r>
      <w:r>
        <w:rPr>
          <w:rFonts w:hint="eastAsia"/>
          <w:color w:val="000000" w:themeColor="text1"/>
          <w:sz w:val="20"/>
          <w:szCs w:val="20"/>
          <w14:textFill>
            <w14:solidFill>
              <w14:schemeClr w14:val="tx1"/>
            </w14:solidFill>
          </w14:textFill>
        </w:rPr>
        <w:t>)用于</w:t>
      </w:r>
      <w:r>
        <w:rPr>
          <w:color w:val="000000" w:themeColor="text1"/>
          <w:sz w:val="20"/>
          <w:szCs w:val="20"/>
          <w14:textFill>
            <w14:solidFill>
              <w14:schemeClr w14:val="tx1"/>
            </w14:solidFill>
          </w14:textFill>
        </w:rPr>
        <w:t>衡量词</w:t>
      </w:r>
      <w:r>
        <w:rPr>
          <w:rFonts w:hint="eastAsia"/>
          <w:i/>
          <w:iCs/>
          <w:color w:val="000000" w:themeColor="text1"/>
          <w:sz w:val="20"/>
          <w:szCs w:val="20"/>
          <w14:textFill>
            <w14:solidFill>
              <w14:schemeClr w14:val="tx1"/>
            </w14:solidFill>
          </w14:textFill>
        </w:rPr>
        <w:t>w</w:t>
      </w:r>
      <w:r>
        <w:rPr>
          <w:color w:val="000000" w:themeColor="text1"/>
          <w:sz w:val="20"/>
          <w:szCs w:val="20"/>
          <w14:textFill>
            <w14:solidFill>
              <w14:schemeClr w14:val="tx1"/>
            </w14:solidFill>
          </w14:textFill>
        </w:rPr>
        <w:t>在安全语料</w:t>
      </w:r>
      <w:r>
        <w:rPr>
          <w:rFonts w:hint="eastAsia"/>
          <w:i/>
          <w:iCs/>
          <w:color w:val="000000" w:themeColor="text1"/>
          <w:sz w:val="20"/>
          <w:szCs w:val="20"/>
          <w14:textFill>
            <w14:solidFill>
              <w14:schemeClr w14:val="tx1"/>
            </w14:solidFill>
          </w14:textFill>
        </w:rPr>
        <w:t>D</w:t>
      </w:r>
      <w:r>
        <w:rPr>
          <w:color w:val="000000" w:themeColor="text1"/>
          <w:sz w:val="20"/>
          <w:szCs w:val="20"/>
          <w14:textFill>
            <w14:solidFill>
              <w14:schemeClr w14:val="tx1"/>
            </w14:solidFill>
          </w14:textFill>
        </w:rPr>
        <w:t>中的</w:t>
      </w:r>
      <w:r>
        <w:rPr>
          <w:rFonts w:hint="eastAsia"/>
          <w:color w:val="000000" w:themeColor="text1"/>
          <w:sz w:val="20"/>
          <w:szCs w:val="20"/>
          <w14:textFill>
            <w14:solidFill>
              <w14:schemeClr w14:val="tx1"/>
            </w14:solidFill>
          </w14:textFill>
        </w:rPr>
        <w:t>判别性词权重（</w:t>
      </w:r>
      <w:r>
        <w:rPr>
          <w:color w:val="000000" w:themeColor="text1"/>
          <w:sz w:val="20"/>
          <w:szCs w:val="20"/>
          <w14:textFill>
            <w14:solidFill>
              <w14:schemeClr w14:val="tx1"/>
            </w14:solidFill>
          </w14:textFill>
        </w:rPr>
        <w:t>高频通用词权重低，低频专业词（如</w:t>
      </w:r>
      <w:r>
        <w:rPr>
          <w:rFonts w:hint="eastAsia"/>
          <w:color w:val="000000" w:themeColor="text1"/>
          <w:sz w:val="20"/>
          <w:szCs w:val="20"/>
          <w14:textFill>
            <w14:solidFill>
              <w14:schemeClr w14:val="tx1"/>
            </w14:solidFill>
          </w14:textFill>
        </w:rPr>
        <w:t>“</w:t>
      </w:r>
      <w:r>
        <w:rPr>
          <w:color w:val="000000" w:themeColor="text1"/>
          <w:sz w:val="20"/>
          <w:szCs w:val="20"/>
          <w14:textFill>
            <w14:solidFill>
              <w14:schemeClr w14:val="tx1"/>
            </w14:solidFill>
          </w14:textFill>
        </w:rPr>
        <w:t>C2 beacon</w:t>
      </w:r>
      <w:r>
        <w:rPr>
          <w:rFonts w:hint="eastAsia"/>
          <w:color w:val="000000" w:themeColor="text1"/>
          <w:sz w:val="20"/>
          <w:szCs w:val="20"/>
          <w14:textFill>
            <w14:solidFill>
              <w14:schemeClr w14:val="tx1"/>
            </w14:solidFill>
          </w14:textFill>
        </w:rPr>
        <w:t>”</w:t>
      </w:r>
      <w:r>
        <w:rPr>
          <w:color w:val="000000" w:themeColor="text1"/>
          <w:sz w:val="20"/>
          <w:szCs w:val="20"/>
          <w14:textFill>
            <w14:solidFill>
              <w14:schemeClr w14:val="tx1"/>
            </w14:solidFill>
          </w14:textFill>
        </w:rPr>
        <w:t>）权重高</w:t>
      </w:r>
      <w:r>
        <w:rPr>
          <w:rFonts w:hint="eastAsia"/>
          <w:color w:val="000000" w:themeColor="text1"/>
          <w:sz w:val="20"/>
          <w:szCs w:val="20"/>
          <w14:textFill>
            <w14:solidFill>
              <w14:schemeClr w14:val="tx1"/>
            </w14:solidFill>
          </w14:textFill>
        </w:rPr>
        <w:t>），Rel(</w:t>
      </w:r>
      <w:r>
        <w:rPr>
          <w:rFonts w:hint="eastAsia"/>
          <w:i/>
          <w:iCs/>
          <w:color w:val="000000" w:themeColor="text1"/>
          <w:sz w:val="20"/>
          <w:szCs w:val="20"/>
          <w14:textFill>
            <w14:solidFill>
              <w14:schemeClr w14:val="tx1"/>
            </w14:solidFill>
          </w14:textFill>
        </w:rPr>
        <w:t>w</w:t>
      </w:r>
      <w:r>
        <w:rPr>
          <w:rFonts w:hint="eastAsia"/>
          <w:color w:val="000000" w:themeColor="text1"/>
          <w:sz w:val="20"/>
          <w:szCs w:val="20"/>
          <w14:textFill>
            <w14:solidFill>
              <w14:schemeClr w14:val="tx1"/>
            </w14:solidFill>
          </w14:textFill>
        </w:rPr>
        <w:t>,cat(</w:t>
      </w:r>
      <w:r>
        <w:rPr>
          <w:rFonts w:hint="eastAsia"/>
          <w:i/>
          <w:iCs/>
          <w:color w:val="000000" w:themeColor="text1"/>
          <w:sz w:val="20"/>
          <w:szCs w:val="20"/>
          <w14:textFill>
            <w14:solidFill>
              <w14:schemeClr w14:val="tx1"/>
            </w14:solidFill>
          </w14:textFill>
        </w:rPr>
        <w:t>e</w:t>
      </w:r>
      <w:r>
        <w:rPr>
          <w:rFonts w:hint="eastAsia"/>
          <w:color w:val="000000" w:themeColor="text1"/>
          <w:sz w:val="20"/>
          <w:szCs w:val="20"/>
          <w14:textFill>
            <w14:solidFill>
              <w14:schemeClr w14:val="tx1"/>
            </w14:solidFill>
          </w14:textFill>
        </w:rPr>
        <w:t>))∈[0,1]表示</w:t>
      </w:r>
      <w:r>
        <w:rPr>
          <w:color w:val="000000" w:themeColor="text1"/>
          <w:sz w:val="20"/>
          <w:szCs w:val="20"/>
          <w14:textFill>
            <w14:solidFill>
              <w14:schemeClr w14:val="tx1"/>
            </w14:solidFill>
          </w14:textFill>
        </w:rPr>
        <w:t>词</w:t>
      </w:r>
      <w:r>
        <w:rPr>
          <w:rFonts w:hint="eastAsia"/>
          <w:i/>
          <w:iCs/>
          <w:color w:val="000000" w:themeColor="text1"/>
          <w:sz w:val="20"/>
          <w:szCs w:val="20"/>
          <w14:textFill>
            <w14:solidFill>
              <w14:schemeClr w14:val="tx1"/>
            </w14:solidFill>
          </w14:textFill>
        </w:rPr>
        <w:t>w</w:t>
      </w:r>
      <w:r>
        <w:rPr>
          <w:color w:val="000000" w:themeColor="text1"/>
          <w:sz w:val="20"/>
          <w:szCs w:val="20"/>
          <w14:textFill>
            <w14:solidFill>
              <w14:schemeClr w14:val="tx1"/>
            </w14:solidFill>
          </w14:textFill>
        </w:rPr>
        <w:t>与实体类别</w:t>
      </w:r>
      <w:r>
        <w:rPr>
          <w:rFonts w:hint="eastAsia"/>
          <w:color w:val="000000" w:themeColor="text1"/>
          <w:sz w:val="20"/>
          <w:szCs w:val="20"/>
          <w14:textFill>
            <w14:solidFill>
              <w14:schemeClr w14:val="tx1"/>
            </w14:solidFill>
          </w14:textFill>
        </w:rPr>
        <w:t>cat(</w:t>
      </w:r>
      <w:r>
        <w:rPr>
          <w:rFonts w:hint="eastAsia"/>
          <w:i/>
          <w:iCs/>
          <w:color w:val="000000" w:themeColor="text1"/>
          <w:sz w:val="20"/>
          <w:szCs w:val="20"/>
          <w14:textFill>
            <w14:solidFill>
              <w14:schemeClr w14:val="tx1"/>
            </w14:solidFill>
          </w14:textFill>
        </w:rPr>
        <w:t>e</w:t>
      </w:r>
      <w:r>
        <w:rPr>
          <w:rFonts w:hint="eastAsia"/>
          <w:color w:val="000000" w:themeColor="text1"/>
          <w:sz w:val="20"/>
          <w:szCs w:val="20"/>
          <w14:textFill>
            <w14:solidFill>
              <w14:schemeClr w14:val="tx1"/>
            </w14:solidFill>
          </w14:textFill>
        </w:rPr>
        <w:t>)</w:t>
      </w:r>
      <w:r>
        <w:rPr>
          <w:color w:val="000000" w:themeColor="text1"/>
          <w:sz w:val="20"/>
          <w:szCs w:val="20"/>
          <w14:textFill>
            <w14:solidFill>
              <w14:schemeClr w14:val="tx1"/>
            </w14:solidFill>
          </w14:textFill>
        </w:rPr>
        <w:t>的</w:t>
      </w:r>
      <w:r>
        <w:rPr>
          <w:rFonts w:hint="eastAsia"/>
          <w:color w:val="000000" w:themeColor="text1"/>
          <w:sz w:val="20"/>
          <w:szCs w:val="20"/>
          <w14:textFill>
            <w14:solidFill>
              <w14:schemeClr w14:val="tx1"/>
            </w14:solidFill>
          </w14:textFill>
        </w:rPr>
        <w:t>语义相关性（由领域监督模型估计）</w:t>
      </w:r>
      <w:r>
        <w:rPr>
          <w:color w:val="000000" w:themeColor="text1"/>
          <w:sz w:val="20"/>
          <w:szCs w:val="20"/>
          <w14:textFill>
            <w14:solidFill>
              <w14:schemeClr w14:val="tx1"/>
            </w14:solidFill>
          </w14:textFill>
        </w:rPr>
        <w:t>，</w:t>
      </w:r>
      <w:r>
        <w:rPr>
          <w:rFonts w:hint="eastAsia"/>
          <w:i/>
          <w:iCs/>
          <w:color w:val="000000" w:themeColor="text1"/>
          <w:sz w:val="20"/>
          <w:szCs w:val="20"/>
          <w14:textFill>
            <w14:solidFill>
              <w14:schemeClr w14:val="tx1"/>
            </w14:solidFill>
          </w14:textFill>
        </w:rPr>
        <w:t>c</w:t>
      </w:r>
      <w:r>
        <w:rPr>
          <w:rFonts w:hint="eastAsia"/>
          <w:color w:val="000000" w:themeColor="text1"/>
          <w:sz w:val="20"/>
          <w:szCs w:val="20"/>
          <w14:textFill>
            <w14:solidFill>
              <w14:schemeClr w14:val="tx1"/>
            </w14:solidFill>
          </w14:textFill>
        </w:rPr>
        <w:t>表示实体</w:t>
      </w:r>
      <w:r>
        <w:rPr>
          <w:rFonts w:hint="eastAsia"/>
          <w:i/>
          <w:iCs/>
          <w:color w:val="000000" w:themeColor="text1"/>
          <w:sz w:val="20"/>
          <w:szCs w:val="20"/>
          <w14:textFill>
            <w14:solidFill>
              <w14:schemeClr w14:val="tx1"/>
            </w14:solidFill>
          </w14:textFill>
        </w:rPr>
        <w:t>e</w:t>
      </w:r>
      <w:r>
        <w:rPr>
          <w:rFonts w:hint="eastAsia"/>
          <w:color w:val="000000" w:themeColor="text1"/>
          <w:sz w:val="20"/>
          <w:szCs w:val="20"/>
          <w14:textFill>
            <w14:solidFill>
              <w14:schemeClr w14:val="tx1"/>
            </w14:solidFill>
          </w14:textFill>
        </w:rPr>
        <w:t>的局部上下文窗口，</w:t>
      </w:r>
      <w:r>
        <w:rPr>
          <w:color w:val="000000" w:themeColor="text1"/>
          <w:sz w:val="20"/>
          <w:szCs w:val="20"/>
          <w14:textFill>
            <w14:solidFill>
              <w14:schemeClr w14:val="tx1"/>
            </w14:solidFill>
          </w14:textFill>
        </w:rPr>
        <w:t>cat(e)为实体e的类别</w:t>
      </w:r>
      <w:r>
        <w:rPr>
          <w:rFonts w:hint="eastAsia"/>
          <w:color w:val="000000" w:themeColor="text1"/>
          <w:sz w:val="20"/>
          <w:szCs w:val="20"/>
          <w14:textFill>
            <w14:solidFill>
              <w14:schemeClr w14:val="tx1"/>
            </w14:solidFill>
          </w14:textFill>
        </w:rPr>
        <w:t>，仅当ConScore(e)≥</w:t>
      </w:r>
      <w:r>
        <w:rPr>
          <w:i/>
          <w:iCs/>
          <w:color w:val="000000" w:themeColor="text1"/>
          <w:sz w:val="20"/>
          <w:szCs w:val="20"/>
          <w14:textFill>
            <w14:solidFill>
              <w14:schemeClr w14:val="tx1"/>
            </w14:solidFill>
          </w14:textFill>
        </w:rPr>
        <w:t>θ</w:t>
      </w:r>
      <w:r>
        <w:rPr>
          <w:i/>
          <w:iCs/>
          <w:color w:val="000000" w:themeColor="text1"/>
          <w:sz w:val="20"/>
          <w:szCs w:val="20"/>
          <w:vertAlign w:val="subscript"/>
          <w14:textFill>
            <w14:solidFill>
              <w14:schemeClr w14:val="tx1"/>
            </w14:solidFill>
          </w14:textFill>
        </w:rPr>
        <w:t>c</w:t>
      </w:r>
      <w:r>
        <w:rPr>
          <w:rFonts w:hint="eastAsia"/>
          <w:color w:val="000000" w:themeColor="text1"/>
          <w:sz w:val="20"/>
          <w:szCs w:val="20"/>
          <w14:textFill>
            <w14:solidFill>
              <w14:schemeClr w14:val="tx1"/>
            </w14:solidFill>
          </w14:textFill>
        </w:rPr>
        <w:t>时保留候选实体（</w:t>
      </w:r>
      <w:r>
        <w:rPr>
          <w:i/>
          <w:iCs/>
          <w:color w:val="000000" w:themeColor="text1"/>
          <w:sz w:val="20"/>
          <w:szCs w:val="20"/>
          <w14:textFill>
            <w14:solidFill>
              <w14:schemeClr w14:val="tx1"/>
            </w14:solidFill>
          </w14:textFill>
        </w:rPr>
        <w:t>θ</w:t>
      </w:r>
      <w:r>
        <w:rPr>
          <w:i/>
          <w:iCs/>
          <w:color w:val="000000" w:themeColor="text1"/>
          <w:sz w:val="20"/>
          <w:szCs w:val="20"/>
          <w:vertAlign w:val="subscript"/>
          <w14:textFill>
            <w14:solidFill>
              <w14:schemeClr w14:val="tx1"/>
            </w14:solidFill>
          </w14:textFill>
        </w:rPr>
        <w:t>c</w:t>
      </w:r>
      <w:r>
        <w:rPr>
          <w:rFonts w:hint="eastAsia"/>
          <w:color w:val="000000" w:themeColor="text1"/>
          <w:sz w:val="20"/>
          <w:szCs w:val="20"/>
          <w14:textFill>
            <w14:solidFill>
              <w14:schemeClr w14:val="tx1"/>
            </w14:solidFill>
          </w14:textFill>
        </w:rPr>
        <w:t>=0.65</w:t>
      </w:r>
      <w:r>
        <w:rPr>
          <w:color w:val="000000" w:themeColor="text1"/>
          <w:sz w:val="20"/>
          <w:szCs w:val="20"/>
          <w14:textFill>
            <w14:solidFill>
              <w14:schemeClr w14:val="tx1"/>
            </w14:solidFill>
          </w14:textFill>
        </w:rPr>
        <w:t>通过在验证集上网格搜索确定，搜索范围为</w:t>
      </w:r>
      <w:r>
        <w:rPr>
          <w:rFonts w:hint="eastAsia"/>
          <w:color w:val="000000" w:themeColor="text1"/>
          <w:sz w:val="20"/>
          <w:szCs w:val="20"/>
          <w14:textFill>
            <w14:solidFill>
              <w14:schemeClr w14:val="tx1"/>
            </w14:solidFill>
          </w14:textFill>
        </w:rPr>
        <w:t>[0.5, 0.8]</w:t>
      </w:r>
      <w:r>
        <w:rPr>
          <w:color w:val="000000" w:themeColor="text1"/>
          <w:sz w:val="20"/>
          <w:szCs w:val="20"/>
          <w14:textFill>
            <w14:solidFill>
              <w14:schemeClr w14:val="tx1"/>
            </w14:solidFill>
          </w14:textFill>
        </w:rPr>
        <w:t>，步长0.05，选择使精确率与召回率平衡最优的值</w:t>
      </w:r>
      <w:r>
        <w:rPr>
          <w:rFonts w:hint="eastAsia"/>
          <w:color w:val="000000" w:themeColor="text1"/>
          <w:sz w:val="20"/>
          <w:szCs w:val="20"/>
          <w14:textFill>
            <w14:solidFill>
              <w14:schemeClr w14:val="tx1"/>
            </w14:solidFill>
          </w14:textFill>
        </w:rPr>
        <w:t>）。</w:t>
      </w:r>
    </w:p>
    <w:p w14:paraId="00FE514B">
      <w:pPr>
        <w:pStyle w:val="7"/>
        <w:spacing w:after="60" w:line="240" w:lineRule="auto"/>
        <w:ind w:firstLine="0" w:firstLineChars="0"/>
        <w:jc w:val="right"/>
        <w:rPr>
          <w:color w:val="000000" w:themeColor="text1"/>
          <w:sz w:val="20"/>
          <w:szCs w:val="20"/>
          <w14:textFill>
            <w14:solidFill>
              <w14:schemeClr w14:val="tx1"/>
            </w14:solidFill>
          </w14:textFill>
        </w:rPr>
      </w:pPr>
      <w:r>
        <w:rPr>
          <w:rFonts w:hint="eastAsia"/>
          <w:color w:val="000000" w:themeColor="text1"/>
          <w:position w:val="-28"/>
          <w:sz w:val="20"/>
          <w:szCs w:val="20"/>
          <w14:textFill>
            <w14:solidFill>
              <w14:schemeClr w14:val="tx1"/>
            </w14:solidFill>
          </w14:textFill>
        </w:rPr>
        <w:object>
          <v:shape id="_x0000_i1026" o:spt="75" type="#_x0000_t75" style="height:27pt;width:231pt;" o:ole="t" filled="f" o:preferrelative="t" stroked="f" coordsize="21600,21600">
            <v:path/>
            <v:fill on="f" focussize="0,0"/>
            <v:stroke on="f" joinstyle="miter"/>
            <v:imagedata r:id="rId11" o:title=""/>
            <o:lock v:ext="edit" aspectratio="f"/>
            <w10:wrap type="none"/>
            <w10:anchorlock/>
          </v:shape>
          <o:OLEObject Type="Embed" ProgID="Equation.DSMT4" ShapeID="_x0000_i1026" DrawAspect="Content" ObjectID="_1468075726" r:id="rId10">
            <o:LockedField>false</o:LockedField>
          </o:OLEObject>
        </w:object>
      </w:r>
      <w:r>
        <w:rPr>
          <w:rFonts w:hint="eastAsia"/>
          <w:color w:val="000000" w:themeColor="text1"/>
          <w:sz w:val="20"/>
          <w:szCs w:val="20"/>
          <w14:textFill>
            <w14:solidFill>
              <w14:schemeClr w14:val="tx1"/>
            </w14:solidFill>
          </w14:textFill>
        </w:rPr>
        <w:t xml:space="preserve">              （2）</w:t>
      </w:r>
    </w:p>
    <w:p w14:paraId="2FAE7411">
      <w:pPr>
        <w:pStyle w:val="7"/>
        <w:spacing w:after="60" w:line="240" w:lineRule="auto"/>
        <w:ind w:firstLine="400"/>
        <w:rPr>
          <w:color w:val="000000" w:themeColor="text1"/>
          <w:sz w:val="20"/>
          <w:szCs w:val="20"/>
          <w14:textFill>
            <w14:solidFill>
              <w14:schemeClr w14:val="tx1"/>
            </w14:solidFill>
          </w14:textFill>
        </w:rPr>
      </w:pPr>
      <w:r>
        <w:rPr>
          <w:rFonts w:hint="eastAsia"/>
          <w:color w:val="000000" w:themeColor="text1"/>
          <w:sz w:val="20"/>
          <w:szCs w:val="20"/>
          <w14:textFill>
            <w14:solidFill>
              <w14:schemeClr w14:val="tx1"/>
            </w14:solidFill>
          </w14:textFill>
        </w:rPr>
        <w:t>该阶段是语义剪枝操作，用于在实体合并之前因抑制词汇歧义导致的误报，从而保留高召回率的候选项。</w:t>
      </w:r>
    </w:p>
    <w:p w14:paraId="567F9EE6">
      <w:pPr>
        <w:pStyle w:val="7"/>
        <w:spacing w:after="60" w:line="240" w:lineRule="auto"/>
        <w:ind w:firstLine="402"/>
        <w:rPr>
          <w:b/>
          <w:bCs/>
          <w:color w:val="000000" w:themeColor="text1"/>
          <w:sz w:val="20"/>
          <w:szCs w:val="20"/>
          <w14:textFill>
            <w14:solidFill>
              <w14:schemeClr w14:val="tx1"/>
            </w14:solidFill>
          </w14:textFill>
        </w:rPr>
      </w:pPr>
      <w:r>
        <w:rPr>
          <w:rFonts w:hint="eastAsia"/>
          <w:b/>
          <w:bCs/>
          <w:color w:val="000000" w:themeColor="text1"/>
          <w:sz w:val="20"/>
          <w:szCs w:val="20"/>
          <w14:textFill>
            <w14:solidFill>
              <w14:schemeClr w14:val="tx1"/>
            </w14:solidFill>
          </w14:textFill>
        </w:rPr>
        <w:t>（3）语义规范化和交叉实体消解</w:t>
      </w:r>
    </w:p>
    <w:p w14:paraId="4CCF5D2D">
      <w:pPr>
        <w:pStyle w:val="7"/>
        <w:spacing w:after="60" w:line="240" w:lineRule="auto"/>
        <w:ind w:firstLine="400"/>
        <w:rPr>
          <w:color w:val="000000" w:themeColor="text1"/>
          <w:sz w:val="20"/>
          <w:szCs w:val="20"/>
          <w14:textFill>
            <w14:solidFill>
              <w14:schemeClr w14:val="tx1"/>
            </w14:solidFill>
          </w14:textFill>
        </w:rPr>
      </w:pPr>
      <w:r>
        <w:rPr>
          <w:rFonts w:hint="eastAsia"/>
          <w:color w:val="000000" w:themeColor="text1"/>
          <w:sz w:val="20"/>
          <w:szCs w:val="20"/>
          <w14:textFill>
            <w14:solidFill>
              <w14:schemeClr w14:val="tx1"/>
            </w14:solidFill>
          </w14:textFill>
        </w:rPr>
        <w:t>由于威胁情报中同一逻辑实体常以多种变体形式出现（e.g.,“APT28”, “APT-28”, “Fancy Bear”），若不进行规范化处理将导致图结构中出现严重的节点冗余与特征碎片化问题，从而影响图表示学习的稳定性与判别能力[27][</w:t>
      </w:r>
      <w:r>
        <w:rPr>
          <w:rFonts w:hint="eastAsia"/>
          <w:color w:val="000000" w:themeColor="text1"/>
          <w:sz w:val="20"/>
          <w:szCs w:val="20"/>
          <w:lang w:eastAsia="zh"/>
          <w14:textFill>
            <w14:solidFill>
              <w14:schemeClr w14:val="tx1"/>
            </w14:solidFill>
          </w14:textFill>
        </w:rPr>
        <w:t>38</w:t>
      </w:r>
      <w:r>
        <w:rPr>
          <w:rFonts w:hint="eastAsia"/>
          <w:color w:val="000000" w:themeColor="text1"/>
          <w:sz w:val="20"/>
          <w:szCs w:val="20"/>
          <w14:textFill>
            <w14:solidFill>
              <w14:schemeClr w14:val="tx1"/>
            </w14:solidFill>
          </w14:textFill>
        </w:rPr>
        <w:t>][</w:t>
      </w:r>
      <w:r>
        <w:rPr>
          <w:rFonts w:hint="eastAsia"/>
          <w:color w:val="000000" w:themeColor="text1"/>
          <w:sz w:val="20"/>
          <w:szCs w:val="20"/>
          <w:lang w:eastAsia="zh"/>
          <w14:textFill>
            <w14:solidFill>
              <w14:schemeClr w14:val="tx1"/>
            </w14:solidFill>
          </w14:textFill>
        </w:rPr>
        <w:t>39</w:t>
      </w:r>
      <w:r>
        <w:rPr>
          <w:rFonts w:hint="eastAsia"/>
          <w:color w:val="000000" w:themeColor="text1"/>
          <w:sz w:val="20"/>
          <w:szCs w:val="20"/>
          <w14:textFill>
            <w14:solidFill>
              <w14:schemeClr w14:val="tx1"/>
            </w14:solidFill>
          </w14:textFill>
        </w:rPr>
        <w:t>]。为此，本文执行跨表达形式的实体对齐，定义如公式（3）所示的联合相似度函数。其中，</w:t>
      </w:r>
      <w:r>
        <w:rPr>
          <w:rFonts w:hint="eastAsia"/>
          <w:i/>
          <w:iCs/>
          <w:color w:val="000000" w:themeColor="text1"/>
          <w:sz w:val="20"/>
          <w:szCs w:val="20"/>
          <w14:textFill>
            <w14:solidFill>
              <w14:schemeClr w14:val="tx1"/>
            </w14:solidFill>
          </w14:textFill>
        </w:rPr>
        <w:t>EditDis</w:t>
      </w:r>
      <w:r>
        <w:rPr>
          <w:color w:val="000000" w:themeColor="text1"/>
          <w:sz w:val="20"/>
          <w:szCs w:val="20"/>
          <w14:textFill>
            <w14:solidFill>
              <w14:schemeClr w14:val="tx1"/>
            </w14:solidFill>
          </w14:textFill>
        </w:rPr>
        <w:t>为标准</w:t>
      </w:r>
      <w:r>
        <w:rPr>
          <w:rFonts w:hint="eastAsia"/>
          <w:color w:val="000000" w:themeColor="text1"/>
          <w:sz w:val="20"/>
          <w:szCs w:val="20"/>
          <w14:textFill>
            <w14:solidFill>
              <w14:schemeClr w14:val="tx1"/>
            </w14:solidFill>
          </w14:textFill>
        </w:rPr>
        <w:t>Levenshtein</w:t>
      </w:r>
      <w:r>
        <w:rPr>
          <w:color w:val="000000" w:themeColor="text1"/>
          <w:sz w:val="20"/>
          <w:szCs w:val="20"/>
          <w14:textFill>
            <w14:solidFill>
              <w14:schemeClr w14:val="tx1"/>
            </w14:solidFill>
          </w14:textFill>
        </w:rPr>
        <w:t>距离，</w:t>
      </w:r>
      <w:r>
        <w:rPr>
          <w:rFonts w:hint="eastAsia"/>
          <w:color w:val="000000" w:themeColor="text1"/>
          <w:sz w:val="20"/>
          <w:szCs w:val="20"/>
          <w14:textFill>
            <w14:solidFill>
              <w14:schemeClr w14:val="tx1"/>
            </w14:solidFill>
          </w14:textFill>
        </w:rPr>
        <w:t>用于建模拼写变体与格式差异，Cos(</w:t>
      </w:r>
      <m:oMath>
        <m:sSub>
          <m:sSubPr>
            <m:ctrlPr>
              <w:rPr>
                <w:rFonts w:ascii="Cambria Math" w:hAnsi="Cambria Math"/>
                <w:i/>
                <w:color w:val="000000" w:themeColor="text1"/>
                <w:sz w:val="20"/>
                <w:szCs w:val="20"/>
                <w14:textFill>
                  <w14:solidFill>
                    <w14:schemeClr w14:val="tx1"/>
                  </w14:solidFill>
                </w14:textFill>
              </w:rPr>
            </m:ctrlPr>
          </m:sSubPr>
          <m:e>
            <m:r>
              <m:rPr/>
              <w:rPr>
                <w:rFonts w:ascii="Cambria Math" w:hAnsi="Cambria Math"/>
                <w:color w:val="000000" w:themeColor="text1"/>
                <w:sz w:val="20"/>
                <w:szCs w:val="20"/>
                <w14:textFill>
                  <w14:solidFill>
                    <w14:schemeClr w14:val="tx1"/>
                  </w14:solidFill>
                </w14:textFill>
              </w:rPr>
              <m:t>h</m:t>
            </m:r>
            <m:ctrlPr>
              <w:rPr>
                <w:rFonts w:ascii="Cambria Math" w:hAnsi="Cambria Math"/>
                <w:i/>
                <w:color w:val="000000" w:themeColor="text1"/>
                <w:sz w:val="20"/>
                <w:szCs w:val="20"/>
                <w14:textFill>
                  <w14:solidFill>
                    <w14:schemeClr w14:val="tx1"/>
                  </w14:solidFill>
                </w14:textFill>
              </w:rPr>
            </m:ctrlPr>
          </m:e>
          <m:sub>
            <m:sSub>
              <m:sSubPr>
                <m:ctrlPr>
                  <w:rPr>
                    <w:rFonts w:ascii="Cambria Math" w:hAnsi="Cambria Math"/>
                    <w:i/>
                    <w:color w:val="000000" w:themeColor="text1"/>
                    <w:sz w:val="20"/>
                    <w:szCs w:val="20"/>
                    <w14:textFill>
                      <w14:solidFill>
                        <w14:schemeClr w14:val="tx1"/>
                      </w14:solidFill>
                    </w14:textFill>
                  </w:rPr>
                </m:ctrlPr>
              </m:sSubPr>
              <m:e>
                <m:r>
                  <m:rPr/>
                  <w:rPr>
                    <w:rFonts w:ascii="Cambria Math" w:hAnsi="Cambria Math"/>
                    <w:color w:val="000000" w:themeColor="text1"/>
                    <w:sz w:val="20"/>
                    <w:szCs w:val="20"/>
                    <w14:textFill>
                      <w14:solidFill>
                        <w14:schemeClr w14:val="tx1"/>
                      </w14:solidFill>
                    </w14:textFill>
                  </w:rPr>
                  <m:t>e</m:t>
                </m:r>
                <m:ctrlPr>
                  <w:rPr>
                    <w:rFonts w:ascii="Cambria Math" w:hAnsi="Cambria Math"/>
                    <w:i/>
                    <w:color w:val="000000" w:themeColor="text1"/>
                    <w:sz w:val="20"/>
                    <w:szCs w:val="20"/>
                    <w14:textFill>
                      <w14:solidFill>
                        <w14:schemeClr w14:val="tx1"/>
                      </w14:solidFill>
                    </w14:textFill>
                  </w:rPr>
                </m:ctrlPr>
              </m:e>
              <m:sub>
                <m:r>
                  <m:rPr/>
                  <w:rPr>
                    <w:rFonts w:ascii="Cambria Math" w:hAnsi="Cambria Math"/>
                    <w:color w:val="000000" w:themeColor="text1"/>
                    <w:sz w:val="20"/>
                    <w:szCs w:val="20"/>
                    <w14:textFill>
                      <w14:solidFill>
                        <w14:schemeClr w14:val="tx1"/>
                      </w14:solidFill>
                    </w14:textFill>
                  </w:rPr>
                  <m:t>i</m:t>
                </m:r>
                <m:ctrlPr>
                  <w:rPr>
                    <w:rFonts w:ascii="Cambria Math" w:hAnsi="Cambria Math"/>
                    <w:i/>
                    <w:color w:val="000000" w:themeColor="text1"/>
                    <w:sz w:val="20"/>
                    <w:szCs w:val="20"/>
                    <w14:textFill>
                      <w14:solidFill>
                        <w14:schemeClr w14:val="tx1"/>
                      </w14:solidFill>
                    </w14:textFill>
                  </w:rPr>
                </m:ctrlPr>
              </m:sub>
            </m:sSub>
            <m:ctrlPr>
              <w:rPr>
                <w:rFonts w:ascii="Cambria Math" w:hAnsi="Cambria Math"/>
                <w:i/>
                <w:color w:val="000000" w:themeColor="text1"/>
                <w:sz w:val="20"/>
                <w:szCs w:val="20"/>
                <w14:textFill>
                  <w14:solidFill>
                    <w14:schemeClr w14:val="tx1"/>
                  </w14:solidFill>
                </w14:textFill>
              </w:rPr>
            </m:ctrlPr>
          </m:sub>
        </m:sSub>
        <m:r>
          <m:rPr>
            <m:sty m:val="p"/>
          </m:rPr>
          <w:rPr>
            <w:rFonts w:ascii="Cambria Math" w:hAnsi="Cambria Math"/>
            <w:color w:val="000000" w:themeColor="text1"/>
            <w:sz w:val="20"/>
            <w:szCs w:val="20"/>
            <w14:textFill>
              <w14:solidFill>
                <w14:schemeClr w14:val="tx1"/>
              </w14:solidFill>
            </w14:textFill>
          </w:rPr>
          <m:t>,</m:t>
        </m:r>
        <m:sSub>
          <m:sSubPr>
            <m:ctrlPr>
              <w:rPr>
                <w:rFonts w:ascii="Cambria Math" w:hAnsi="Cambria Math"/>
                <w:i/>
                <w:color w:val="000000" w:themeColor="text1"/>
                <w:sz w:val="20"/>
                <w:szCs w:val="20"/>
                <w14:textFill>
                  <w14:solidFill>
                    <w14:schemeClr w14:val="tx1"/>
                  </w14:solidFill>
                </w14:textFill>
              </w:rPr>
            </m:ctrlPr>
          </m:sSubPr>
          <m:e>
            <m:r>
              <m:rPr/>
              <w:rPr>
                <w:rFonts w:ascii="Cambria Math" w:hAnsi="Cambria Math"/>
                <w:color w:val="000000" w:themeColor="text1"/>
                <w:sz w:val="20"/>
                <w:szCs w:val="20"/>
                <w14:textFill>
                  <w14:solidFill>
                    <w14:schemeClr w14:val="tx1"/>
                  </w14:solidFill>
                </w14:textFill>
              </w:rPr>
              <m:t>h</m:t>
            </m:r>
            <m:ctrlPr>
              <w:rPr>
                <w:rFonts w:ascii="Cambria Math" w:hAnsi="Cambria Math"/>
                <w:color w:val="000000" w:themeColor="text1"/>
                <w:sz w:val="20"/>
                <w:szCs w:val="20"/>
                <w14:textFill>
                  <w14:solidFill>
                    <w14:schemeClr w14:val="tx1"/>
                  </w14:solidFill>
                </w14:textFill>
              </w:rPr>
            </m:ctrlPr>
          </m:e>
          <m:sub>
            <m:sSub>
              <m:sSubPr>
                <m:ctrlPr>
                  <w:rPr>
                    <w:rFonts w:ascii="Cambria Math" w:hAnsi="Cambria Math"/>
                    <w:i/>
                    <w:color w:val="000000" w:themeColor="text1"/>
                    <w:sz w:val="20"/>
                    <w:szCs w:val="20"/>
                    <w14:textFill>
                      <w14:solidFill>
                        <w14:schemeClr w14:val="tx1"/>
                      </w14:solidFill>
                    </w14:textFill>
                  </w:rPr>
                </m:ctrlPr>
              </m:sSubPr>
              <m:e>
                <m:r>
                  <m:rPr/>
                  <w:rPr>
                    <w:rFonts w:ascii="Cambria Math" w:hAnsi="Cambria Math"/>
                    <w:color w:val="000000" w:themeColor="text1"/>
                    <w:sz w:val="20"/>
                    <w:szCs w:val="20"/>
                    <w14:textFill>
                      <w14:solidFill>
                        <w14:schemeClr w14:val="tx1"/>
                      </w14:solidFill>
                    </w14:textFill>
                  </w:rPr>
                  <m:t>e</m:t>
                </m:r>
                <m:ctrlPr>
                  <w:rPr>
                    <w:rFonts w:ascii="Cambria Math" w:hAnsi="Cambria Math"/>
                    <w:i/>
                    <w:color w:val="000000" w:themeColor="text1"/>
                    <w:sz w:val="20"/>
                    <w:szCs w:val="20"/>
                    <w14:textFill>
                      <w14:solidFill>
                        <w14:schemeClr w14:val="tx1"/>
                      </w14:solidFill>
                    </w14:textFill>
                  </w:rPr>
                </m:ctrlPr>
              </m:e>
              <m:sub>
                <m:r>
                  <m:rPr/>
                  <w:rPr>
                    <w:rFonts w:ascii="Cambria Math" w:hAnsi="Cambria Math"/>
                    <w:color w:val="000000" w:themeColor="text1"/>
                    <w:sz w:val="20"/>
                    <w:szCs w:val="20"/>
                    <w14:textFill>
                      <w14:solidFill>
                        <w14:schemeClr w14:val="tx1"/>
                      </w14:solidFill>
                    </w14:textFill>
                  </w:rPr>
                  <m:t>j</m:t>
                </m:r>
                <m:ctrlPr>
                  <w:rPr>
                    <w:rFonts w:ascii="Cambria Math" w:hAnsi="Cambria Math"/>
                    <w:i/>
                    <w:color w:val="000000" w:themeColor="text1"/>
                    <w:sz w:val="20"/>
                    <w:szCs w:val="20"/>
                    <w14:textFill>
                      <w14:solidFill>
                        <w14:schemeClr w14:val="tx1"/>
                      </w14:solidFill>
                    </w14:textFill>
                  </w:rPr>
                </m:ctrlPr>
              </m:sub>
            </m:sSub>
            <m:ctrlPr>
              <w:rPr>
                <w:rFonts w:ascii="Cambria Math" w:hAnsi="Cambria Math"/>
                <w:i/>
                <w:color w:val="000000" w:themeColor="text1"/>
                <w:sz w:val="20"/>
                <w:szCs w:val="20"/>
                <w14:textFill>
                  <w14:solidFill>
                    <w14:schemeClr w14:val="tx1"/>
                  </w14:solidFill>
                </w14:textFill>
              </w:rPr>
            </m:ctrlPr>
          </m:sub>
        </m:sSub>
      </m:oMath>
      <w:r>
        <w:rPr>
          <w:rFonts w:hint="eastAsia"/>
          <w:color w:val="000000" w:themeColor="text1"/>
          <w:sz w:val="20"/>
          <w:szCs w:val="20"/>
          <w14:textFill>
            <w14:solidFill>
              <w14:schemeClr w14:val="tx1"/>
            </w14:solidFill>
          </w14:textFill>
        </w:rPr>
        <w:t>)</w:t>
      </w:r>
      <w:r>
        <w:rPr>
          <w:color w:val="000000" w:themeColor="text1"/>
          <w:sz w:val="20"/>
          <w:szCs w:val="20"/>
          <w14:textFill>
            <w14:solidFill>
              <w14:schemeClr w14:val="tx1"/>
            </w14:solidFill>
          </w14:textFill>
        </w:rPr>
        <w:t>为BERT余弦相似度，</w:t>
      </w:r>
      <w:r>
        <w:rPr>
          <w:rFonts w:hint="eastAsia"/>
          <w:color w:val="000000" w:themeColor="text1"/>
          <w:sz w:val="20"/>
          <w:szCs w:val="20"/>
          <w14:textFill>
            <w14:solidFill>
              <w14:schemeClr w14:val="tx1"/>
            </w14:solidFill>
          </w14:textFill>
        </w:rPr>
        <w:t>用于建模语义别名关系，</w:t>
      </w:r>
      <w:r>
        <w:rPr>
          <w:i/>
          <w:iCs/>
          <w:color w:val="000000" w:themeColor="text1"/>
          <w:sz w:val="20"/>
          <w:szCs w:val="20"/>
          <w14:textFill>
            <w14:solidFill>
              <w14:schemeClr w14:val="tx1"/>
            </w14:solidFill>
          </w14:textFill>
        </w:rPr>
        <w:t>α</w:t>
      </w:r>
      <w:r>
        <w:rPr>
          <w:rFonts w:hint="eastAsia"/>
          <w:color w:val="000000" w:themeColor="text1"/>
          <w:sz w:val="20"/>
          <w:szCs w:val="20"/>
          <w14:textFill>
            <w14:solidFill>
              <w14:schemeClr w14:val="tx1"/>
            </w14:solidFill>
          </w14:textFill>
        </w:rPr>
        <w:t>和</w:t>
      </w:r>
      <w:r>
        <w:rPr>
          <w:i/>
          <w:iCs/>
          <w:color w:val="000000" w:themeColor="text1"/>
          <w:sz w:val="20"/>
          <w:szCs w:val="20"/>
          <w14:textFill>
            <w14:solidFill>
              <w14:schemeClr w14:val="tx1"/>
            </w14:solidFill>
          </w14:textFill>
        </w:rPr>
        <w:t>β</w:t>
      </w:r>
      <w:r>
        <w:rPr>
          <w:rFonts w:hint="eastAsia"/>
          <w:color w:val="000000" w:themeColor="text1"/>
          <w:sz w:val="20"/>
          <w:szCs w:val="20"/>
          <w14:textFill>
            <w14:solidFill>
              <w14:schemeClr w14:val="tx1"/>
            </w14:solidFill>
          </w14:textFill>
        </w:rPr>
        <w:t>为权重</w:t>
      </w:r>
      <w:r>
        <w:rPr>
          <w:color w:val="000000" w:themeColor="text1"/>
          <w:sz w:val="20"/>
          <w:szCs w:val="20"/>
          <w14:textFill>
            <w14:solidFill>
              <w14:schemeClr w14:val="tx1"/>
            </w14:solidFill>
          </w14:textFill>
        </w:rPr>
        <w:t>。</w:t>
      </w:r>
      <w:r>
        <w:rPr>
          <w:rFonts w:hint="eastAsia"/>
          <w:color w:val="000000" w:themeColor="text1"/>
          <w:sz w:val="20"/>
          <w:szCs w:val="20"/>
          <w14:textFill>
            <w14:solidFill>
              <w14:schemeClr w14:val="tx1"/>
            </w14:solidFill>
          </w14:textFill>
        </w:rPr>
        <w:t>当</w:t>
      </w:r>
      <w:r>
        <w:rPr>
          <w:rFonts w:hint="eastAsia"/>
          <w:i/>
          <w:iCs/>
          <w:color w:val="000000" w:themeColor="text1"/>
          <w:sz w:val="20"/>
          <w:szCs w:val="20"/>
          <w14:textFill>
            <w14:solidFill>
              <w14:schemeClr w14:val="tx1"/>
            </w14:solidFill>
          </w14:textFill>
        </w:rPr>
        <w:t>Sim</w:t>
      </w:r>
      <w:r>
        <w:rPr>
          <w:rFonts w:hint="eastAsia"/>
          <w:color w:val="000000" w:themeColor="text1"/>
          <w:sz w:val="20"/>
          <w:szCs w:val="20"/>
          <w14:textFill>
            <w14:solidFill>
              <w14:schemeClr w14:val="tx1"/>
            </w14:solidFill>
          </w14:textFill>
        </w:rPr>
        <w:t>(</w:t>
      </w:r>
      <w:r>
        <w:rPr>
          <w:rFonts w:hint="eastAsia"/>
          <w:i/>
          <w:iCs/>
          <w:color w:val="000000" w:themeColor="text1"/>
          <w:sz w:val="20"/>
          <w:szCs w:val="20"/>
          <w14:textFill>
            <w14:solidFill>
              <w14:schemeClr w14:val="tx1"/>
            </w14:solidFill>
          </w14:textFill>
        </w:rPr>
        <w:t>e</w:t>
      </w:r>
      <w:r>
        <w:rPr>
          <w:rFonts w:hint="eastAsia"/>
          <w:i/>
          <w:iCs/>
          <w:color w:val="000000" w:themeColor="text1"/>
          <w:sz w:val="20"/>
          <w:szCs w:val="20"/>
          <w:vertAlign w:val="subscript"/>
          <w14:textFill>
            <w14:solidFill>
              <w14:schemeClr w14:val="tx1"/>
            </w14:solidFill>
          </w14:textFill>
        </w:rPr>
        <w:t>i</w:t>
      </w:r>
      <w:r>
        <w:rPr>
          <w:rFonts w:hint="eastAsia"/>
          <w:color w:val="000000" w:themeColor="text1"/>
          <w:sz w:val="20"/>
          <w:szCs w:val="20"/>
          <w14:textFill>
            <w14:solidFill>
              <w14:schemeClr w14:val="tx1"/>
            </w14:solidFill>
          </w14:textFill>
        </w:rPr>
        <w:t xml:space="preserve">, </w:t>
      </w:r>
      <w:r>
        <w:rPr>
          <w:rFonts w:hint="eastAsia"/>
          <w:i/>
          <w:iCs/>
          <w:color w:val="000000" w:themeColor="text1"/>
          <w:sz w:val="20"/>
          <w:szCs w:val="20"/>
          <w14:textFill>
            <w14:solidFill>
              <w14:schemeClr w14:val="tx1"/>
            </w14:solidFill>
          </w14:textFill>
        </w:rPr>
        <w:t>e</w:t>
      </w:r>
      <w:r>
        <w:rPr>
          <w:rFonts w:hint="eastAsia"/>
          <w:i/>
          <w:iCs/>
          <w:color w:val="000000" w:themeColor="text1"/>
          <w:sz w:val="20"/>
          <w:szCs w:val="20"/>
          <w:vertAlign w:val="subscript"/>
          <w14:textFill>
            <w14:solidFill>
              <w14:schemeClr w14:val="tx1"/>
            </w14:solidFill>
          </w14:textFill>
        </w:rPr>
        <w:t>j</w:t>
      </w:r>
      <w:r>
        <w:rPr>
          <w:rFonts w:hint="eastAsia"/>
          <w:color w:val="000000" w:themeColor="text1"/>
          <w:sz w:val="20"/>
          <w:szCs w:val="20"/>
          <w14:textFill>
            <w14:solidFill>
              <w14:schemeClr w14:val="tx1"/>
            </w14:solidFill>
          </w14:textFill>
        </w:rPr>
        <w:t>)≥</w:t>
      </w:r>
      <w:r>
        <w:rPr>
          <w:i/>
          <w:iCs/>
          <w:color w:val="000000" w:themeColor="text1"/>
          <w:sz w:val="20"/>
          <w:szCs w:val="20"/>
          <w14:textFill>
            <w14:solidFill>
              <w14:schemeClr w14:val="tx1"/>
            </w14:solidFill>
          </w14:textFill>
        </w:rPr>
        <w:t>θ</w:t>
      </w:r>
      <w:r>
        <w:rPr>
          <w:rFonts w:hint="eastAsia"/>
          <w:i/>
          <w:iCs/>
          <w:color w:val="000000" w:themeColor="text1"/>
          <w:sz w:val="20"/>
          <w:szCs w:val="20"/>
          <w:vertAlign w:val="subscript"/>
          <w14:textFill>
            <w14:solidFill>
              <w14:schemeClr w14:val="tx1"/>
            </w14:solidFill>
          </w14:textFill>
        </w:rPr>
        <w:t>merge</w:t>
      </w:r>
      <w:r>
        <w:rPr>
          <w:rFonts w:hint="eastAsia"/>
          <w:color w:val="000000" w:themeColor="text1"/>
          <w:sz w:val="20"/>
          <w:szCs w:val="20"/>
          <w14:textFill>
            <w14:solidFill>
              <w14:schemeClr w14:val="tx1"/>
            </w14:solidFill>
          </w14:textFill>
        </w:rPr>
        <w:t>时执行实体合并。</w:t>
      </w:r>
    </w:p>
    <w:p w14:paraId="6EF5DB2D">
      <w:pPr>
        <w:pStyle w:val="7"/>
        <w:spacing w:line="240" w:lineRule="auto"/>
        <w:ind w:firstLine="0" w:firstLineChars="0"/>
        <w:jc w:val="right"/>
        <w:rPr>
          <w:strike/>
          <w:color w:val="000000" w:themeColor="text1"/>
          <w:sz w:val="20"/>
          <w:szCs w:val="20"/>
          <w14:textFill>
            <w14:solidFill>
              <w14:schemeClr w14:val="tx1"/>
            </w14:solidFill>
          </w14:textFill>
        </w:rPr>
      </w:pPr>
      <w:r>
        <w:rPr>
          <w:rFonts w:hint="eastAsia"/>
          <w:color w:val="000000" w:themeColor="text1"/>
          <w:position w:val="-16"/>
          <w:sz w:val="20"/>
          <w:szCs w:val="20"/>
          <w14:textFill>
            <w14:solidFill>
              <w14:schemeClr w14:val="tx1"/>
            </w14:solidFill>
          </w14:textFill>
        </w:rPr>
        <w:object>
          <v:shape id="_x0000_i1027" o:spt="75" type="#_x0000_t75" style="height:20pt;width:226pt;" o:ole="t" filled="f" o:preferrelative="t" stroked="f" coordsize="21600,21600">
            <v:path/>
            <v:fill on="f" focussize="0,0"/>
            <v:stroke on="f" joinstyle="miter"/>
            <v:imagedata r:id="rId13" o:title=""/>
            <o:lock v:ext="edit" aspectratio="f"/>
            <w10:wrap type="none"/>
            <w10:anchorlock/>
          </v:shape>
          <o:OLEObject Type="Embed" ProgID="Equation.DSMT4" ShapeID="_x0000_i1027" DrawAspect="Content" ObjectID="_1468075727" r:id="rId12">
            <o:LockedField>false</o:LockedField>
          </o:OLEObject>
        </w:object>
      </w:r>
      <w:r>
        <w:rPr>
          <w:rFonts w:hint="eastAsia"/>
          <w:color w:val="000000" w:themeColor="text1"/>
          <w:position w:val="-12"/>
          <w:sz w:val="20"/>
          <w:szCs w:val="20"/>
          <w14:textFill>
            <w14:solidFill>
              <w14:schemeClr w14:val="tx1"/>
            </w14:solidFill>
          </w14:textFill>
        </w:rPr>
        <w:t xml:space="preserve">           </w:t>
      </w:r>
      <w:r>
        <w:rPr>
          <w:rFonts w:hint="eastAsia"/>
          <w:color w:val="000000" w:themeColor="text1"/>
          <w:sz w:val="20"/>
          <w:szCs w:val="20"/>
          <w14:textFill>
            <w14:solidFill>
              <w14:schemeClr w14:val="tx1"/>
            </w14:solidFill>
          </w14:textFill>
        </w:rPr>
        <w:t>（3）</w:t>
      </w:r>
    </w:p>
    <w:p w14:paraId="7B61996B">
      <w:pPr>
        <w:pStyle w:val="7"/>
        <w:spacing w:after="60" w:line="240" w:lineRule="auto"/>
        <w:ind w:firstLine="400"/>
        <w:rPr>
          <w:color w:val="000000" w:themeColor="text1"/>
          <w:sz w:val="20"/>
          <w:szCs w:val="20"/>
          <w14:textFill>
            <w14:solidFill>
              <w14:schemeClr w14:val="tx1"/>
            </w14:solidFill>
          </w14:textFill>
        </w:rPr>
      </w:pPr>
      <w:r>
        <w:rPr>
          <w:rFonts w:hint="eastAsia"/>
          <w:color w:val="000000" w:themeColor="text1"/>
          <w:sz w:val="20"/>
          <w:szCs w:val="20"/>
          <w14:textFill>
            <w14:solidFill>
              <w14:schemeClr w14:val="tx1"/>
            </w14:solidFill>
          </w14:textFill>
        </w:rPr>
        <w:t>整体框架遵循严格的三层递进范式，其中早期确定性减少了不可逆的误报、上下文过滤缓解了词汇歧义、语义规范化确保了图级一致性，该级联结构本实现了用于下游图推理的有界误差实体构建管道。</w:t>
      </w:r>
    </w:p>
    <w:p w14:paraId="7BDA05AF">
      <w:pPr>
        <w:pStyle w:val="4"/>
        <w:keepNext/>
        <w:spacing w:before="360" w:beforeLines="0" w:after="120" w:afterLines="0"/>
        <w:jc w:val="both"/>
        <w:rPr>
          <w:sz w:val="21"/>
          <w:szCs w:val="21"/>
          <w:lang w:eastAsia="zh"/>
        </w:rPr>
      </w:pPr>
      <w:bookmarkStart w:id="4" w:name="_Toc30267"/>
      <w:r>
        <w:rPr>
          <w:rFonts w:hint="eastAsia"/>
          <w:sz w:val="21"/>
          <w:szCs w:val="21"/>
          <w:lang w:eastAsia="zh"/>
        </w:rPr>
        <w:t xml:space="preserve">3.1.3 </w:t>
      </w:r>
      <w:bookmarkEnd w:id="4"/>
      <w:r>
        <w:rPr>
          <w:rFonts w:hint="eastAsia"/>
          <w:sz w:val="21"/>
          <w:szCs w:val="21"/>
          <w:lang w:eastAsia="zh"/>
        </w:rPr>
        <w:t>多粒度节点特征表示与融合</w:t>
      </w:r>
    </w:p>
    <w:p w14:paraId="20BF6497">
      <w:pPr>
        <w:pStyle w:val="7"/>
        <w:spacing w:after="60" w:line="240" w:lineRule="auto"/>
        <w:ind w:firstLine="400"/>
        <w:rPr>
          <w:color w:val="000000" w:themeColor="text1"/>
          <w:sz w:val="20"/>
          <w:szCs w:val="20"/>
          <w14:textFill>
            <w14:solidFill>
              <w14:schemeClr w14:val="tx1"/>
            </w14:solidFill>
          </w14:textFill>
        </w:rPr>
      </w:pPr>
      <w:r>
        <w:rPr>
          <w:rFonts w:hint="eastAsia"/>
          <w:color w:val="000000" w:themeColor="text1"/>
          <w:sz w:val="20"/>
          <w:szCs w:val="20"/>
          <w14:textFill>
            <w14:solidFill>
              <w14:schemeClr w14:val="tx1"/>
            </w14:solidFill>
          </w14:textFill>
        </w:rPr>
        <w:t>为充分刻画威胁情报中实体的异质性与跨粒度语义结构，本文构建由五类互补特征组成的节点表示向量。不同于基于单一语义嵌入或简单统计特征的方法，该设计显式建模结构信息、语义信息与开放世界不确定性之间的解耦关系。</w:t>
      </w:r>
    </w:p>
    <w:p w14:paraId="054F951D">
      <w:pPr>
        <w:pStyle w:val="7"/>
        <w:spacing w:after="60" w:line="240" w:lineRule="auto"/>
        <w:ind w:firstLine="400"/>
        <w:rPr>
          <w:color w:val="000000" w:themeColor="text1"/>
          <w:sz w:val="20"/>
          <w:szCs w:val="20"/>
          <w14:textFill>
            <w14:solidFill>
              <w14:schemeClr w14:val="tx1"/>
            </w14:solidFill>
          </w14:textFill>
        </w:rPr>
      </w:pPr>
      <w:r>
        <w:rPr>
          <w:rFonts w:hint="eastAsia"/>
          <w:color w:val="000000" w:themeColor="text1"/>
          <w:sz w:val="20"/>
          <w:szCs w:val="20"/>
          <w14:textFill>
            <w14:solidFill>
              <w14:schemeClr w14:val="tx1"/>
            </w14:solidFill>
          </w14:textFill>
        </w:rPr>
        <w:t>考虑到不同模态在尺度与信息密度上的差异，本文采用特征级拼接而非加权融合，以避免低维结构特征在高维语义嵌入主导下被系统性淹没。节点表示定义如公式（4）所示，该设计遵循“模态保持表示原则”：在进入图神经网络前不引入强耦合融合约束，从而将特征交互学习延迟至可学习的GNN层进行建模。</w:t>
      </w:r>
    </w:p>
    <w:p w14:paraId="125CC679">
      <w:pPr>
        <w:pStyle w:val="7"/>
        <w:spacing w:after="60" w:line="240" w:lineRule="auto"/>
        <w:ind w:firstLine="0" w:firstLineChars="0"/>
        <w:jc w:val="right"/>
        <w:rPr>
          <w:color w:val="000000" w:themeColor="text1"/>
          <w:sz w:val="20"/>
          <w:szCs w:val="20"/>
          <w:highlight w:val="yellow"/>
          <w14:textFill>
            <w14:solidFill>
              <w14:schemeClr w14:val="tx1"/>
            </w14:solidFill>
          </w14:textFill>
        </w:rPr>
      </w:pPr>
      <w:r>
        <w:rPr>
          <w:rFonts w:hint="eastAsia"/>
          <w:color w:val="0000FF"/>
          <w:position w:val="-22"/>
          <w:sz w:val="20"/>
          <w:szCs w:val="20"/>
        </w:rPr>
        <w:object>
          <v:shape id="_x0000_i1028" o:spt="75" type="#_x0000_t75" style="height:28pt;width:137pt;" o:ole="t" filled="f" o:preferrelative="t" stroked="f" coordsize="21600,21600">
            <v:path/>
            <v:fill on="f" focussize="0,0"/>
            <v:stroke on="f" joinstyle="miter"/>
            <v:imagedata r:id="rId15" o:title=""/>
            <o:lock v:ext="edit" aspectratio="f"/>
            <w10:wrap type="none"/>
            <w10:anchorlock/>
          </v:shape>
          <o:OLEObject Type="Embed" ProgID="Equation.DSMT4" ShapeID="_x0000_i1028" DrawAspect="Content" ObjectID="_1468075728" r:id="rId14">
            <o:LockedField>false</o:LockedField>
          </o:OLEObject>
        </w:object>
      </w:r>
      <w:r>
        <w:rPr>
          <w:rFonts w:hint="eastAsia"/>
          <w:color w:val="000000" w:themeColor="text1"/>
          <w:sz w:val="20"/>
          <w:szCs w:val="20"/>
          <w14:textFill>
            <w14:solidFill>
              <w14:schemeClr w14:val="tx1"/>
            </w14:solidFill>
          </w14:textFill>
        </w:rPr>
        <w:t xml:space="preserve">                  （4）</w:t>
      </w:r>
    </w:p>
    <w:p w14:paraId="2137D5D9">
      <w:pPr>
        <w:pStyle w:val="7"/>
        <w:spacing w:after="60" w:line="240" w:lineRule="auto"/>
        <w:ind w:firstLine="400"/>
        <w:rPr>
          <w:color w:val="000000" w:themeColor="text1"/>
          <w:sz w:val="20"/>
          <w:szCs w:val="20"/>
          <w14:textFill>
            <w14:solidFill>
              <w14:schemeClr w14:val="tx1"/>
            </w14:solidFill>
          </w14:textFill>
        </w:rPr>
      </w:pPr>
      <w:r>
        <w:rPr>
          <w:rFonts w:hint="eastAsia"/>
          <w:color w:val="000000" w:themeColor="text1"/>
          <w:sz w:val="20"/>
          <w:szCs w:val="20"/>
          <w14:textFill>
            <w14:solidFill>
              <w14:schemeClr w14:val="tx1"/>
            </w14:solidFill>
          </w14:textFill>
        </w:rPr>
        <w:t>（1）</w:t>
      </w:r>
      <w:r>
        <w:rPr>
          <w:color w:val="000000" w:themeColor="text1"/>
          <w:sz w:val="20"/>
          <w:szCs w:val="20"/>
          <w14:textFill>
            <w14:solidFill>
              <w14:schemeClr w14:val="tx1"/>
            </w14:solidFill>
          </w14:textFill>
        </w:rPr>
        <w:t>独热编码实体</w:t>
      </w:r>
      <w:r>
        <w:rPr>
          <w:rFonts w:hint="eastAsia"/>
          <w:color w:val="000000" w:themeColor="text1"/>
          <w:sz w:val="20"/>
          <w:szCs w:val="20"/>
          <w14:textFill>
            <w14:solidFill>
              <w14:schemeClr w14:val="tx1"/>
            </w14:solidFill>
          </w14:textFill>
        </w:rPr>
        <w:t>特征</w:t>
      </w:r>
      <w:r>
        <w:rPr>
          <w:rFonts w:hint="eastAsia"/>
          <w:i/>
          <w:iCs/>
          <w:color w:val="000000" w:themeColor="text1"/>
          <w:sz w:val="20"/>
          <w:szCs w:val="20"/>
          <w14:textFill>
            <w14:solidFill>
              <w14:schemeClr w14:val="tx1"/>
            </w14:solidFill>
          </w14:textFill>
        </w:rPr>
        <w:t>t</w:t>
      </w:r>
      <w:r>
        <w:rPr>
          <w:rFonts w:hint="eastAsia"/>
          <w:i/>
          <w:iCs/>
          <w:color w:val="000000" w:themeColor="text1"/>
          <w:sz w:val="20"/>
          <w:szCs w:val="20"/>
          <w:vertAlign w:val="subscript"/>
          <w14:textFill>
            <w14:solidFill>
              <w14:schemeClr w14:val="tx1"/>
            </w14:solidFill>
          </w14:textFill>
        </w:rPr>
        <w:t>i</w:t>
      </w:r>
      <w:r>
        <w:rPr>
          <w:rFonts w:hint="eastAsia"/>
          <w:color w:val="000000" w:themeColor="text1"/>
          <w:sz w:val="20"/>
          <w:szCs w:val="20"/>
          <w14:textFill>
            <w14:solidFill>
              <w14:schemeClr w14:val="tx1"/>
            </w14:solidFill>
          </w14:textFill>
        </w:rPr>
        <w:t>∈</w:t>
      </w:r>
      <w:r>
        <w:rPr>
          <w:color w:val="000000" w:themeColor="text1"/>
          <w:sz w:val="20"/>
          <w:szCs w:val="20"/>
          <w14:textFill>
            <w14:solidFill>
              <w14:schemeClr w14:val="tx1"/>
            </w14:solidFill>
          </w14:textFill>
        </w:rPr>
        <w:t>ℝ</w:t>
      </w:r>
      <w:r>
        <w:rPr>
          <w:color w:val="000000" w:themeColor="text1"/>
          <w:sz w:val="20"/>
          <w:szCs w:val="20"/>
          <w:vertAlign w:val="superscript"/>
          <w14:textFill>
            <w14:solidFill>
              <w14:schemeClr w14:val="tx1"/>
            </w14:solidFill>
          </w14:textFill>
        </w:rPr>
        <w:t>29</w:t>
      </w:r>
      <w:r>
        <w:rPr>
          <w:rFonts w:hint="eastAsia"/>
          <w:color w:val="000000" w:themeColor="text1"/>
          <w:sz w:val="20"/>
          <w:szCs w:val="20"/>
          <w14:textFill>
            <w14:solidFill>
              <w14:schemeClr w14:val="tx1"/>
            </w14:solidFill>
          </w14:textFill>
        </w:rPr>
        <w:t>：</w:t>
      </w:r>
      <w:r>
        <w:rPr>
          <w:color w:val="000000" w:themeColor="text1"/>
          <w:sz w:val="20"/>
          <w:szCs w:val="20"/>
          <w14:textFill>
            <w14:solidFill>
              <w14:schemeClr w14:val="tx1"/>
            </w14:solidFill>
          </w14:textFill>
        </w:rPr>
        <w:t>独热编码</w:t>
      </w:r>
      <w:r>
        <w:rPr>
          <w:rFonts w:hint="eastAsia"/>
          <w:color w:val="000000" w:themeColor="text1"/>
          <w:sz w:val="20"/>
          <w:szCs w:val="20"/>
          <w14:textFill>
            <w14:solidFill>
              <w14:schemeClr w14:val="tx1"/>
            </w14:solidFill>
          </w14:textFill>
        </w:rPr>
        <w:t>采用One-hot刻画实体类型分布，使不同类别在初始空间中保持严格正交性</w:t>
      </w:r>
      <w:r>
        <w:rPr>
          <w:color w:val="000000" w:themeColor="text1"/>
          <w:sz w:val="20"/>
          <w:szCs w:val="20"/>
          <w14:textFill>
            <w14:solidFill>
              <w14:schemeClr w14:val="tx1"/>
            </w14:solidFill>
          </w14:textFill>
        </w:rPr>
        <w:t>。</w:t>
      </w:r>
      <w:r>
        <w:rPr>
          <w:rFonts w:hint="eastAsia"/>
          <w:color w:val="000000" w:themeColor="text1"/>
          <w:sz w:val="20"/>
          <w:szCs w:val="20"/>
          <w14:textFill>
            <w14:solidFill>
              <w14:schemeClr w14:val="tx1"/>
            </w14:solidFill>
          </w14:textFill>
        </w:rPr>
        <w:t>该设计能够强化类别边界（IP / hash / malware / APT group）并提供低噪声结构先验，从而降低后续图传播中的类型混淆风险</w:t>
      </w:r>
      <w:r>
        <w:rPr>
          <w:color w:val="000000" w:themeColor="text1"/>
          <w:sz w:val="20"/>
          <w:szCs w:val="20"/>
          <w14:textFill>
            <w14:solidFill>
              <w14:schemeClr w14:val="tx1"/>
            </w14:solidFill>
          </w14:textFill>
        </w:rPr>
        <w:t>。</w:t>
      </w:r>
    </w:p>
    <w:p w14:paraId="367F98AF">
      <w:pPr>
        <w:pStyle w:val="7"/>
        <w:tabs>
          <w:tab w:val="center" w:pos="4393"/>
          <w:tab w:val="right" w:pos="8306"/>
        </w:tabs>
        <w:spacing w:line="240" w:lineRule="auto"/>
        <w:ind w:firstLine="400"/>
        <w:jc w:val="left"/>
        <w:rPr>
          <w:color w:val="000000" w:themeColor="text1"/>
          <w:sz w:val="20"/>
          <w:szCs w:val="20"/>
          <w14:textFill>
            <w14:solidFill>
              <w14:schemeClr w14:val="tx1"/>
            </w14:solidFill>
          </w14:textFill>
        </w:rPr>
      </w:pPr>
      <w:r>
        <w:rPr>
          <w:rFonts w:hint="eastAsia"/>
          <w:color w:val="000000" w:themeColor="text1"/>
          <w:sz w:val="20"/>
          <w:szCs w:val="20"/>
          <w14:textFill>
            <w14:solidFill>
              <w14:schemeClr w14:val="tx1"/>
            </w14:solidFill>
          </w14:textFill>
        </w:rPr>
        <w:t>（2）</w:t>
      </w:r>
      <w:r>
        <w:rPr>
          <w:color w:val="000000" w:themeColor="text1"/>
          <w:sz w:val="20"/>
          <w:szCs w:val="20"/>
          <w14:textFill>
            <w14:solidFill>
              <w14:schemeClr w14:val="tx1"/>
            </w14:solidFill>
          </w14:textFill>
        </w:rPr>
        <w:t>哈希投影特征</w:t>
      </w:r>
      <w:r>
        <w:rPr>
          <w:rFonts w:hint="eastAsia"/>
          <w:i/>
          <w:iCs/>
          <w:color w:val="000000" w:themeColor="text1"/>
          <w:sz w:val="20"/>
          <w:szCs w:val="20"/>
          <w14:textFill>
            <w14:solidFill>
              <w14:schemeClr w14:val="tx1"/>
            </w14:solidFill>
          </w14:textFill>
        </w:rPr>
        <w:t>h</w:t>
      </w:r>
      <w:r>
        <w:rPr>
          <w:rFonts w:hint="eastAsia"/>
          <w:i/>
          <w:iCs/>
          <w:color w:val="000000" w:themeColor="text1"/>
          <w:sz w:val="20"/>
          <w:szCs w:val="20"/>
          <w:vertAlign w:val="subscript"/>
          <w14:textFill>
            <w14:solidFill>
              <w14:schemeClr w14:val="tx1"/>
            </w14:solidFill>
          </w14:textFill>
        </w:rPr>
        <w:t>i</w:t>
      </w:r>
      <w:r>
        <w:rPr>
          <w:rFonts w:hint="eastAsia"/>
          <w:color w:val="000000" w:themeColor="text1"/>
          <w:sz w:val="20"/>
          <w:szCs w:val="20"/>
          <w14:textFill>
            <w14:solidFill>
              <w14:schemeClr w14:val="tx1"/>
            </w14:solidFill>
          </w14:textFill>
        </w:rPr>
        <w:t>∈</w:t>
      </w:r>
      <w:r>
        <w:rPr>
          <w:color w:val="000000" w:themeColor="text1"/>
          <w:sz w:val="20"/>
          <w:szCs w:val="20"/>
          <w14:textFill>
            <w14:solidFill>
              <w14:schemeClr w14:val="tx1"/>
            </w14:solidFill>
          </w14:textFill>
        </w:rPr>
        <w:t>ℝ</w:t>
      </w:r>
      <w:r>
        <w:rPr>
          <w:rFonts w:hint="eastAsia"/>
          <w:color w:val="000000" w:themeColor="text1"/>
          <w:sz w:val="20"/>
          <w:szCs w:val="20"/>
          <w:vertAlign w:val="superscript"/>
          <w14:textFill>
            <w14:solidFill>
              <w14:schemeClr w14:val="tx1"/>
            </w14:solidFill>
          </w14:textFill>
        </w:rPr>
        <w:t>64</w:t>
      </w:r>
      <w:r>
        <w:rPr>
          <w:color w:val="000000" w:themeColor="text1"/>
          <w:sz w:val="20"/>
          <w:szCs w:val="20"/>
          <w14:textFill>
            <w14:solidFill>
              <w14:schemeClr w14:val="tx1"/>
            </w14:solidFill>
          </w14:textFill>
        </w:rPr>
        <w:t>：哈希投影采用MurmurHash3</w:t>
      </w:r>
      <w:r>
        <w:rPr>
          <w:rFonts w:hint="eastAsia"/>
          <w:color w:val="000000" w:themeColor="text1"/>
          <w:sz w:val="20"/>
          <w:szCs w:val="20"/>
          <w14:textFill>
            <w14:solidFill>
              <w14:schemeClr w14:val="tx1"/>
            </w14:solidFill>
          </w14:textFill>
        </w:rPr>
        <w:t>的词元级投影构造64维稠密表示，并进行归一化处理</w:t>
      </w:r>
      <w:r>
        <w:rPr>
          <w:color w:val="000000" w:themeColor="text1"/>
          <w:sz w:val="20"/>
          <w:szCs w:val="20"/>
          <w14:textFill>
            <w14:solidFill>
              <w14:schemeClr w14:val="tx1"/>
            </w14:solidFill>
          </w14:textFill>
        </w:rPr>
        <w:t>。</w:t>
      </w:r>
      <w:r>
        <w:rPr>
          <w:rFonts w:hint="eastAsia"/>
          <w:color w:val="000000" w:themeColor="text1"/>
          <w:sz w:val="20"/>
          <w:szCs w:val="20"/>
          <w14:textFill>
            <w14:solidFill>
              <w14:schemeClr w14:val="tx1"/>
            </w14:solidFill>
          </w14:textFill>
        </w:rPr>
        <w:t>该模块的设计目标不是语义表达最优，而是提供未见实体鲁棒性、有界内存表示以及碰撞控制哈希空间。对于</w:t>
      </w:r>
      <w:r>
        <w:rPr>
          <w:color w:val="000000" w:themeColor="text1"/>
          <w:sz w:val="20"/>
          <w:szCs w:val="20"/>
          <w14:textFill>
            <w14:solidFill>
              <w14:schemeClr w14:val="tx1"/>
            </w14:solidFill>
          </w14:textFill>
        </w:rPr>
        <w:t>维度的选择</w:t>
      </w:r>
      <w:r>
        <w:rPr>
          <w:rFonts w:hint="eastAsia"/>
          <w:color w:val="000000" w:themeColor="text1"/>
          <w:sz w:val="20"/>
          <w:szCs w:val="20"/>
          <w14:textFill>
            <w14:solidFill>
              <w14:schemeClr w14:val="tx1"/>
            </w14:solidFill>
          </w14:textFill>
        </w:rPr>
        <w:t>，</w:t>
      </w:r>
      <w:r>
        <w:rPr>
          <w:color w:val="000000" w:themeColor="text1"/>
          <w:sz w:val="20"/>
          <w:szCs w:val="20"/>
          <w14:textFill>
            <w14:solidFill>
              <w14:schemeClr w14:val="tx1"/>
            </w14:solidFill>
          </w14:textFill>
        </w:rPr>
        <w:t>在验证集上测试32、64、128维</w:t>
      </w:r>
      <w:r>
        <w:rPr>
          <w:rFonts w:hint="eastAsia"/>
          <w:color w:val="000000" w:themeColor="text1"/>
          <w:sz w:val="20"/>
          <w:szCs w:val="20"/>
          <w14:textFill>
            <w14:solidFill>
              <w14:schemeClr w14:val="tx1"/>
            </w14:solidFill>
          </w14:textFill>
        </w:rPr>
        <w:t>的效果</w:t>
      </w:r>
      <w:r>
        <w:rPr>
          <w:color w:val="000000" w:themeColor="text1"/>
          <w:sz w:val="20"/>
          <w:szCs w:val="20"/>
          <w14:textFill>
            <w14:solidFill>
              <w14:schemeClr w14:val="tx1"/>
            </w14:solidFill>
          </w14:textFill>
        </w:rPr>
        <w:t>，</w:t>
      </w:r>
      <w:r>
        <w:rPr>
          <w:rFonts w:hint="eastAsia"/>
          <w:color w:val="000000" w:themeColor="text1"/>
          <w:sz w:val="20"/>
          <w:szCs w:val="20"/>
          <w14:textFill>
            <w14:solidFill>
              <w14:schemeClr w14:val="tx1"/>
            </w14:solidFill>
          </w14:textFill>
        </w:rPr>
        <w:t>其中32维因表示容量不足导致实体区分度下降，64维在区分度与计算效率间取得最优平衡</w:t>
      </w:r>
      <w:r>
        <w:rPr>
          <w:color w:val="000000" w:themeColor="text1"/>
          <w:sz w:val="20"/>
          <w:szCs w:val="20"/>
          <w14:textFill>
            <w14:solidFill>
              <w14:schemeClr w14:val="tx1"/>
            </w14:solidFill>
          </w14:textFill>
        </w:rPr>
        <w:t>，</w:t>
      </w:r>
      <w:r>
        <w:rPr>
          <w:rFonts w:hint="eastAsia"/>
          <w:color w:val="000000" w:themeColor="text1"/>
          <w:sz w:val="20"/>
          <w:szCs w:val="20"/>
          <w14:textFill>
            <w14:solidFill>
              <w14:schemeClr w14:val="tx1"/>
            </w14:solidFill>
          </w14:textFill>
        </w:rPr>
        <w:t>而</w:t>
      </w:r>
      <w:r>
        <w:rPr>
          <w:color w:val="000000" w:themeColor="text1"/>
          <w:sz w:val="20"/>
          <w:szCs w:val="20"/>
          <w14:textFill>
            <w14:solidFill>
              <w14:schemeClr w14:val="tx1"/>
            </w14:solidFill>
          </w14:textFill>
        </w:rPr>
        <w:t>128维与64维效果相近但增加了参数量</w:t>
      </w:r>
      <w:r>
        <w:rPr>
          <w:rFonts w:hint="eastAsia"/>
          <w:color w:val="000000" w:themeColor="text1"/>
          <w:sz w:val="20"/>
          <w:szCs w:val="20"/>
          <w14:textFill>
            <w14:solidFill>
              <w14:schemeClr w14:val="tx1"/>
            </w14:solidFill>
          </w14:textFill>
        </w:rPr>
        <w:t>，因此最终选择64维</w:t>
      </w:r>
      <w:r>
        <w:rPr>
          <w:color w:val="000000" w:themeColor="text1"/>
          <w:sz w:val="20"/>
          <w:szCs w:val="20"/>
          <w14:textFill>
            <w14:solidFill>
              <w14:schemeClr w14:val="tx1"/>
            </w14:solidFill>
          </w14:textFill>
        </w:rPr>
        <w:t>。</w:t>
      </w:r>
    </w:p>
    <w:p w14:paraId="3DF4018A">
      <w:pPr>
        <w:pStyle w:val="7"/>
        <w:spacing w:after="60" w:line="240" w:lineRule="auto"/>
        <w:ind w:firstLine="400"/>
        <w:rPr>
          <w:color w:val="000000" w:themeColor="text1"/>
          <w:sz w:val="20"/>
          <w:szCs w:val="20"/>
          <w14:textFill>
            <w14:solidFill>
              <w14:schemeClr w14:val="tx1"/>
            </w14:solidFill>
          </w14:textFill>
        </w:rPr>
      </w:pPr>
      <w:r>
        <w:rPr>
          <w:rFonts w:hint="eastAsia"/>
          <w:color w:val="000000" w:themeColor="text1"/>
          <w:sz w:val="20"/>
          <w:szCs w:val="20"/>
          <w14:textFill>
            <w14:solidFill>
              <w14:schemeClr w14:val="tx1"/>
            </w14:solidFill>
          </w14:textFill>
        </w:rPr>
        <w:t>（3）</w:t>
      </w:r>
      <w:r>
        <w:rPr>
          <w:color w:val="000000" w:themeColor="text1"/>
          <w:sz w:val="20"/>
          <w:szCs w:val="20"/>
          <w14:textFill>
            <w14:solidFill>
              <w14:schemeClr w14:val="tx1"/>
            </w14:solidFill>
          </w14:textFill>
        </w:rPr>
        <w:t>形态统计特征</w:t>
      </w:r>
      <w:r>
        <w:rPr>
          <w:rFonts w:hint="eastAsia"/>
          <w:i/>
          <w:iCs/>
          <w:color w:val="000000" w:themeColor="text1"/>
          <w:sz w:val="20"/>
          <w:szCs w:val="20"/>
          <w14:textFill>
            <w14:solidFill>
              <w14:schemeClr w14:val="tx1"/>
            </w14:solidFill>
          </w14:textFill>
        </w:rPr>
        <w:t>s</w:t>
      </w:r>
      <w:r>
        <w:rPr>
          <w:rFonts w:hint="eastAsia"/>
          <w:i/>
          <w:iCs/>
          <w:color w:val="000000" w:themeColor="text1"/>
          <w:sz w:val="20"/>
          <w:szCs w:val="20"/>
          <w:vertAlign w:val="subscript"/>
          <w14:textFill>
            <w14:solidFill>
              <w14:schemeClr w14:val="tx1"/>
            </w14:solidFill>
          </w14:textFill>
        </w:rPr>
        <w:t>i</w:t>
      </w:r>
      <w:r>
        <w:rPr>
          <w:rFonts w:hint="eastAsia"/>
          <w:color w:val="000000" w:themeColor="text1"/>
          <w:sz w:val="20"/>
          <w:szCs w:val="20"/>
          <w14:textFill>
            <w14:solidFill>
              <w14:schemeClr w14:val="tx1"/>
            </w14:solidFill>
          </w14:textFill>
        </w:rPr>
        <w:t>∈</w:t>
      </w:r>
      <w:r>
        <w:rPr>
          <w:color w:val="000000" w:themeColor="text1"/>
          <w:sz w:val="20"/>
          <w:szCs w:val="20"/>
          <w14:textFill>
            <w14:solidFill>
              <w14:schemeClr w14:val="tx1"/>
            </w14:solidFill>
          </w14:textFill>
        </w:rPr>
        <w:t>ℝ</w:t>
      </w:r>
      <w:r>
        <w:rPr>
          <w:rFonts w:hint="eastAsia"/>
          <w:color w:val="000000" w:themeColor="text1"/>
          <w:sz w:val="20"/>
          <w:szCs w:val="20"/>
          <w:vertAlign w:val="superscript"/>
          <w14:textFill>
            <w14:solidFill>
              <w14:schemeClr w14:val="tx1"/>
            </w14:solidFill>
          </w14:textFill>
        </w:rPr>
        <w:t>3</w:t>
      </w:r>
      <w:r>
        <w:rPr>
          <w:color w:val="000000" w:themeColor="text1"/>
          <w:sz w:val="20"/>
          <w:szCs w:val="20"/>
          <w14:textFill>
            <w14:solidFill>
              <w14:schemeClr w14:val="tx1"/>
            </w14:solidFill>
          </w14:textFill>
        </w:rPr>
        <w:t>：</w:t>
      </w:r>
      <w:r>
        <w:rPr>
          <w:rFonts w:hint="eastAsia"/>
          <w:color w:val="000000" w:themeColor="text1"/>
          <w:sz w:val="20"/>
          <w:szCs w:val="20"/>
          <w14:textFill>
            <w14:solidFill>
              <w14:schemeClr w14:val="tx1"/>
            </w14:solidFill>
          </w14:textFill>
        </w:rPr>
        <w:t>该特征包含</w:t>
      </w:r>
      <w:r>
        <w:rPr>
          <w:color w:val="000000" w:themeColor="text1"/>
          <w:sz w:val="20"/>
          <w:szCs w:val="20"/>
          <w14:textFill>
            <w14:solidFill>
              <w14:schemeClr w14:val="tx1"/>
            </w14:solidFill>
          </w14:textFill>
        </w:rPr>
        <w:t>三项统计量</w:t>
      </w:r>
      <w:r>
        <w:rPr>
          <w:rFonts w:hint="eastAsia"/>
          <w:color w:val="000000" w:themeColor="text1"/>
          <w:sz w:val="20"/>
          <w:szCs w:val="20"/>
          <w14:textFill>
            <w14:solidFill>
              <w14:schemeClr w14:val="tx1"/>
            </w14:solidFill>
          </w14:textFill>
        </w:rPr>
        <w:t>[</w:t>
      </w:r>
      <w:r>
        <w:rPr>
          <w:rFonts w:hint="eastAsia"/>
          <w:i/>
          <w:iCs/>
          <w:color w:val="000000" w:themeColor="text1"/>
          <w:sz w:val="20"/>
          <w:szCs w:val="20"/>
          <w14:textFill>
            <w14:solidFill>
              <w14:schemeClr w14:val="tx1"/>
            </w14:solidFill>
          </w14:textFill>
        </w:rPr>
        <w:t>l</w:t>
      </w:r>
      <w:r>
        <w:rPr>
          <w:rFonts w:hint="eastAsia"/>
          <w:i/>
          <w:iCs/>
          <w:color w:val="000000" w:themeColor="text1"/>
          <w:sz w:val="20"/>
          <w:szCs w:val="20"/>
          <w:vertAlign w:val="subscript"/>
          <w14:textFill>
            <w14:solidFill>
              <w14:schemeClr w14:val="tx1"/>
            </w14:solidFill>
          </w14:textFill>
        </w:rPr>
        <w:t>norm</w:t>
      </w:r>
      <w:r>
        <w:rPr>
          <w:rFonts w:hint="eastAsia"/>
          <w:color w:val="000000" w:themeColor="text1"/>
          <w:sz w:val="20"/>
          <w:szCs w:val="20"/>
          <w14:textFill>
            <w14:solidFill>
              <w14:schemeClr w14:val="tx1"/>
            </w14:solidFill>
          </w14:textFill>
        </w:rPr>
        <w:t xml:space="preserve">, </w:t>
      </w:r>
      <w:r>
        <w:rPr>
          <w:rFonts w:hint="eastAsia"/>
          <w:i/>
          <w:iCs/>
          <w:color w:val="000000" w:themeColor="text1"/>
          <w:sz w:val="20"/>
          <w:szCs w:val="20"/>
          <w14:textFill>
            <w14:solidFill>
              <w14:schemeClr w14:val="tx1"/>
            </w14:solidFill>
          </w14:textFill>
        </w:rPr>
        <w:t>r</w:t>
      </w:r>
      <w:r>
        <w:rPr>
          <w:rFonts w:hint="eastAsia"/>
          <w:i/>
          <w:iCs/>
          <w:color w:val="000000" w:themeColor="text1"/>
          <w:sz w:val="20"/>
          <w:szCs w:val="20"/>
          <w:vertAlign w:val="subscript"/>
          <w14:textFill>
            <w14:solidFill>
              <w14:schemeClr w14:val="tx1"/>
            </w14:solidFill>
          </w14:textFill>
        </w:rPr>
        <w:t>digit</w:t>
      </w:r>
      <w:r>
        <w:rPr>
          <w:rFonts w:hint="eastAsia"/>
          <w:color w:val="000000" w:themeColor="text1"/>
          <w:sz w:val="20"/>
          <w:szCs w:val="20"/>
          <w14:textFill>
            <w14:solidFill>
              <w14:schemeClr w14:val="tx1"/>
            </w14:solidFill>
          </w14:textFill>
        </w:rPr>
        <w:t xml:space="preserve">, </w:t>
      </w:r>
      <w:r>
        <w:rPr>
          <w:rFonts w:hint="eastAsia"/>
          <w:i/>
          <w:iCs/>
          <w:color w:val="000000" w:themeColor="text1"/>
          <w:sz w:val="20"/>
          <w:szCs w:val="20"/>
          <w14:textFill>
            <w14:solidFill>
              <w14:schemeClr w14:val="tx1"/>
            </w14:solidFill>
          </w14:textFill>
        </w:rPr>
        <w:t>r</w:t>
      </w:r>
      <w:r>
        <w:rPr>
          <w:rFonts w:hint="eastAsia"/>
          <w:i/>
          <w:iCs/>
          <w:color w:val="000000" w:themeColor="text1"/>
          <w:sz w:val="20"/>
          <w:szCs w:val="20"/>
          <w:vertAlign w:val="subscript"/>
          <w14:textFill>
            <w14:solidFill>
              <w14:schemeClr w14:val="tx1"/>
            </w14:solidFill>
          </w14:textFill>
        </w:rPr>
        <w:t>alpha</w:t>
      </w:r>
      <w:r>
        <w:rPr>
          <w:rFonts w:hint="eastAsia"/>
          <w:color w:val="000000" w:themeColor="text1"/>
          <w:sz w:val="20"/>
          <w:szCs w:val="20"/>
          <w14:textFill>
            <w14:solidFill>
              <w14:schemeClr w14:val="tx1"/>
            </w14:solidFill>
          </w14:textFill>
        </w:rPr>
        <w:t>]</w:t>
      </w:r>
      <w:r>
        <w:rPr>
          <w:rFonts w:hint="eastAsia"/>
          <w:color w:val="000000" w:themeColor="text1"/>
          <w:sz w:val="20"/>
          <w:szCs w:val="20"/>
          <w:vertAlign w:val="superscript"/>
          <w14:textFill>
            <w14:solidFill>
              <w14:schemeClr w14:val="tx1"/>
            </w14:solidFill>
          </w14:textFill>
        </w:rPr>
        <w:t>T</w:t>
      </w:r>
      <w:r>
        <w:rPr>
          <w:color w:val="000000" w:themeColor="text1"/>
          <w:sz w:val="20"/>
          <w:szCs w:val="20"/>
          <w14:textFill>
            <w14:solidFill>
              <w14:schemeClr w14:val="tx1"/>
            </w14:solidFill>
          </w14:textFill>
        </w:rPr>
        <w:t>，其中</w:t>
      </w:r>
      <w:r>
        <w:rPr>
          <w:rFonts w:hint="eastAsia"/>
          <w:i/>
          <w:iCs/>
          <w:color w:val="000000" w:themeColor="text1"/>
          <w:sz w:val="20"/>
          <w:szCs w:val="20"/>
          <w14:textFill>
            <w14:solidFill>
              <w14:schemeClr w14:val="tx1"/>
            </w14:solidFill>
          </w14:textFill>
        </w:rPr>
        <w:t>l</w:t>
      </w:r>
      <w:r>
        <w:rPr>
          <w:rFonts w:hint="eastAsia"/>
          <w:i/>
          <w:iCs/>
          <w:color w:val="000000" w:themeColor="text1"/>
          <w:sz w:val="20"/>
          <w:szCs w:val="20"/>
          <w:vertAlign w:val="subscript"/>
          <w14:textFill>
            <w14:solidFill>
              <w14:schemeClr w14:val="tx1"/>
            </w14:solidFill>
          </w14:textFill>
        </w:rPr>
        <w:t>norm</w:t>
      </w:r>
      <w:r>
        <w:rPr>
          <w:rFonts w:hint="eastAsia"/>
          <w:color w:val="000000" w:themeColor="text1"/>
          <w:sz w:val="20"/>
          <w:szCs w:val="20"/>
          <w14:textFill>
            <w14:solidFill>
              <w14:schemeClr w14:val="tx1"/>
            </w14:solidFill>
          </w14:textFill>
        </w:rPr>
        <w:t>=min(|</w:t>
      </w:r>
      <w:r>
        <w:rPr>
          <w:rFonts w:hint="eastAsia"/>
          <w:i/>
          <w:iCs/>
          <w:color w:val="000000" w:themeColor="text1"/>
          <w:sz w:val="20"/>
          <w:szCs w:val="20"/>
          <w14:textFill>
            <w14:solidFill>
              <w14:schemeClr w14:val="tx1"/>
            </w14:solidFill>
          </w14:textFill>
        </w:rPr>
        <w:t>e</w:t>
      </w:r>
      <w:r>
        <w:rPr>
          <w:rFonts w:hint="eastAsia"/>
          <w:color w:val="000000" w:themeColor="text1"/>
          <w:sz w:val="20"/>
          <w:szCs w:val="20"/>
          <w14:textFill>
            <w14:solidFill>
              <w14:schemeClr w14:val="tx1"/>
            </w14:solidFill>
          </w14:textFill>
        </w:rPr>
        <w:t>|/100,1)</w:t>
      </w:r>
      <w:r>
        <w:rPr>
          <w:color w:val="000000" w:themeColor="text1"/>
          <w:sz w:val="20"/>
          <w:szCs w:val="20"/>
          <w14:textFill>
            <w14:solidFill>
              <w14:schemeClr w14:val="tx1"/>
            </w14:solidFill>
          </w14:textFill>
        </w:rPr>
        <w:t>为归一化长度，</w:t>
      </w:r>
      <w:r>
        <w:rPr>
          <w:rFonts w:hint="eastAsia"/>
          <w:i/>
          <w:iCs/>
          <w:color w:val="000000" w:themeColor="text1"/>
          <w:sz w:val="20"/>
          <w:szCs w:val="20"/>
          <w14:textFill>
            <w14:solidFill>
              <w14:schemeClr w14:val="tx1"/>
            </w14:solidFill>
          </w14:textFill>
        </w:rPr>
        <w:t>r</w:t>
      </w:r>
      <w:r>
        <w:rPr>
          <w:rFonts w:hint="eastAsia"/>
          <w:i/>
          <w:iCs/>
          <w:color w:val="000000" w:themeColor="text1"/>
          <w:sz w:val="20"/>
          <w:szCs w:val="20"/>
          <w:vertAlign w:val="subscript"/>
          <w14:textFill>
            <w14:solidFill>
              <w14:schemeClr w14:val="tx1"/>
            </w14:solidFill>
          </w14:textFill>
        </w:rPr>
        <w:t>digit</w:t>
      </w:r>
      <w:r>
        <w:rPr>
          <w:rFonts w:hint="eastAsia"/>
          <w:i/>
          <w:iCs/>
          <w:color w:val="000000" w:themeColor="text1"/>
          <w:sz w:val="20"/>
          <w:szCs w:val="20"/>
          <w14:textFill>
            <w14:solidFill>
              <w14:schemeClr w14:val="tx1"/>
            </w14:solidFill>
          </w14:textFill>
        </w:rPr>
        <w:t>、r</w:t>
      </w:r>
      <w:r>
        <w:rPr>
          <w:i/>
          <w:iCs/>
          <w:color w:val="000000" w:themeColor="text1"/>
          <w:sz w:val="20"/>
          <w:szCs w:val="20"/>
          <w:vertAlign w:val="subscript"/>
          <w14:textFill>
            <w14:solidFill>
              <w14:schemeClr w14:val="tx1"/>
            </w14:solidFill>
          </w14:textFill>
        </w:rPr>
        <w:t>alpha</w:t>
      </w:r>
      <w:r>
        <w:rPr>
          <w:color w:val="000000" w:themeColor="text1"/>
          <w:sz w:val="20"/>
          <w:szCs w:val="20"/>
          <w14:textFill>
            <w14:solidFill>
              <w14:schemeClr w14:val="tx1"/>
            </w14:solidFill>
          </w14:textFill>
        </w:rPr>
        <w:t>分别为数字与字母字符占比。</w:t>
      </w:r>
      <w:r>
        <w:rPr>
          <w:rFonts w:hint="eastAsia"/>
          <w:color w:val="000000" w:themeColor="text1"/>
          <w:sz w:val="20"/>
          <w:szCs w:val="20"/>
          <w14:textFill>
            <w14:solidFill>
              <w14:schemeClr w14:val="tx1"/>
            </w14:solidFill>
          </w14:textFill>
        </w:rPr>
        <w:t>该特征用于捕捉实体的低阶结构签名，尽管维度极低但其在安全语料中具有高度判别性：</w:t>
      </w:r>
      <w:r>
        <w:rPr>
          <w:color w:val="000000" w:themeColor="text1"/>
          <w:sz w:val="20"/>
          <w:szCs w:val="20"/>
          <w14:textFill>
            <w14:solidFill>
              <w14:schemeClr w14:val="tx1"/>
            </w14:solidFill>
          </w14:textFill>
        </w:rPr>
        <w:t>哈希值</w:t>
      </w:r>
      <w:r>
        <w:rPr>
          <w:rFonts w:hint="eastAsia"/>
          <w:i/>
          <w:iCs/>
          <w:color w:val="000000" w:themeColor="text1"/>
          <w:sz w:val="20"/>
          <w:szCs w:val="20"/>
          <w14:textFill>
            <w14:solidFill>
              <w14:schemeClr w14:val="tx1"/>
            </w14:solidFill>
          </w14:textFill>
        </w:rPr>
        <w:t>r</w:t>
      </w:r>
      <w:r>
        <w:rPr>
          <w:rFonts w:hint="eastAsia"/>
          <w:i/>
          <w:iCs/>
          <w:color w:val="000000" w:themeColor="text1"/>
          <w:sz w:val="20"/>
          <w:szCs w:val="20"/>
          <w:vertAlign w:val="subscript"/>
          <w14:textFill>
            <w14:solidFill>
              <w14:schemeClr w14:val="tx1"/>
            </w14:solidFill>
          </w14:textFill>
        </w:rPr>
        <w:t>digit</w:t>
      </w:r>
      <w:r>
        <w:rPr>
          <w:color w:val="000000" w:themeColor="text1"/>
          <w:sz w:val="20"/>
          <w:szCs w:val="20"/>
          <w14:textFill>
            <w14:solidFill>
              <w14:schemeClr w14:val="tx1"/>
            </w14:solidFill>
          </w14:textFill>
        </w:rPr>
        <w:t>接近1且长度固定</w:t>
      </w:r>
      <w:r>
        <w:rPr>
          <w:rFonts w:hint="eastAsia"/>
          <w:color w:val="000000" w:themeColor="text1"/>
          <w:sz w:val="20"/>
          <w:szCs w:val="20"/>
          <w14:textFill>
            <w14:solidFill>
              <w14:schemeClr w14:val="tx1"/>
            </w14:solidFill>
          </w14:textFill>
        </w:rPr>
        <w:t>，</w:t>
      </w:r>
      <w:r>
        <w:rPr>
          <w:color w:val="000000" w:themeColor="text1"/>
          <w:sz w:val="20"/>
          <w:szCs w:val="20"/>
          <w14:textFill>
            <w14:solidFill>
              <w14:schemeClr w14:val="tx1"/>
            </w14:solidFill>
          </w14:textFill>
        </w:rPr>
        <w:t>IP地址</w:t>
      </w:r>
      <w:r>
        <w:rPr>
          <w:rFonts w:hint="eastAsia"/>
          <w:i/>
          <w:iCs/>
          <w:color w:val="000000" w:themeColor="text1"/>
          <w:sz w:val="20"/>
          <w:szCs w:val="20"/>
          <w14:textFill>
            <w14:solidFill>
              <w14:schemeClr w14:val="tx1"/>
            </w14:solidFill>
          </w14:textFill>
        </w:rPr>
        <w:t>r</w:t>
      </w:r>
      <w:r>
        <w:rPr>
          <w:rFonts w:hint="eastAsia"/>
          <w:i/>
          <w:iCs/>
          <w:color w:val="000000" w:themeColor="text1"/>
          <w:sz w:val="20"/>
          <w:szCs w:val="20"/>
          <w:vertAlign w:val="subscript"/>
          <w14:textFill>
            <w14:solidFill>
              <w14:schemeClr w14:val="tx1"/>
            </w14:solidFill>
          </w14:textFill>
        </w:rPr>
        <w:t>digit</w:t>
      </w:r>
      <w:r>
        <w:rPr>
          <w:color w:val="000000" w:themeColor="text1"/>
          <w:sz w:val="20"/>
          <w:szCs w:val="20"/>
          <w14:textFill>
            <w14:solidFill>
              <w14:schemeClr w14:val="tx1"/>
            </w14:solidFill>
          </w14:textFill>
        </w:rPr>
        <w:t>远高于域名</w:t>
      </w:r>
      <w:r>
        <w:rPr>
          <w:rFonts w:hint="eastAsia"/>
          <w:color w:val="000000" w:themeColor="text1"/>
          <w:sz w:val="20"/>
          <w:szCs w:val="20"/>
          <w14:textFill>
            <w14:solidFill>
              <w14:schemeClr w14:val="tx1"/>
            </w14:solidFill>
          </w14:textFill>
        </w:rPr>
        <w:t>，</w:t>
      </w:r>
      <w:r>
        <w:rPr>
          <w:color w:val="000000" w:themeColor="text1"/>
          <w:sz w:val="20"/>
          <w:szCs w:val="20"/>
          <w14:textFill>
            <w14:solidFill>
              <w14:schemeClr w14:val="tx1"/>
            </w14:solidFill>
          </w14:textFill>
        </w:rPr>
        <w:t>CVE编号因格式固定而长度高度集中。</w:t>
      </w:r>
      <w:r>
        <w:rPr>
          <w:rFonts w:hint="eastAsia"/>
          <w:color w:val="000000" w:themeColor="text1"/>
          <w:sz w:val="20"/>
          <w:szCs w:val="20"/>
          <w14:textFill>
            <w14:solidFill>
              <w14:schemeClr w14:val="tx1"/>
            </w14:solidFill>
          </w14:textFill>
        </w:rPr>
        <w:t>该特征提供语义嵌入无法覆盖的格式级鉴别信号。</w:t>
      </w:r>
    </w:p>
    <w:p w14:paraId="17E662FA">
      <w:pPr>
        <w:pStyle w:val="7"/>
        <w:spacing w:after="60" w:line="240" w:lineRule="auto"/>
        <w:ind w:firstLine="400"/>
        <w:rPr>
          <w:color w:val="000000" w:themeColor="text1"/>
          <w:sz w:val="20"/>
          <w:szCs w:val="20"/>
          <w14:textFill>
            <w14:solidFill>
              <w14:schemeClr w14:val="tx1"/>
            </w14:solidFill>
          </w14:textFill>
        </w:rPr>
      </w:pPr>
      <w:r>
        <w:rPr>
          <w:rFonts w:hint="eastAsia"/>
          <w:color w:val="000000" w:themeColor="text1"/>
          <w:sz w:val="20"/>
          <w:szCs w:val="20"/>
          <w14:textFill>
            <w14:solidFill>
              <w14:schemeClr w14:val="tx1"/>
            </w14:solidFill>
          </w14:textFill>
        </w:rPr>
        <w:t>（4）</w:t>
      </w:r>
      <w:r>
        <w:rPr>
          <w:color w:val="000000" w:themeColor="text1"/>
          <w:sz w:val="20"/>
          <w:szCs w:val="20"/>
          <w14:textFill>
            <w14:solidFill>
              <w14:schemeClr w14:val="tx1"/>
            </w14:solidFill>
          </w14:textFill>
        </w:rPr>
        <w:t>语义嵌入</w:t>
      </w:r>
      <w:r>
        <w:rPr>
          <w:rFonts w:hint="eastAsia"/>
          <w:i/>
          <w:iCs/>
          <w:color w:val="000000" w:themeColor="text1"/>
          <w:sz w:val="20"/>
          <w:szCs w:val="20"/>
          <w14:textFill>
            <w14:solidFill>
              <w14:schemeClr w14:val="tx1"/>
            </w14:solidFill>
          </w14:textFill>
        </w:rPr>
        <w:t>e</w:t>
      </w:r>
      <w:r>
        <w:rPr>
          <w:rFonts w:hint="eastAsia"/>
          <w:i/>
          <w:iCs/>
          <w:color w:val="000000" w:themeColor="text1"/>
          <w:sz w:val="20"/>
          <w:szCs w:val="20"/>
          <w:vertAlign w:val="subscript"/>
          <w14:textFill>
            <w14:solidFill>
              <w14:schemeClr w14:val="tx1"/>
            </w14:solidFill>
          </w14:textFill>
        </w:rPr>
        <w:t>sim,i</w:t>
      </w:r>
      <w:r>
        <w:rPr>
          <w:rFonts w:hint="eastAsia"/>
          <w:color w:val="000000" w:themeColor="text1"/>
          <w:sz w:val="20"/>
          <w:szCs w:val="20"/>
          <w14:textFill>
            <w14:solidFill>
              <w14:schemeClr w14:val="tx1"/>
            </w14:solidFill>
          </w14:textFill>
        </w:rPr>
        <w:t>∈</w:t>
      </w:r>
      <w:r>
        <w:rPr>
          <w:color w:val="000000" w:themeColor="text1"/>
          <w:sz w:val="20"/>
          <w:szCs w:val="20"/>
          <w14:textFill>
            <w14:solidFill>
              <w14:schemeClr w14:val="tx1"/>
            </w14:solidFill>
          </w14:textFill>
        </w:rPr>
        <w:t>ℝ</w:t>
      </w:r>
      <w:r>
        <w:rPr>
          <w:rFonts w:hint="eastAsia"/>
          <w:color w:val="000000" w:themeColor="text1"/>
          <w:sz w:val="20"/>
          <w:szCs w:val="20"/>
          <w:vertAlign w:val="superscript"/>
          <w14:textFill>
            <w14:solidFill>
              <w14:schemeClr w14:val="tx1"/>
            </w14:solidFill>
          </w14:textFill>
        </w:rPr>
        <w:t>384</w:t>
      </w:r>
      <w:r>
        <w:rPr>
          <w:color w:val="000000" w:themeColor="text1"/>
          <w:sz w:val="20"/>
          <w:szCs w:val="20"/>
          <w14:textFill>
            <w14:solidFill>
              <w14:schemeClr w14:val="tx1"/>
            </w14:solidFill>
          </w14:textFill>
        </w:rPr>
        <w:t>：</w:t>
      </w:r>
      <w:r>
        <w:rPr>
          <w:rFonts w:hint="eastAsia"/>
          <w:color w:val="000000" w:themeColor="text1"/>
          <w:sz w:val="20"/>
          <w:szCs w:val="20"/>
          <w14:textFill>
            <w14:solidFill>
              <w14:schemeClr w14:val="tx1"/>
            </w14:solidFill>
          </w14:textFill>
        </w:rPr>
        <w:t>采用S</w:t>
      </w:r>
      <w:r>
        <w:rPr>
          <w:color w:val="000000" w:themeColor="text1"/>
          <w:sz w:val="20"/>
          <w:szCs w:val="20"/>
          <w14:textFill>
            <w14:solidFill>
              <w14:schemeClr w14:val="tx1"/>
            </w14:solidFill>
          </w14:textFill>
        </w:rPr>
        <w:t>entence-</w:t>
      </w:r>
      <w:r>
        <w:rPr>
          <w:rFonts w:hint="eastAsia"/>
          <w:color w:val="000000" w:themeColor="text1"/>
          <w:sz w:val="20"/>
          <w:szCs w:val="20"/>
          <w14:textFill>
            <w14:solidFill>
              <w14:schemeClr w14:val="tx1"/>
            </w14:solidFill>
          </w14:textFill>
        </w:rPr>
        <w:t>BERT</w:t>
      </w:r>
      <w:r>
        <w:rPr>
          <w:color w:val="000000" w:themeColor="text1"/>
          <w:sz w:val="20"/>
          <w:szCs w:val="20"/>
          <w14:textFill>
            <w14:solidFill>
              <w14:schemeClr w14:val="tx1"/>
            </w14:solidFill>
          </w14:textFill>
        </w:rPr>
        <w:t>（all-MiniLM-L6-v2</w:t>
      </w:r>
      <w:r>
        <w:rPr>
          <w:rFonts w:hint="eastAsia"/>
          <w:color w:val="000000" w:themeColor="text1"/>
          <w:sz w:val="20"/>
          <w:szCs w:val="20"/>
          <w14:textFill>
            <w14:solidFill>
              <w14:schemeClr w14:val="tx1"/>
            </w14:solidFill>
          </w14:textFill>
        </w:rPr>
        <w:t>[</w:t>
      </w:r>
      <w:r>
        <w:rPr>
          <w:rFonts w:hint="eastAsia"/>
          <w:color w:val="000000" w:themeColor="text1"/>
          <w:sz w:val="20"/>
          <w:szCs w:val="20"/>
          <w:lang w:eastAsia="zh"/>
          <w14:textFill>
            <w14:solidFill>
              <w14:schemeClr w14:val="tx1"/>
            </w14:solidFill>
          </w14:textFill>
        </w:rPr>
        <w:t>37</w:t>
      </w:r>
      <w:r>
        <w:rPr>
          <w:rFonts w:hint="eastAsia"/>
          <w:color w:val="000000" w:themeColor="text1"/>
          <w:sz w:val="20"/>
          <w:szCs w:val="20"/>
          <w14:textFill>
            <w14:solidFill>
              <w14:schemeClr w14:val="tx1"/>
            </w14:solidFill>
          </w14:textFill>
        </w:rPr>
        <w:t>]</w:t>
      </w:r>
      <w:r>
        <w:rPr>
          <w:color w:val="000000" w:themeColor="text1"/>
          <w:sz w:val="20"/>
          <w:szCs w:val="20"/>
          <w14:textFill>
            <w14:solidFill>
              <w14:schemeClr w14:val="tx1"/>
            </w14:solidFill>
          </w14:textFill>
        </w:rPr>
        <w:t>）对三种粒度文本编码并加权融合，其计算方式</w:t>
      </w:r>
      <w:r>
        <w:rPr>
          <w:rFonts w:hint="eastAsia"/>
          <w:color w:val="000000" w:themeColor="text1"/>
          <w:sz w:val="20"/>
          <w:szCs w:val="20"/>
          <w14:textFill>
            <w14:solidFill>
              <w14:schemeClr w14:val="tx1"/>
            </w14:solidFill>
          </w14:textFill>
        </w:rPr>
        <w:t>如公式（5）</w:t>
      </w:r>
      <w:r>
        <w:rPr>
          <w:color w:val="000000" w:themeColor="text1"/>
          <w:sz w:val="20"/>
          <w:szCs w:val="20"/>
          <w14:textFill>
            <w14:solidFill>
              <w14:schemeClr w14:val="tx1"/>
            </w14:solidFill>
          </w14:textFill>
        </w:rPr>
        <w:t>所示</w:t>
      </w:r>
      <w:r>
        <w:rPr>
          <w:rFonts w:hint="eastAsia"/>
          <w:color w:val="000000" w:themeColor="text1"/>
          <w:sz w:val="20"/>
          <w:szCs w:val="20"/>
          <w14:textFill>
            <w14:solidFill>
              <w14:schemeClr w14:val="tx1"/>
            </w14:solidFill>
          </w14:textFill>
        </w:rPr>
        <w:t>，</w:t>
      </w:r>
      <w:r>
        <w:rPr>
          <w:color w:val="000000" w:themeColor="text1"/>
          <w:sz w:val="20"/>
          <w:szCs w:val="20"/>
          <w14:textFill>
            <w14:solidFill>
              <w14:schemeClr w14:val="tx1"/>
            </w14:solidFill>
          </w14:textFill>
        </w:rPr>
        <w:t>其中</w:t>
      </w:r>
      <w:r>
        <w:rPr>
          <w:rFonts w:hint="eastAsia"/>
          <w:i/>
          <w:iCs/>
          <w:color w:val="000000" w:themeColor="text1"/>
          <w:sz w:val="20"/>
          <w:szCs w:val="20"/>
          <w14:textFill>
            <w14:solidFill>
              <w14:schemeClr w14:val="tx1"/>
            </w14:solidFill>
          </w14:textFill>
        </w:rPr>
        <w:t>p</w:t>
      </w:r>
      <w:r>
        <w:rPr>
          <w:rFonts w:hint="eastAsia"/>
          <w:i/>
          <w:iCs/>
          <w:color w:val="000000" w:themeColor="text1"/>
          <w:sz w:val="20"/>
          <w:szCs w:val="20"/>
          <w:vertAlign w:val="subscript"/>
          <w14:textFill>
            <w14:solidFill>
              <w14:schemeClr w14:val="tx1"/>
            </w14:solidFill>
          </w14:textFill>
        </w:rPr>
        <w:t>contain</w:t>
      </w:r>
      <w:r>
        <w:rPr>
          <w:color w:val="000000" w:themeColor="text1"/>
          <w:sz w:val="20"/>
          <w:szCs w:val="20"/>
          <w14:textFill>
            <w14:solidFill>
              <w14:schemeClr w14:val="tx1"/>
            </w14:solidFill>
          </w14:textFill>
        </w:rPr>
        <w:t>表示包含实体</w:t>
      </w:r>
      <w:r>
        <w:rPr>
          <w:rFonts w:hint="eastAsia"/>
          <w:i/>
          <w:iCs/>
          <w:color w:val="000000" w:themeColor="text1"/>
          <w:sz w:val="20"/>
          <w:szCs w:val="20"/>
          <w14:textFill>
            <w14:solidFill>
              <w14:schemeClr w14:val="tx1"/>
            </w14:solidFill>
          </w14:textFill>
        </w:rPr>
        <w:t>e</w:t>
      </w:r>
      <w:r>
        <w:rPr>
          <w:color w:val="000000" w:themeColor="text1"/>
          <w:sz w:val="20"/>
          <w:szCs w:val="20"/>
          <w14:textFill>
            <w14:solidFill>
              <w14:schemeClr w14:val="tx1"/>
            </w14:solidFill>
          </w14:textFill>
        </w:rPr>
        <w:t>的整个段落，</w:t>
      </w:r>
      <w:r>
        <w:rPr>
          <w:rFonts w:hint="eastAsia"/>
          <w:i/>
          <w:iCs/>
          <w:color w:val="000000" w:themeColor="text1"/>
          <w:sz w:val="20"/>
          <w:szCs w:val="20"/>
          <w14:textFill>
            <w14:solidFill>
              <w14:schemeClr w14:val="tx1"/>
            </w14:solidFill>
          </w14:textFill>
        </w:rPr>
        <w:t>win</w:t>
      </w:r>
      <w:r>
        <w:rPr>
          <w:rFonts w:hint="eastAsia"/>
          <w:color w:val="000000" w:themeColor="text1"/>
          <w:sz w:val="20"/>
          <w:szCs w:val="20"/>
          <w14:textFill>
            <w14:solidFill>
              <w14:schemeClr w14:val="tx1"/>
            </w14:solidFill>
          </w14:textFill>
        </w:rPr>
        <w:t>(</w:t>
      </w:r>
      <w:r>
        <w:rPr>
          <w:rFonts w:hint="eastAsia"/>
          <w:i/>
          <w:iCs/>
          <w:color w:val="000000" w:themeColor="text1"/>
          <w:sz w:val="20"/>
          <w:szCs w:val="20"/>
          <w14:textFill>
            <w14:solidFill>
              <w14:schemeClr w14:val="tx1"/>
            </w14:solidFill>
          </w14:textFill>
        </w:rPr>
        <w:t>e</w:t>
      </w:r>
      <w:r>
        <w:rPr>
          <w:rFonts w:hint="eastAsia"/>
          <w:color w:val="000000" w:themeColor="text1"/>
          <w:sz w:val="20"/>
          <w:szCs w:val="20"/>
          <w14:textFill>
            <w14:solidFill>
              <w14:schemeClr w14:val="tx1"/>
            </w14:solidFill>
          </w14:textFill>
        </w:rPr>
        <w:t>,64)</w:t>
      </w:r>
      <w:r>
        <w:rPr>
          <w:color w:val="000000" w:themeColor="text1"/>
          <w:sz w:val="20"/>
          <w:szCs w:val="20"/>
          <w14:textFill>
            <w14:solidFill>
              <w14:schemeClr w14:val="tx1"/>
            </w14:solidFill>
          </w14:textFill>
        </w:rPr>
        <w:t>表示以实体</w:t>
      </w:r>
      <w:r>
        <w:rPr>
          <w:rFonts w:hint="eastAsia"/>
          <w:i/>
          <w:iCs/>
          <w:color w:val="000000" w:themeColor="text1"/>
          <w:sz w:val="20"/>
          <w:szCs w:val="20"/>
          <w14:textFill>
            <w14:solidFill>
              <w14:schemeClr w14:val="tx1"/>
            </w14:solidFill>
          </w14:textFill>
        </w:rPr>
        <w:t>e</w:t>
      </w:r>
      <w:r>
        <w:rPr>
          <w:color w:val="000000" w:themeColor="text1"/>
          <w:sz w:val="20"/>
          <w:szCs w:val="20"/>
          <w14:textFill>
            <w14:solidFill>
              <w14:schemeClr w14:val="tx1"/>
            </w14:solidFill>
          </w14:textFill>
        </w:rPr>
        <w:t>为中心、长度为64个字符的</w:t>
      </w:r>
      <w:r>
        <w:rPr>
          <w:rFonts w:hint="eastAsia"/>
          <w:color w:val="000000" w:themeColor="text1"/>
          <w:sz w:val="20"/>
          <w:szCs w:val="20"/>
          <w14:textFill>
            <w14:solidFill>
              <w14:schemeClr w14:val="tx1"/>
            </w14:solidFill>
          </w14:textFill>
        </w:rPr>
        <w:t>上下文</w:t>
      </w:r>
      <w:r>
        <w:rPr>
          <w:color w:val="000000" w:themeColor="text1"/>
          <w:sz w:val="20"/>
          <w:szCs w:val="20"/>
          <w14:textFill>
            <w14:solidFill>
              <w14:schemeClr w14:val="tx1"/>
            </w14:solidFill>
          </w14:textFill>
        </w:rPr>
        <w:t>窗口（左右各32字符）。权重</w:t>
      </w:r>
      <w:r>
        <w:rPr>
          <w:rFonts w:hint="eastAsia"/>
          <w:color w:val="000000" w:themeColor="text1"/>
          <w:sz w:val="20"/>
          <w:szCs w:val="20"/>
          <w14:textFill>
            <w14:solidFill>
              <w14:schemeClr w14:val="tx1"/>
            </w14:solidFill>
          </w14:textFill>
        </w:rPr>
        <w:t>(0.5,0.3,0.2)</w:t>
      </w:r>
      <w:r>
        <w:rPr>
          <w:color w:val="000000" w:themeColor="text1"/>
          <w:sz w:val="20"/>
          <w:szCs w:val="20"/>
          <w14:textFill>
            <w14:solidFill>
              <w14:schemeClr w14:val="tx1"/>
            </w14:solidFill>
          </w14:textFill>
        </w:rPr>
        <w:t>通过</w:t>
      </w:r>
      <w:commentRangeStart w:id="1"/>
      <w:r>
        <w:rPr>
          <w:color w:val="000000" w:themeColor="text1"/>
          <w:sz w:val="20"/>
          <w:szCs w:val="20"/>
          <w14:textFill>
            <w14:solidFill>
              <w14:schemeClr w14:val="tx1"/>
            </w14:solidFill>
          </w14:textFill>
        </w:rPr>
        <w:t>验证集网格搜索确定</w:t>
      </w:r>
      <w:commentRangeEnd w:id="1"/>
      <w:r>
        <w:rPr>
          <w:color w:val="000000" w:themeColor="text1"/>
          <w:sz w:val="20"/>
          <w:szCs w:val="20"/>
          <w14:textFill>
            <w14:solidFill>
              <w14:schemeClr w14:val="tx1"/>
            </w14:solidFill>
          </w14:textFill>
        </w:rPr>
        <w:commentReference w:id="1"/>
      </w:r>
      <w:r>
        <w:rPr>
          <w:color w:val="000000" w:themeColor="text1"/>
          <w:sz w:val="20"/>
          <w:szCs w:val="20"/>
          <w14:textFill>
            <w14:solidFill>
              <w14:schemeClr w14:val="tx1"/>
            </w14:solidFill>
          </w14:textFill>
        </w:rPr>
        <w:t>，搜索范围为</w:t>
      </w:r>
      <w:r>
        <w:rPr>
          <w:rFonts w:hint="eastAsia"/>
          <w:color w:val="000000" w:themeColor="text1"/>
          <w:sz w:val="20"/>
          <w:szCs w:val="20"/>
          <w14:textFill>
            <w14:solidFill>
              <w14:schemeClr w14:val="tx1"/>
            </w14:solidFill>
          </w14:textFill>
        </w:rPr>
        <w:t>[0.1,0.7]</w:t>
      </w:r>
      <w:r>
        <w:rPr>
          <w:color w:val="000000" w:themeColor="text1"/>
          <w:sz w:val="20"/>
          <w:szCs w:val="20"/>
          <w14:textFill>
            <w14:solidFill>
              <w14:schemeClr w14:val="tx1"/>
            </w14:solidFill>
          </w14:textFill>
        </w:rPr>
        <w:t>，步长</w:t>
      </w:r>
      <w:r>
        <w:rPr>
          <w:rFonts w:hint="eastAsia"/>
          <w:color w:val="000000" w:themeColor="text1"/>
          <w:sz w:val="20"/>
          <w:szCs w:val="20"/>
          <w14:textFill>
            <w14:solidFill>
              <w14:schemeClr w14:val="tx1"/>
            </w14:solidFill>
          </w14:textFill>
        </w:rPr>
        <w:t>为</w:t>
      </w:r>
      <w:r>
        <w:rPr>
          <w:color w:val="000000" w:themeColor="text1"/>
          <w:sz w:val="20"/>
          <w:szCs w:val="20"/>
          <w14:textFill>
            <w14:solidFill>
              <w14:schemeClr w14:val="tx1"/>
            </w14:solidFill>
          </w14:textFill>
        </w:rPr>
        <w:t>0.1。</w:t>
      </w:r>
    </w:p>
    <w:p w14:paraId="0DDEF991">
      <w:pPr>
        <w:pStyle w:val="7"/>
        <w:tabs>
          <w:tab w:val="center" w:pos="4153"/>
          <w:tab w:val="right" w:pos="8306"/>
        </w:tabs>
        <w:spacing w:after="60" w:line="240" w:lineRule="auto"/>
        <w:ind w:firstLine="0" w:firstLineChars="0"/>
        <w:jc w:val="right"/>
        <w:rPr>
          <w:color w:val="000000" w:themeColor="text1"/>
          <w:sz w:val="20"/>
          <w:szCs w:val="20"/>
          <w14:textFill>
            <w14:solidFill>
              <w14:schemeClr w14:val="tx1"/>
            </w14:solidFill>
          </w14:textFill>
        </w:rPr>
      </w:pPr>
      <w:r>
        <w:rPr>
          <w:position w:val="-14"/>
          <w:sz w:val="20"/>
          <w:szCs w:val="20"/>
        </w:rPr>
        <w:drawing>
          <wp:inline distT="0" distB="0" distL="0" distR="0">
            <wp:extent cx="4222750" cy="173355"/>
            <wp:effectExtent l="0" t="0" r="0" b="4445"/>
            <wp:docPr id="693707755" name="Picture 1" descr="{&quot;mathml&quot;:&quot;&lt;math style=\&quot;font-family:stix;font-size:16px;\&quot; xmlns=\&quot;http://www.w3.org/1998/Math/MathML\&quot;&gt;&lt;msub&gt;&lt;mi&gt;e&lt;/mi&gt;&lt;mrow&gt;&lt;mi&gt;s&lt;/mi&gt;&lt;mi&gt;e&lt;/mi&gt;&lt;mi&gt;m&lt;/mi&gt;&lt;/mrow&gt;&lt;/msub&gt;&lt;mo&gt;=&lt;/mo&gt;&lt;mn&gt;0&lt;/mn&gt;&lt;mo&gt;.&lt;/mo&gt;&lt;mn&gt;5&lt;/mn&gt;&lt;mo&gt;&amp;#xB7;&lt;/mo&gt;&lt;mi&gt;E&lt;/mi&gt;&lt;mi&gt;n&lt;/mi&gt;&lt;mi&gt;c&lt;/mi&gt;&lt;mo&gt;(&lt;/mo&gt;&lt;msub&gt;&lt;mi&gt;p&lt;/mi&gt;&lt;mrow&gt;&lt;mi&gt;c&lt;/mi&gt;&lt;mi&gt;o&lt;/mi&gt;&lt;mi&gt;n&lt;/mi&gt;&lt;mi&gt;t&lt;/mi&gt;&lt;mi&gt;a&lt;/mi&gt;&lt;mi&gt;i&lt;/mi&gt;&lt;mi&gt;n&lt;/mi&gt;&lt;/mrow&gt;&lt;/msub&gt;&lt;mo&gt;)&lt;/mo&gt;&lt;mo&gt;+&lt;/mo&gt;&lt;mn&gt;0&lt;/mn&gt;&lt;mo&gt;.&lt;/mo&gt;&lt;mn&gt;3&lt;/mn&gt;&lt;mo&gt;&amp;#xB7;&lt;/mo&gt;&lt;mi&gt;E&lt;/mi&gt;&lt;mi&gt;n&lt;/mi&gt;&lt;mi&gt;c&lt;/mi&gt;&lt;mo&gt;(&lt;/mo&gt;&lt;mi&gt;w&lt;/mi&gt;&lt;mi&gt;i&lt;/mi&gt;&lt;mi&gt;n&lt;/mi&gt;&lt;mo&gt;(&lt;/mo&gt;&lt;mi&gt;e&lt;/mi&gt;&lt;mo&gt;,&lt;/mo&gt;&lt;mn&gt;64&lt;/mn&gt;&lt;mo&gt;)&lt;/mo&gt;&lt;mo&gt;)&lt;/mo&gt;&lt;mo&gt;+&lt;/mo&gt;&lt;mn&gt;0&lt;/mn&gt;&lt;mo&gt;.&lt;/mo&gt;&lt;mn&gt;2&lt;/mn&gt;&lt;mo&gt;&amp;#xB7;&lt;/mo&gt;&lt;mi&gt;E&lt;/mi&gt;&lt;mi&gt;n&lt;/mi&gt;&lt;mi&gt;c&lt;/mi&gt;&lt;mo&gt;(&lt;/mo&gt;&lt;mi&gt;e&lt;/mi&gt;&lt;mo&gt;)&lt;/mo&gt;&lt;/math&gt;&quot;,&quot;origin&quot;:&quot;MathType Legacy&quot;,&quot;version&quot;:&quot;v3.23.0&quot;}" title="e 下标 s e m 结束下标 等于 0.5 乘 E n c 左括号 p 下标 c o n t a i n 结束下标 右括号 加 0.3 乘 E n c 左括号 w i n 左括号 e 逗号 64 右括号 右括号 加 0.2 乘 E n c 左括号 e 右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707755" name="Picture 1" descr="{&quot;mathml&quot;:&quot;&lt;math style=\&quot;font-family:stix;font-size:16px;\&quot; xmlns=\&quot;http://www.w3.org/1998/Math/MathML\&quot;&gt;&lt;msub&gt;&lt;mi&gt;e&lt;/mi&gt;&lt;mrow&gt;&lt;mi&gt;s&lt;/mi&gt;&lt;mi&gt;e&lt;/mi&gt;&lt;mi&gt;m&lt;/mi&gt;&lt;/mrow&gt;&lt;/msub&gt;&lt;mo&gt;=&lt;/mo&gt;&lt;mn&gt;0&lt;/mn&gt;&lt;mo&gt;.&lt;/mo&gt;&lt;mn&gt;5&lt;/mn&gt;&lt;mo&gt;&amp;#xB7;&lt;/mo&gt;&lt;mi&gt;E&lt;/mi&gt;&lt;mi&gt;n&lt;/mi&gt;&lt;mi&gt;c&lt;/mi&gt;&lt;mo&gt;(&lt;/mo&gt;&lt;msub&gt;&lt;mi&gt;p&lt;/mi&gt;&lt;mrow&gt;&lt;mi&gt;c&lt;/mi&gt;&lt;mi&gt;o&lt;/mi&gt;&lt;mi&gt;n&lt;/mi&gt;&lt;mi&gt;t&lt;/mi&gt;&lt;mi&gt;a&lt;/mi&gt;&lt;mi&gt;i&lt;/mi&gt;&lt;mi&gt;n&lt;/mi&gt;&lt;/mrow&gt;&lt;/msub&gt;&lt;mo&gt;)&lt;/mo&gt;&lt;mo&gt;+&lt;/mo&gt;&lt;mn&gt;0&lt;/mn&gt;&lt;mo&gt;.&lt;/mo&gt;&lt;mn&gt;3&lt;/mn&gt;&lt;mo&gt;&amp;#xB7;&lt;/mo&gt;&lt;mi&gt;E&lt;/mi&gt;&lt;mi&gt;n&lt;/mi&gt;&lt;mi&gt;c&lt;/mi&gt;&lt;mo&gt;(&lt;/mo&gt;&lt;mi&gt;w&lt;/mi&gt;&lt;mi&gt;i&lt;/mi&gt;&lt;mi&gt;n&lt;/mi&gt;&lt;mo&gt;(&lt;/mo&gt;&lt;mi&gt;e&lt;/mi&gt;&lt;mo&gt;,&lt;/mo&gt;&lt;mn&gt;64&lt;/mn&gt;&lt;mo&gt;)&lt;/mo&gt;&lt;mo&gt;)&lt;/mo&gt;&lt;mo&gt;+&lt;/mo&gt;&lt;mn&gt;0&lt;/mn&gt;&lt;mo&gt;.&lt;/mo&gt;&lt;mn&gt;2&lt;/mn&gt;&lt;mo&gt;&amp;#xB7;&lt;/mo&gt;&lt;mi&gt;E&lt;/mi&gt;&lt;mi&gt;n&lt;/mi&gt;&lt;mi&gt;c&lt;/mi&gt;&lt;mo&gt;(&lt;/mo&gt;&lt;mi&gt;e&lt;/mi&gt;&lt;mo&gt;)&lt;/mo&gt;&lt;/math&gt;&quot;,&quot;origin&quot;:&quot;MathType Legacy&quot;,&quot;version&quot;:&quot;v3.23.0&quot;}" title="e 下标 s e m 结束下标 等于 0.5 乘 E n c 左括号 p 下标 c o n t a i n 结束下标 右括号 加 0.3 乘 E n c 左括号 w i n 左括号 e 逗号 64 右括号 右括号 加 0.2 乘 E n c 左括号 e 右括号"/>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4222750" cy="173355"/>
                    </a:xfrm>
                    <a:prstGeom prst="rect">
                      <a:avLst/>
                    </a:prstGeom>
                  </pic:spPr>
                </pic:pic>
              </a:graphicData>
            </a:graphic>
          </wp:inline>
        </w:drawing>
      </w:r>
      <w:r>
        <w:rPr>
          <w:rFonts w:hint="eastAsia"/>
          <w:position w:val="-14"/>
          <w:sz w:val="20"/>
          <w:szCs w:val="20"/>
        </w:rPr>
        <w:t xml:space="preserve">  </w:t>
      </w:r>
      <w:r>
        <w:rPr>
          <w:rFonts w:hint="eastAsia"/>
          <w:color w:val="000000" w:themeColor="text1"/>
          <w:sz w:val="20"/>
          <w:szCs w:val="20"/>
          <w14:textFill>
            <w14:solidFill>
              <w14:schemeClr w14:val="tx1"/>
            </w14:solidFill>
          </w14:textFill>
        </w:rPr>
        <w:t>（5）</w:t>
      </w:r>
    </w:p>
    <w:p w14:paraId="19A4411D">
      <w:pPr>
        <w:pStyle w:val="7"/>
        <w:spacing w:after="60" w:line="240" w:lineRule="auto"/>
        <w:ind w:firstLine="400"/>
        <w:rPr>
          <w:color w:val="000000" w:themeColor="text1"/>
          <w:sz w:val="20"/>
          <w:szCs w:val="20"/>
          <w14:textFill>
            <w14:solidFill>
              <w14:schemeClr w14:val="tx1"/>
            </w14:solidFill>
          </w14:textFill>
        </w:rPr>
      </w:pPr>
      <w:r>
        <w:rPr>
          <w:rFonts w:hint="eastAsia"/>
          <w:color w:val="000000" w:themeColor="text1"/>
          <w:sz w:val="20"/>
          <w:szCs w:val="20"/>
          <w14:textFill>
            <w14:solidFill>
              <w14:schemeClr w14:val="tx1"/>
            </w14:solidFill>
          </w14:textFill>
        </w:rPr>
        <w:t>该设计解决单一实体文本表达不足问题，尤其能够有效解决别名歧义、弱表面语义（如“WannaCry”不直接传达归属）以及上下文相关指标（如“C2 server at [IP]”中的“C2 server”）</w:t>
      </w:r>
      <w:r>
        <w:rPr>
          <w:color w:val="000000" w:themeColor="text1"/>
          <w:sz w:val="20"/>
          <w:szCs w:val="20"/>
          <w14:textFill>
            <w14:solidFill>
              <w14:schemeClr w14:val="tx1"/>
            </w14:solidFill>
          </w14:textFill>
        </w:rPr>
        <w:t>。</w:t>
      </w:r>
      <w:r>
        <w:rPr>
          <w:rFonts w:hint="eastAsia"/>
          <w:color w:val="000000" w:themeColor="text1"/>
          <w:sz w:val="20"/>
          <w:szCs w:val="20"/>
          <w14:textFill>
            <w14:solidFill>
              <w14:schemeClr w14:val="tx1"/>
            </w14:solidFill>
          </w14:textFill>
        </w:rPr>
        <w:t>三种粒度结构分别提供全局上下文（段落级语义）、局部归属线索（窗口级信号）以及身份锚点（实体表面形式）。</w:t>
      </w:r>
    </w:p>
    <w:p w14:paraId="4D9253A9">
      <w:pPr>
        <w:pStyle w:val="7"/>
        <w:spacing w:after="60" w:line="240" w:lineRule="auto"/>
        <w:ind w:firstLine="400"/>
        <w:rPr>
          <w:color w:val="000000" w:themeColor="text1"/>
          <w:sz w:val="20"/>
          <w:szCs w:val="20"/>
          <w:lang w:eastAsia="zh"/>
          <w14:textFill>
            <w14:solidFill>
              <w14:schemeClr w14:val="tx1"/>
            </w14:solidFill>
          </w14:textFill>
        </w:rPr>
      </w:pPr>
      <w:r>
        <w:rPr>
          <w:rFonts w:hint="eastAsia"/>
          <w:color w:val="000000" w:themeColor="text1"/>
          <w:sz w:val="20"/>
          <w:szCs w:val="20"/>
          <w14:textFill>
            <w14:solidFill>
              <w14:schemeClr w14:val="tx1"/>
            </w14:solidFill>
          </w14:textFill>
        </w:rPr>
        <w:t>（5）</w:t>
      </w:r>
      <w:r>
        <w:rPr>
          <w:color w:val="000000" w:themeColor="text1"/>
          <w:sz w:val="20"/>
          <w:szCs w:val="20"/>
          <w14:textFill>
            <w14:solidFill>
              <w14:schemeClr w14:val="tx1"/>
            </w14:solidFill>
          </w14:textFill>
        </w:rPr>
        <w:t>TF-IDF降维特征</w:t>
      </w:r>
      <w:r>
        <w:rPr>
          <w:rFonts w:hint="eastAsia"/>
          <w:i/>
          <w:iCs/>
          <w:color w:val="000000" w:themeColor="text1"/>
          <w:sz w:val="20"/>
          <w:szCs w:val="20"/>
          <w14:textFill>
            <w14:solidFill>
              <w14:schemeClr w14:val="tx1"/>
            </w14:solidFill>
          </w14:textFill>
        </w:rPr>
        <w:t>f</w:t>
      </w:r>
      <w:r>
        <w:rPr>
          <w:rFonts w:hint="eastAsia"/>
          <w:i/>
          <w:iCs/>
          <w:color w:val="000000" w:themeColor="text1"/>
          <w:sz w:val="20"/>
          <w:szCs w:val="20"/>
          <w:vertAlign w:val="subscript"/>
          <w14:textFill>
            <w14:solidFill>
              <w14:schemeClr w14:val="tx1"/>
            </w14:solidFill>
          </w14:textFill>
        </w:rPr>
        <w:t>i</w:t>
      </w:r>
      <w:r>
        <w:rPr>
          <w:rFonts w:hint="eastAsia"/>
          <w:color w:val="000000" w:themeColor="text1"/>
          <w:sz w:val="20"/>
          <w:szCs w:val="20"/>
          <w14:textFill>
            <w14:solidFill>
              <w14:schemeClr w14:val="tx1"/>
            </w14:solidFill>
          </w14:textFill>
        </w:rPr>
        <w:t>∈</w:t>
      </w:r>
      <w:r>
        <w:rPr>
          <w:color w:val="000000" w:themeColor="text1"/>
          <w:sz w:val="20"/>
          <w:szCs w:val="20"/>
          <w14:textFill>
            <w14:solidFill>
              <w14:schemeClr w14:val="tx1"/>
            </w14:solidFill>
          </w14:textFill>
        </w:rPr>
        <w:t>ℝ</w:t>
      </w:r>
      <w:r>
        <w:rPr>
          <w:rFonts w:hint="eastAsia"/>
          <w:color w:val="000000" w:themeColor="text1"/>
          <w:sz w:val="20"/>
          <w:szCs w:val="20"/>
          <w:vertAlign w:val="superscript"/>
          <w14:textFill>
            <w14:solidFill>
              <w14:schemeClr w14:val="tx1"/>
            </w14:solidFill>
          </w14:textFill>
        </w:rPr>
        <w:t>300</w:t>
      </w:r>
      <w:r>
        <w:rPr>
          <w:color w:val="000000" w:themeColor="text1"/>
          <w:sz w:val="20"/>
          <w:szCs w:val="20"/>
          <w14:textFill>
            <w14:solidFill>
              <w14:schemeClr w14:val="tx1"/>
            </w14:solidFill>
          </w14:textFill>
        </w:rPr>
        <w:t>：</w:t>
      </w:r>
      <w:r>
        <w:rPr>
          <w:rFonts w:hint="eastAsia"/>
          <w:color w:val="000000" w:themeColor="text1"/>
          <w:sz w:val="20"/>
          <w:szCs w:val="20"/>
          <w14:textFill>
            <w14:solidFill>
              <w14:schemeClr w14:val="tx1"/>
            </w14:solidFill>
          </w14:textFill>
        </w:rPr>
        <w:t>通过截断SVD对TF-IDF矩阵进行低秩近似[</w:t>
      </w:r>
      <w:r>
        <w:rPr>
          <w:rFonts w:hint="eastAsia"/>
          <w:color w:val="000000" w:themeColor="text1"/>
          <w:sz w:val="20"/>
          <w:szCs w:val="20"/>
          <w:lang w:eastAsia="zh"/>
          <w14:textFill>
            <w14:solidFill>
              <w14:schemeClr w14:val="tx1"/>
            </w14:solidFill>
          </w14:textFill>
        </w:rPr>
        <w:t>38</w:t>
      </w:r>
      <w:r>
        <w:rPr>
          <w:rFonts w:hint="eastAsia"/>
          <w:color w:val="000000" w:themeColor="text1"/>
          <w:sz w:val="20"/>
          <w:szCs w:val="20"/>
          <w14:textFill>
            <w14:solidFill>
              <w14:schemeClr w14:val="tx1"/>
            </w14:solidFill>
          </w14:textFill>
        </w:rPr>
        <w:t>]，获得全局语料结构投影。</w:t>
      </w:r>
      <w:r>
        <w:rPr>
          <w:color w:val="000000" w:themeColor="text1"/>
          <w:sz w:val="20"/>
          <w:szCs w:val="20"/>
          <w14:textFill>
            <w14:solidFill>
              <w14:schemeClr w14:val="tx1"/>
            </w14:solidFill>
          </w14:textFill>
        </w:rPr>
        <w:t>TF-IDF权重采用带Laplace平滑的定义，如</w:t>
      </w:r>
      <w:r>
        <w:rPr>
          <w:rFonts w:hint="eastAsia"/>
          <w:color w:val="000000" w:themeColor="text1"/>
          <w:sz w:val="20"/>
          <w:szCs w:val="20"/>
          <w14:textFill>
            <w14:solidFill>
              <w14:schemeClr w14:val="tx1"/>
            </w14:solidFill>
          </w14:textFill>
        </w:rPr>
        <w:t>公式（6）</w:t>
      </w:r>
      <w:r>
        <w:rPr>
          <w:color w:val="000000" w:themeColor="text1"/>
          <w:sz w:val="20"/>
          <w:szCs w:val="20"/>
          <w14:textFill>
            <w14:solidFill>
              <w14:schemeClr w14:val="tx1"/>
            </w14:solidFill>
          </w14:textFill>
        </w:rPr>
        <w:t>所示</w:t>
      </w:r>
      <w:r>
        <w:rPr>
          <w:rFonts w:hint="eastAsia"/>
          <w:color w:val="000000" w:themeColor="text1"/>
          <w:sz w:val="20"/>
          <w:szCs w:val="20"/>
          <w14:textFill>
            <w14:solidFill>
              <w14:schemeClr w14:val="tx1"/>
            </w14:solidFill>
          </w14:textFill>
        </w:rPr>
        <w:t>，其中</w:t>
      </w:r>
      <w:r>
        <w:rPr>
          <w:rFonts w:hint="eastAsia"/>
          <w:i/>
          <w:iCs/>
          <w:color w:val="000000" w:themeColor="text1"/>
          <w:sz w:val="20"/>
          <w:szCs w:val="20"/>
          <w14:textFill>
            <w14:solidFill>
              <w14:schemeClr w14:val="tx1"/>
            </w14:solidFill>
          </w14:textFill>
        </w:rPr>
        <w:t>w</w:t>
      </w:r>
      <w:r>
        <w:rPr>
          <w:rFonts w:hint="eastAsia"/>
          <w:color w:val="000000" w:themeColor="text1"/>
          <w:sz w:val="20"/>
          <w:szCs w:val="20"/>
          <w14:textFill>
            <w14:solidFill>
              <w14:schemeClr w14:val="tx1"/>
            </w14:solidFill>
          </w14:textFill>
        </w:rPr>
        <w:t>表示单个词汇，</w:t>
      </w:r>
      <w:r>
        <w:rPr>
          <w:rFonts w:hint="eastAsia"/>
          <w:i/>
          <w:iCs/>
          <w:color w:val="000000" w:themeColor="text1"/>
          <w:sz w:val="20"/>
          <w:szCs w:val="20"/>
          <w14:textFill>
            <w14:solidFill>
              <w14:schemeClr w14:val="tx1"/>
            </w14:solidFill>
          </w14:textFill>
        </w:rPr>
        <w:t>d</w:t>
      </w:r>
      <w:r>
        <w:rPr>
          <w:rFonts w:hint="eastAsia"/>
          <w:color w:val="000000" w:themeColor="text1"/>
          <w:sz w:val="20"/>
          <w:szCs w:val="20"/>
          <w14:textFill>
            <w14:solidFill>
              <w14:schemeClr w14:val="tx1"/>
            </w14:solidFill>
          </w14:textFill>
        </w:rPr>
        <w:t>表示单个威胁情报报告文档，c</w:t>
      </w:r>
      <w:r>
        <w:rPr>
          <w:rFonts w:hint="eastAsia"/>
          <w:i/>
          <w:iCs/>
          <w:color w:val="000000" w:themeColor="text1"/>
          <w:sz w:val="20"/>
          <w:szCs w:val="20"/>
          <w14:textFill>
            <w14:solidFill>
              <w14:schemeClr w14:val="tx1"/>
            </w14:solidFill>
          </w14:textFill>
        </w:rPr>
        <w:t>ount</w:t>
      </w:r>
      <w:r>
        <w:rPr>
          <w:rFonts w:hint="eastAsia"/>
          <w:color w:val="000000" w:themeColor="text1"/>
          <w:sz w:val="20"/>
          <w:szCs w:val="20"/>
          <w14:textFill>
            <w14:solidFill>
              <w14:schemeClr w14:val="tx1"/>
            </w14:solidFill>
          </w14:textFill>
        </w:rPr>
        <w:t>(</w:t>
      </w:r>
      <w:r>
        <w:rPr>
          <w:rFonts w:hint="eastAsia"/>
          <w:i/>
          <w:iCs/>
          <w:color w:val="000000" w:themeColor="text1"/>
          <w:sz w:val="20"/>
          <w:szCs w:val="20"/>
          <w14:textFill>
            <w14:solidFill>
              <w14:schemeClr w14:val="tx1"/>
            </w14:solidFill>
          </w14:textFill>
        </w:rPr>
        <w:t>w</w:t>
      </w:r>
      <w:r>
        <w:rPr>
          <w:rFonts w:hint="eastAsia"/>
          <w:color w:val="000000" w:themeColor="text1"/>
          <w:sz w:val="20"/>
          <w:szCs w:val="20"/>
          <w14:textFill>
            <w14:solidFill>
              <w14:schemeClr w14:val="tx1"/>
            </w14:solidFill>
          </w14:textFill>
        </w:rPr>
        <w:t>,</w:t>
      </w:r>
      <w:r>
        <w:rPr>
          <w:rFonts w:hint="eastAsia"/>
          <w:i/>
          <w:iCs/>
          <w:color w:val="000000" w:themeColor="text1"/>
          <w:sz w:val="20"/>
          <w:szCs w:val="20"/>
          <w14:textFill>
            <w14:solidFill>
              <w14:schemeClr w14:val="tx1"/>
            </w14:solidFill>
          </w14:textFill>
        </w:rPr>
        <w:t>d</w:t>
      </w:r>
      <w:r>
        <w:rPr>
          <w:rFonts w:hint="eastAsia"/>
          <w:color w:val="000000" w:themeColor="text1"/>
          <w:sz w:val="20"/>
          <w:szCs w:val="20"/>
          <w14:textFill>
            <w14:solidFill>
              <w14:schemeClr w14:val="tx1"/>
            </w14:solidFill>
          </w14:textFill>
        </w:rPr>
        <w:t>)为词汇</w:t>
      </w:r>
      <w:r>
        <w:rPr>
          <w:rFonts w:hint="eastAsia"/>
          <w:i/>
          <w:iCs/>
          <w:color w:val="000000" w:themeColor="text1"/>
          <w:sz w:val="20"/>
          <w:szCs w:val="20"/>
          <w14:textFill>
            <w14:solidFill>
              <w14:schemeClr w14:val="tx1"/>
            </w14:solidFill>
          </w14:textFill>
        </w:rPr>
        <w:t>w</w:t>
      </w:r>
      <w:r>
        <w:rPr>
          <w:rFonts w:hint="eastAsia"/>
          <w:color w:val="000000" w:themeColor="text1"/>
          <w:sz w:val="20"/>
          <w:szCs w:val="20"/>
          <w14:textFill>
            <w14:solidFill>
              <w14:schemeClr w14:val="tx1"/>
            </w14:solidFill>
          </w14:textFill>
        </w:rPr>
        <w:t>在文档</w:t>
      </w:r>
      <w:r>
        <w:rPr>
          <w:rFonts w:hint="eastAsia"/>
          <w:i/>
          <w:iCs/>
          <w:color w:val="000000" w:themeColor="text1"/>
          <w:sz w:val="20"/>
          <w:szCs w:val="20"/>
          <w14:textFill>
            <w14:solidFill>
              <w14:schemeClr w14:val="tx1"/>
            </w14:solidFill>
          </w14:textFill>
        </w:rPr>
        <w:t>d</w:t>
      </w:r>
      <w:r>
        <w:rPr>
          <w:rFonts w:hint="eastAsia"/>
          <w:color w:val="000000" w:themeColor="text1"/>
          <w:sz w:val="20"/>
          <w:szCs w:val="20"/>
          <w14:textFill>
            <w14:solidFill>
              <w14:schemeClr w14:val="tx1"/>
            </w14:solidFill>
          </w14:textFill>
        </w:rPr>
        <w:t>中出现的次数，</w:t>
      </w:r>
      <w:r>
        <w:rPr>
          <w:rFonts w:hint="eastAsia"/>
          <w:i/>
          <w:iCs/>
          <w:color w:val="000000" w:themeColor="text1"/>
          <w:sz w:val="20"/>
          <w:szCs w:val="20"/>
          <w14:textFill>
            <w14:solidFill>
              <w14:schemeClr w14:val="tx1"/>
            </w14:solidFill>
          </w14:textFill>
        </w:rPr>
        <w:t>w'</w:t>
      </w:r>
      <w:r>
        <w:rPr>
          <w:rFonts w:hint="eastAsia"/>
          <w:color w:val="000000" w:themeColor="text1"/>
          <w:sz w:val="20"/>
          <w:szCs w:val="20"/>
          <w14:textFill>
            <w14:solidFill>
              <w14:schemeClr w14:val="tx1"/>
            </w14:solidFill>
          </w14:textFill>
        </w:rPr>
        <w:t>为遍历文档</w:t>
      </w:r>
      <w:r>
        <w:rPr>
          <w:rFonts w:hint="eastAsia"/>
          <w:i/>
          <w:iCs/>
          <w:color w:val="000000" w:themeColor="text1"/>
          <w:sz w:val="20"/>
          <w:szCs w:val="20"/>
          <w14:textFill>
            <w14:solidFill>
              <w14:schemeClr w14:val="tx1"/>
            </w14:solidFill>
          </w14:textFill>
        </w:rPr>
        <w:t>d</w:t>
      </w:r>
      <w:r>
        <w:rPr>
          <w:rFonts w:hint="eastAsia"/>
          <w:color w:val="000000" w:themeColor="text1"/>
          <w:sz w:val="20"/>
          <w:szCs w:val="20"/>
          <w14:textFill>
            <w14:solidFill>
              <w14:schemeClr w14:val="tx1"/>
            </w14:solidFill>
          </w14:textFill>
        </w:rPr>
        <w:t>时任意词汇，</w:t>
      </w:r>
      <w:r>
        <w:rPr>
          <w:rFonts w:hint="eastAsia"/>
          <w:i/>
          <w:iCs/>
          <w:color w:val="000000" w:themeColor="text1"/>
          <w:sz w:val="20"/>
          <w:szCs w:val="20"/>
          <w14:textFill>
            <w14:solidFill>
              <w14:schemeClr w14:val="tx1"/>
            </w14:solidFill>
          </w14:textFill>
        </w:rPr>
        <w:t>D</w:t>
      </w:r>
      <w:r>
        <w:rPr>
          <w:rFonts w:hint="eastAsia"/>
          <w:color w:val="000000" w:themeColor="text1"/>
          <w:sz w:val="20"/>
          <w:szCs w:val="20"/>
          <w14:textFill>
            <w14:solidFill>
              <w14:schemeClr w14:val="tx1"/>
            </w14:solidFill>
          </w14:textFill>
        </w:rPr>
        <w:t>为整个威胁情报语料库，</w:t>
      </w:r>
      <w:r>
        <w:rPr>
          <w:rFonts w:hint="eastAsia"/>
          <w:i/>
          <w:iCs/>
          <w:color w:val="000000" w:themeColor="text1"/>
          <w:sz w:val="20"/>
          <w:szCs w:val="20"/>
          <w14:textFill>
            <w14:solidFill>
              <w14:schemeClr w14:val="tx1"/>
            </w14:solidFill>
          </w14:textFill>
        </w:rPr>
        <w:t>d'</w:t>
      </w:r>
      <w:r>
        <w:rPr>
          <w:rFonts w:hint="eastAsia"/>
          <w:color w:val="000000" w:themeColor="text1"/>
          <w:sz w:val="20"/>
          <w:szCs w:val="20"/>
          <w14:textFill>
            <w14:solidFill>
              <w14:schemeClr w14:val="tx1"/>
            </w14:solidFill>
          </w14:textFill>
        </w:rPr>
        <w:t>为遍历语料库时的任意文档，|</w:t>
      </w:r>
      <w:r>
        <w:rPr>
          <w:rFonts w:hint="eastAsia"/>
          <w:i/>
          <w:iCs/>
          <w:color w:val="000000" w:themeColor="text1"/>
          <w:sz w:val="20"/>
          <w:szCs w:val="20"/>
          <w14:textFill>
            <w14:solidFill>
              <w14:schemeClr w14:val="tx1"/>
            </w14:solidFill>
          </w14:textFill>
        </w:rPr>
        <w:t>D</w:t>
      </w:r>
      <w:r>
        <w:rPr>
          <w:rFonts w:hint="eastAsia"/>
          <w:color w:val="000000" w:themeColor="text1"/>
          <w:sz w:val="20"/>
          <w:szCs w:val="20"/>
          <w14:textFill>
            <w14:solidFill>
              <w14:schemeClr w14:val="tx1"/>
            </w14:solidFill>
          </w14:textFill>
        </w:rPr>
        <w:t>|为语料库中文档总数，|{</w:t>
      </w:r>
      <w:r>
        <w:rPr>
          <w:rFonts w:hint="eastAsia"/>
          <w:i/>
          <w:iCs/>
          <w:color w:val="000000" w:themeColor="text1"/>
          <w:sz w:val="20"/>
          <w:szCs w:val="20"/>
          <w14:textFill>
            <w14:solidFill>
              <w14:schemeClr w14:val="tx1"/>
            </w14:solidFill>
          </w14:textFill>
        </w:rPr>
        <w:t>d'</w:t>
      </w:r>
      <w:r>
        <w:rPr>
          <w:rFonts w:hint="eastAsia"/>
          <w:color w:val="000000" w:themeColor="text1"/>
          <w:sz w:val="20"/>
          <w:szCs w:val="20"/>
          <w14:textFill>
            <w14:solidFill>
              <w14:schemeClr w14:val="tx1"/>
            </w14:solidFill>
          </w14:textFill>
        </w:rPr>
        <w:t xml:space="preserve">: </w:t>
      </w:r>
      <w:r>
        <w:rPr>
          <w:rFonts w:hint="eastAsia"/>
          <w:i/>
          <w:iCs/>
          <w:color w:val="000000" w:themeColor="text1"/>
          <w:sz w:val="20"/>
          <w:szCs w:val="20"/>
          <w14:textFill>
            <w14:solidFill>
              <w14:schemeClr w14:val="tx1"/>
            </w14:solidFill>
          </w14:textFill>
        </w:rPr>
        <w:t>w</w:t>
      </w:r>
      <w:r>
        <w:rPr>
          <w:rFonts w:hint="eastAsia"/>
          <w:color w:val="000000" w:themeColor="text1"/>
          <w:sz w:val="20"/>
          <w:szCs w:val="20"/>
          <w14:textFill>
            <w14:solidFill>
              <w14:schemeClr w14:val="tx1"/>
            </w14:solidFill>
          </w14:textFill>
        </w:rPr>
        <w:t xml:space="preserve"> ∈ </w:t>
      </w:r>
      <w:r>
        <w:rPr>
          <w:rFonts w:hint="eastAsia"/>
          <w:i/>
          <w:iCs/>
          <w:color w:val="000000" w:themeColor="text1"/>
          <w:sz w:val="20"/>
          <w:szCs w:val="20"/>
          <w14:textFill>
            <w14:solidFill>
              <w14:schemeClr w14:val="tx1"/>
            </w14:solidFill>
          </w14:textFill>
        </w:rPr>
        <w:t>d'</w:t>
      </w:r>
      <w:r>
        <w:rPr>
          <w:rFonts w:hint="eastAsia"/>
          <w:color w:val="000000" w:themeColor="text1"/>
          <w:sz w:val="20"/>
          <w:szCs w:val="20"/>
          <w14:textFill>
            <w14:solidFill>
              <w14:schemeClr w14:val="tx1"/>
            </w14:solidFill>
          </w14:textFill>
        </w:rPr>
        <w:t>}|为包含词汇</w:t>
      </w:r>
      <w:r>
        <w:rPr>
          <w:rFonts w:hint="eastAsia"/>
          <w:i/>
          <w:iCs/>
          <w:color w:val="000000" w:themeColor="text1"/>
          <w:sz w:val="20"/>
          <w:szCs w:val="20"/>
          <w14:textFill>
            <w14:solidFill>
              <w14:schemeClr w14:val="tx1"/>
            </w14:solidFill>
          </w14:textFill>
        </w:rPr>
        <w:t>w</w:t>
      </w:r>
      <w:r>
        <w:rPr>
          <w:rFonts w:hint="eastAsia"/>
          <w:color w:val="000000" w:themeColor="text1"/>
          <w:sz w:val="20"/>
          <w:szCs w:val="20"/>
          <w14:textFill>
            <w14:solidFill>
              <w14:schemeClr w14:val="tx1"/>
            </w14:solidFill>
          </w14:textFill>
        </w:rPr>
        <w:t>的文档数量。该特征为报告级全局统计特征，在同一报告的所有实体节点间共享，用于捕捉语料库层面的判别结构</w:t>
      </w:r>
      <w:r>
        <w:rPr>
          <w:rFonts w:hint="eastAsia"/>
          <w:color w:val="000000" w:themeColor="text1"/>
          <w:sz w:val="20"/>
          <w:szCs w:val="20"/>
          <w:lang w:eastAsia="zh"/>
          <w14:textFill>
            <w14:solidFill>
              <w14:schemeClr w14:val="tx1"/>
            </w14:solidFill>
          </w14:textFill>
        </w:rPr>
        <w:t>。</w:t>
      </w:r>
    </w:p>
    <w:p w14:paraId="3E04C0C3">
      <w:pPr>
        <w:pStyle w:val="7"/>
        <w:spacing w:after="60" w:line="240" w:lineRule="auto"/>
        <w:ind w:firstLine="0" w:firstLineChars="0"/>
        <w:jc w:val="right"/>
        <w:rPr>
          <w:color w:val="000000" w:themeColor="text1"/>
          <w:sz w:val="20"/>
          <w:szCs w:val="20"/>
          <w14:textFill>
            <w14:solidFill>
              <w14:schemeClr w14:val="tx1"/>
            </w14:solidFill>
          </w14:textFill>
        </w:rPr>
      </w:pPr>
      <w:r>
        <w:rPr>
          <w:position w:val="-54"/>
          <w:sz w:val="20"/>
          <w:szCs w:val="20"/>
        </w:rPr>
        <w:drawing>
          <wp:inline distT="0" distB="0" distL="0" distR="0">
            <wp:extent cx="3816350" cy="476250"/>
            <wp:effectExtent l="0" t="0" r="6350" b="6350"/>
            <wp:docPr id="1201797427" name="Picture 1" descr="{&quot;mathml&quot;:&quot;&lt;math style=\&quot;font-family:stix;font-size:16px;\&quot; xmlns=\&quot;http://www.w3.org/1998/Math/MathML\&quot;&gt;&lt;msub&gt;&lt;mi&gt;W&lt;/mi&gt;&lt;mtext&gt;TF-IDF&lt;/mtext&gt;&lt;/msub&gt;&lt;mo&gt;(&lt;/mo&gt;&lt;mi&gt;w&lt;/mi&gt;&lt;mo&gt;,&lt;/mo&gt;&lt;mi&gt;d&lt;/mi&gt;&lt;mo&gt;)&lt;/mo&gt;&lt;mo&gt;=&lt;/mo&gt;&lt;mfrac&gt;&lt;mrow&gt;&lt;mi&gt;c&lt;/mi&gt;&lt;mi&gt;o&lt;/mi&gt;&lt;mi&gt;u&lt;/mi&gt;&lt;mi&gt;n&lt;/mi&gt;&lt;mi&gt;t&lt;/mi&gt;&lt;mo&gt;(&lt;/mo&gt;&lt;mi&gt;w&lt;/mi&gt;&lt;mo&gt;,&lt;/mo&gt;&lt;mi&gt;d&lt;/mi&gt;&lt;mo&gt;)&lt;/mo&gt;&lt;/mrow&gt;&lt;mrow&gt;&lt;msub&gt;&lt;mo&gt;&amp;#x2211;&lt;/mo&gt;&lt;mrow&gt;&lt;mi&gt;w&lt;/mi&gt;&lt;mo&gt;'&lt;/mo&gt;&lt;/mrow&gt;&lt;/msub&gt;&lt;mrow&gt;&lt;mi&gt;c&lt;/mi&gt;&lt;mi&gt;o&lt;/mi&gt;&lt;mi&gt;u&lt;/mi&gt;&lt;mi&gt;n&lt;/mi&gt;&lt;mi&gt;t&lt;/mi&gt;&lt;mo&gt;(&lt;/mo&gt;&lt;mi&gt;w&lt;/mi&gt;&lt;mo&gt;'&lt;/mo&gt;&lt;mo&gt;,&lt;/mo&gt;&lt;mi&gt;d&lt;/mi&gt;&lt;mo&gt;)&lt;/mo&gt;&lt;/mrow&gt;&lt;/mrow&gt;&lt;/mfrac&gt;&lt;mo&gt;&amp;#x22C5;&lt;/mo&gt;&lt;mi&gt;log&lt;/mi&gt;&lt;mfrac&gt;&lt;mrow&gt;&lt;mo&gt;|&lt;/mo&gt;&lt;mi&gt;D&lt;/mi&gt;&lt;mo&gt;|&lt;/mo&gt;&lt;mo&gt;+&lt;/mo&gt;&lt;mn&gt;1&lt;/mn&gt;&lt;/mrow&gt;&lt;mrow&gt;&lt;mo&gt;|&lt;/mo&gt;&lt;mo&gt;{&lt;/mo&gt;&lt;mi&gt;d&lt;/mi&gt;&lt;mo&gt;'&lt;/mo&gt;&lt;mo&gt;:&lt;/mo&gt;&lt;mi&gt;w&lt;/mi&gt;&lt;mo&gt;&amp;#x2208;&lt;/mo&gt;&lt;mi&gt;d&lt;/mi&gt;&lt;mo&gt;'&lt;/mo&gt;&lt;mo&gt;}&lt;/mo&gt;&lt;mo&gt;|&lt;/mo&gt;&lt;mo&gt;+&lt;/mo&gt;&lt;mn&gt;1&lt;/mn&gt;&lt;/mrow&gt;&lt;/mfrac&gt;&lt;/math&gt;&quot;,&quot;origin&quot;:&quot;MathType Legacy&quot;,&quot;version&quot;:&quot;v3.23.0&quot;}" title="W 下标 开始文本 TF-IDF 结束文本 结束下标 左括号 w 逗号 d 右括号 等于 分数 加总 下标 w 撇号 结束下标 c o u n t 左括号 w 撇号 逗号 d 右括号 分之 c o u n t 左括号 w 逗号 d 右括号 结束分数 乘 log 分数 竖线 左花括号 d 撇号 冒号 w 属于 d 撇号 右花括号 竖线 加 1 分之 竖线 D 竖线 加 1 结束分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797427" name="Picture 1" descr="{&quot;mathml&quot;:&quot;&lt;math style=\&quot;font-family:stix;font-size:16px;\&quot; xmlns=\&quot;http://www.w3.org/1998/Math/MathML\&quot;&gt;&lt;msub&gt;&lt;mi&gt;W&lt;/mi&gt;&lt;mtext&gt;TF-IDF&lt;/mtext&gt;&lt;/msub&gt;&lt;mo&gt;(&lt;/mo&gt;&lt;mi&gt;w&lt;/mi&gt;&lt;mo&gt;,&lt;/mo&gt;&lt;mi&gt;d&lt;/mi&gt;&lt;mo&gt;)&lt;/mo&gt;&lt;mo&gt;=&lt;/mo&gt;&lt;mfrac&gt;&lt;mrow&gt;&lt;mi&gt;c&lt;/mi&gt;&lt;mi&gt;o&lt;/mi&gt;&lt;mi&gt;u&lt;/mi&gt;&lt;mi&gt;n&lt;/mi&gt;&lt;mi&gt;t&lt;/mi&gt;&lt;mo&gt;(&lt;/mo&gt;&lt;mi&gt;w&lt;/mi&gt;&lt;mo&gt;,&lt;/mo&gt;&lt;mi&gt;d&lt;/mi&gt;&lt;mo&gt;)&lt;/mo&gt;&lt;/mrow&gt;&lt;mrow&gt;&lt;msub&gt;&lt;mo&gt;&amp;#x2211;&lt;/mo&gt;&lt;mrow&gt;&lt;mi&gt;w&lt;/mi&gt;&lt;mo&gt;'&lt;/mo&gt;&lt;/mrow&gt;&lt;/msub&gt;&lt;mrow&gt;&lt;mi&gt;c&lt;/mi&gt;&lt;mi&gt;o&lt;/mi&gt;&lt;mi&gt;u&lt;/mi&gt;&lt;mi&gt;n&lt;/mi&gt;&lt;mi&gt;t&lt;/mi&gt;&lt;mo&gt;(&lt;/mo&gt;&lt;mi&gt;w&lt;/mi&gt;&lt;mo&gt;'&lt;/mo&gt;&lt;mo&gt;,&lt;/mo&gt;&lt;mi&gt;d&lt;/mi&gt;&lt;mo&gt;)&lt;/mo&gt;&lt;/mrow&gt;&lt;/mrow&gt;&lt;/mfrac&gt;&lt;mo&gt;&amp;#x22C5;&lt;/mo&gt;&lt;mi&gt;log&lt;/mi&gt;&lt;mfrac&gt;&lt;mrow&gt;&lt;mo&gt;|&lt;/mo&gt;&lt;mi&gt;D&lt;/mi&gt;&lt;mo&gt;|&lt;/mo&gt;&lt;mo&gt;+&lt;/mo&gt;&lt;mn&gt;1&lt;/mn&gt;&lt;/mrow&gt;&lt;mrow&gt;&lt;mo&gt;|&lt;/mo&gt;&lt;mo&gt;{&lt;/mo&gt;&lt;mi&gt;d&lt;/mi&gt;&lt;mo&gt;'&lt;/mo&gt;&lt;mo&gt;:&lt;/mo&gt;&lt;mi&gt;w&lt;/mi&gt;&lt;mo&gt;&amp;#x2208;&lt;/mo&gt;&lt;mi&gt;d&lt;/mi&gt;&lt;mo&gt;'&lt;/mo&gt;&lt;mo&gt;}&lt;/mo&gt;&lt;mo&gt;|&lt;/mo&gt;&lt;mo&gt;+&lt;/mo&gt;&lt;mn&gt;1&lt;/mn&gt;&lt;/mrow&gt;&lt;/mfrac&gt;&lt;/math&gt;&quot;,&quot;origin&quot;:&quot;MathType Legacy&quot;,&quot;version&quot;:&quot;v3.23.0&quot;}" title="W 下标 开始文本 TF-IDF 结束文本 结束下标 左括号 w 逗号 d 右括号 等于 分数 加总 下标 w 撇号 结束下标 c o u n t 左括号 w 撇号 逗号 d 右括号 分之 c o u n t 左括号 w 逗号 d 右括号 结束分数 乘 log 分数 竖线 左花括号 d 撇号 冒号 w 属于 d 撇号 右花括号 竖线 加 1 分之 竖线 D 竖线 加 1 结束分数"/>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3816614" cy="476283"/>
                    </a:xfrm>
                    <a:prstGeom prst="rect">
                      <a:avLst/>
                    </a:prstGeom>
                  </pic:spPr>
                </pic:pic>
              </a:graphicData>
            </a:graphic>
          </wp:inline>
        </w:drawing>
      </w:r>
      <w:r>
        <w:rPr>
          <w:rFonts w:hint="eastAsia"/>
          <w:color w:val="000000" w:themeColor="text1"/>
          <w:position w:val="-34"/>
          <w:sz w:val="20"/>
          <w:szCs w:val="20"/>
          <w14:textFill>
            <w14:solidFill>
              <w14:schemeClr w14:val="tx1"/>
            </w14:solidFill>
          </w14:textFill>
        </w:rPr>
        <w:t xml:space="preserve">        </w:t>
      </w:r>
      <w:r>
        <w:rPr>
          <w:rFonts w:hint="eastAsia"/>
          <w:color w:val="000000" w:themeColor="text1"/>
          <w:sz w:val="20"/>
          <w:szCs w:val="20"/>
          <w14:textFill>
            <w14:solidFill>
              <w14:schemeClr w14:val="tx1"/>
            </w14:solidFill>
          </w14:textFill>
        </w:rPr>
        <w:t>（6）</w:t>
      </w:r>
    </w:p>
    <w:p w14:paraId="1C68BC6A">
      <w:pPr>
        <w:pStyle w:val="7"/>
        <w:spacing w:after="60" w:line="240" w:lineRule="auto"/>
        <w:ind w:firstLine="400"/>
        <w:rPr>
          <w:color w:val="000000" w:themeColor="text1"/>
          <w:sz w:val="20"/>
          <w:szCs w:val="20"/>
          <w14:textFill>
            <w14:solidFill>
              <w14:schemeClr w14:val="tx1"/>
            </w14:solidFill>
          </w14:textFill>
        </w:rPr>
      </w:pPr>
      <w:r>
        <w:rPr>
          <w:rFonts w:hint="eastAsia"/>
          <w:color w:val="000000" w:themeColor="text1"/>
          <w:sz w:val="20"/>
          <w:szCs w:val="20"/>
          <w14:textFill>
            <w14:solidFill>
              <w14:schemeClr w14:val="tx1"/>
            </w14:solidFill>
          </w14:textFill>
        </w:rPr>
        <w:t>该设计能够捕捉语料库层面的判别结构、缓解局部嵌入偏差并增强长尾项可分离性。</w:t>
      </w:r>
    </w:p>
    <w:p w14:paraId="03E06DCC">
      <w:pPr>
        <w:pStyle w:val="7"/>
        <w:spacing w:after="60" w:line="240" w:lineRule="auto"/>
        <w:ind w:firstLine="400"/>
        <w:rPr>
          <w:color w:val="000000" w:themeColor="text1"/>
          <w:sz w:val="20"/>
          <w:szCs w:val="20"/>
          <w14:textFill>
            <w14:solidFill>
              <w14:schemeClr w14:val="tx1"/>
            </w14:solidFill>
          </w14:textFill>
        </w:rPr>
      </w:pPr>
      <w:r>
        <w:rPr>
          <w:rFonts w:hint="eastAsia"/>
          <w:color w:val="000000" w:themeColor="text1"/>
          <w:sz w:val="20"/>
          <w:szCs w:val="20"/>
          <w14:textFill>
            <w14:solidFill>
              <w14:schemeClr w14:val="tx1"/>
            </w14:solidFill>
          </w14:textFill>
        </w:rPr>
        <w:t>提出的该节点特征表示方法实现了结构感知表示解耦、开放世界实体鲁棒性、多尺度语义覆盖以及语料库级统计对齐，从而为后续异构图学习提供低噪声、高区分度、跨粒度一致的输入表示空间。</w:t>
      </w:r>
    </w:p>
    <w:p w14:paraId="32554EE9">
      <w:pPr>
        <w:pStyle w:val="3"/>
        <w:keepNext/>
        <w:spacing w:before="360" w:after="120" w:afterLines="0"/>
        <w:jc w:val="both"/>
        <w:rPr>
          <w:sz w:val="24"/>
          <w:szCs w:val="24"/>
          <w:lang w:eastAsia="zh"/>
        </w:rPr>
      </w:pPr>
      <w:bookmarkStart w:id="5" w:name="_Toc27038"/>
      <w:r>
        <w:rPr>
          <w:rFonts w:hint="eastAsia"/>
          <w:sz w:val="24"/>
          <w:szCs w:val="24"/>
          <w:lang w:eastAsia="zh"/>
        </w:rPr>
        <w:t>3.2 多层次异构图构建</w:t>
      </w:r>
      <w:bookmarkEnd w:id="5"/>
    </w:p>
    <w:p w14:paraId="0BB46B29">
      <w:pPr>
        <w:pStyle w:val="7"/>
        <w:spacing w:after="60" w:line="240" w:lineRule="auto"/>
        <w:ind w:firstLine="400"/>
        <w:rPr>
          <w:sz w:val="20"/>
          <w:szCs w:val="20"/>
        </w:rPr>
      </w:pPr>
      <w:bookmarkStart w:id="6" w:name="_Toc13527"/>
      <w:r>
        <w:rPr>
          <w:rFonts w:hint="eastAsia"/>
          <w:sz w:val="20"/>
          <w:szCs w:val="20"/>
        </w:rPr>
        <w:t>现有APT归因图构建方法主要存在两类局限：（1）仅依赖段落内共现建模，无法刻画跨阶段攻击行为的长程依赖关系，导致攻击链断裂[6][15][17]；（2）基于静态本体的知识图谱方法难以适应不断演化的攻击技术与实体变体，导致结构泛化能力不足[2][16][29]。为此，本文提出一种五层异构图构建框架，从局部语义、跨段落关联、语义类型约束、全局信息聚合与稀疏补全五个层面联合建模APT行为结构。</w:t>
      </w:r>
    </w:p>
    <w:p w14:paraId="1E714AC9">
      <w:pPr>
        <w:pStyle w:val="4"/>
        <w:keepNext/>
        <w:spacing w:before="360" w:beforeLines="0" w:after="120" w:afterLines="0"/>
        <w:jc w:val="both"/>
        <w:rPr>
          <w:sz w:val="21"/>
          <w:szCs w:val="21"/>
          <w:lang w:eastAsia="zh"/>
        </w:rPr>
      </w:pPr>
      <w:r>
        <w:rPr>
          <w:rFonts w:hint="eastAsia"/>
          <w:sz w:val="21"/>
          <w:szCs w:val="21"/>
          <w:lang w:eastAsia="zh"/>
        </w:rPr>
        <w:t xml:space="preserve">3.2.1 </w:t>
      </w:r>
      <w:bookmarkEnd w:id="6"/>
      <w:r>
        <w:rPr>
          <w:rFonts w:hint="eastAsia"/>
          <w:sz w:val="21"/>
          <w:szCs w:val="21"/>
          <w:lang w:eastAsia="zh"/>
        </w:rPr>
        <w:t>多层关系驱动的异构图构建</w:t>
      </w:r>
    </w:p>
    <w:p w14:paraId="31A7A3CF">
      <w:pPr>
        <w:pStyle w:val="7"/>
        <w:spacing w:after="60" w:line="240" w:lineRule="auto"/>
        <w:ind w:firstLine="400"/>
        <w:rPr>
          <w:color w:val="000000"/>
          <w:sz w:val="20"/>
          <w:szCs w:val="20"/>
        </w:rPr>
      </w:pPr>
      <w:r>
        <w:rPr>
          <w:rFonts w:hint="eastAsia"/>
          <w:color w:val="000000"/>
          <w:sz w:val="20"/>
          <w:szCs w:val="20"/>
        </w:rPr>
        <w:t>为克服现有方法在跨段落关联建模与关系表达能力上的局限，本文提出如图3所示的一种多层关系驱动的异构图构建方法。该方法从局部语义一致性、跨段落关联、领域关系约束、全局语义传播及稀疏补全五个互补视角，对威胁情报中的实体关系进行分解建模，实现跨粒度信息的统一表达。</w:t>
      </w:r>
    </w:p>
    <w:p w14:paraId="2682D266">
      <w:pPr>
        <w:jc w:val="center"/>
        <w:rPr>
          <w:color w:val="000000"/>
        </w:rPr>
      </w:pPr>
      <w:r>
        <w:rPr>
          <w:color w:val="000000"/>
        </w:rPr>
        <w:drawing>
          <wp:inline distT="0" distB="0" distL="0" distR="0">
            <wp:extent cx="4888865" cy="2592070"/>
            <wp:effectExtent l="0" t="0" r="635" b="1143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4888865" cy="2592070"/>
                    </a:xfrm>
                    <a:prstGeom prst="rect">
                      <a:avLst/>
                    </a:prstGeom>
                    <a:noFill/>
                    <a:ln>
                      <a:noFill/>
                    </a:ln>
                  </pic:spPr>
                </pic:pic>
              </a:graphicData>
            </a:graphic>
          </wp:inline>
        </w:drawing>
      </w:r>
    </w:p>
    <w:p w14:paraId="4753BC55">
      <w:pPr>
        <w:pStyle w:val="5"/>
        <w:widowControl/>
        <w:spacing w:after="120"/>
        <w:jc w:val="center"/>
        <w:rPr>
          <w:rFonts w:ascii="Times New Roman" w:hAnsi="Times New Roman" w:eastAsia="宋体"/>
          <w:color w:val="000000"/>
          <w:sz w:val="21"/>
          <w:szCs w:val="21"/>
        </w:rPr>
      </w:pPr>
      <w:r>
        <w:rPr>
          <w:rFonts w:ascii="Times New Roman" w:hAnsi="Times New Roman" w:eastAsia="宋体"/>
          <w:color w:val="000000"/>
          <w:sz w:val="21"/>
          <w:szCs w:val="21"/>
        </w:rPr>
        <w:t>图</w:t>
      </w:r>
      <w:r>
        <w:rPr>
          <w:rFonts w:ascii="Times New Roman" w:hAnsi="Times New Roman" w:eastAsia="宋体"/>
          <w:color w:val="000000"/>
          <w:sz w:val="21"/>
          <w:szCs w:val="21"/>
        </w:rPr>
        <w:fldChar w:fldCharType="begin"/>
      </w:r>
      <w:r>
        <w:rPr>
          <w:rFonts w:ascii="Times New Roman" w:hAnsi="Times New Roman" w:eastAsia="宋体"/>
          <w:color w:val="000000"/>
          <w:sz w:val="21"/>
          <w:szCs w:val="21"/>
        </w:rPr>
        <w:instrText xml:space="preserve"> SEQ 图 \* ARABIC </w:instrText>
      </w:r>
      <w:r>
        <w:rPr>
          <w:rFonts w:ascii="Times New Roman" w:hAnsi="Times New Roman" w:eastAsia="宋体"/>
          <w:color w:val="000000"/>
          <w:sz w:val="21"/>
          <w:szCs w:val="21"/>
        </w:rPr>
        <w:fldChar w:fldCharType="separate"/>
      </w:r>
      <w:r>
        <w:rPr>
          <w:rFonts w:ascii="Times New Roman" w:hAnsi="Times New Roman" w:eastAsia="宋体"/>
          <w:color w:val="000000"/>
          <w:sz w:val="21"/>
          <w:szCs w:val="21"/>
        </w:rPr>
        <w:t>3</w:t>
      </w:r>
      <w:r>
        <w:rPr>
          <w:rFonts w:ascii="Times New Roman" w:hAnsi="Times New Roman" w:eastAsia="宋体"/>
          <w:color w:val="000000"/>
          <w:sz w:val="21"/>
          <w:szCs w:val="21"/>
        </w:rPr>
        <w:fldChar w:fldCharType="end"/>
      </w:r>
      <w:r>
        <w:rPr>
          <w:rFonts w:hint="eastAsia" w:ascii="Times New Roman" w:hAnsi="Times New Roman" w:eastAsia="宋体"/>
          <w:color w:val="000000"/>
          <w:sz w:val="21"/>
          <w:szCs w:val="21"/>
        </w:rPr>
        <w:t xml:space="preserve"> 多层次异构图构建示意图</w:t>
      </w:r>
    </w:p>
    <w:p w14:paraId="155760B4">
      <w:pPr>
        <w:pStyle w:val="7"/>
        <w:spacing w:after="60" w:line="240" w:lineRule="auto"/>
        <w:ind w:firstLine="402"/>
        <w:rPr>
          <w:color w:val="000000"/>
          <w:sz w:val="20"/>
          <w:szCs w:val="20"/>
        </w:rPr>
      </w:pPr>
      <w:r>
        <w:rPr>
          <w:rFonts w:hint="eastAsia"/>
          <w:b/>
          <w:bCs/>
          <w:color w:val="000000"/>
          <w:sz w:val="20"/>
          <w:szCs w:val="20"/>
        </w:rPr>
        <w:t>层一：段落内共现关系。</w:t>
      </w:r>
      <w:r>
        <w:rPr>
          <w:rFonts w:hint="eastAsia"/>
          <w:color w:val="000000"/>
          <w:sz w:val="20"/>
          <w:szCs w:val="20"/>
        </w:rPr>
        <w:t>同一段落内的实体通常描述同一攻击阶段或局部行为单元，具有较强语义相关性。对于段落</w:t>
      </w:r>
      <w:r>
        <w:rPr>
          <w:rFonts w:hint="eastAsia"/>
          <w:i/>
          <w:iCs/>
          <w:color w:val="000000"/>
          <w:sz w:val="20"/>
          <w:szCs w:val="20"/>
        </w:rPr>
        <w:t>p</w:t>
      </w:r>
      <w:r>
        <w:rPr>
          <w:rFonts w:hint="eastAsia"/>
          <w:i/>
          <w:iCs/>
          <w:color w:val="000000"/>
          <w:sz w:val="20"/>
          <w:szCs w:val="20"/>
          <w:vertAlign w:val="subscript"/>
        </w:rPr>
        <w:t>k</w:t>
      </w:r>
      <w:r>
        <w:rPr>
          <w:rFonts w:hint="eastAsia"/>
          <w:color w:val="000000"/>
          <w:sz w:val="20"/>
          <w:szCs w:val="20"/>
        </w:rPr>
        <w:t>内的实体集合，构建完全连接子图，并采用Jaccard系数对边权</w:t>
      </w:r>
      <w:r>
        <w:rPr>
          <w:rFonts w:hint="eastAsia"/>
          <w:i/>
          <w:iCs/>
          <w:color w:val="000000"/>
          <w:sz w:val="20"/>
          <w:szCs w:val="20"/>
        </w:rPr>
        <w:t>w</w:t>
      </w:r>
      <w:r>
        <w:rPr>
          <w:rFonts w:hint="eastAsia"/>
          <w:i/>
          <w:iCs/>
          <w:color w:val="000000"/>
          <w:sz w:val="20"/>
          <w:szCs w:val="20"/>
          <w:vertAlign w:val="subscript"/>
        </w:rPr>
        <w:t>ij</w:t>
      </w:r>
      <w:r>
        <w:rPr>
          <w:rFonts w:hint="eastAsia"/>
          <w:color w:val="000000"/>
          <w:sz w:val="20"/>
          <w:szCs w:val="20"/>
        </w:rPr>
        <w:t>进行归一化，如公式（11）所示。</w:t>
      </w:r>
    </w:p>
    <w:p w14:paraId="03E99855">
      <w:pPr>
        <w:pStyle w:val="7"/>
        <w:spacing w:after="60" w:line="240" w:lineRule="auto"/>
        <w:ind w:firstLine="400"/>
        <w:jc w:val="right"/>
        <w:rPr>
          <w:color w:val="000000"/>
          <w:sz w:val="20"/>
          <w:szCs w:val="20"/>
        </w:rPr>
      </w:pPr>
      <w:r>
        <w:rPr>
          <w:rFonts w:hint="eastAsia"/>
          <w:color w:val="000000"/>
          <w:kern w:val="44"/>
          <w:position w:val="-32"/>
          <w:sz w:val="20"/>
          <w:szCs w:val="20"/>
          <w:lang w:bidi="ar"/>
        </w:rPr>
        <w:object>
          <v:shape id="_x0000_i1029" o:spt="75" type="#_x0000_t75" style="height:37pt;width:308pt;" o:ole="t" filled="f" o:preferrelative="t" stroked="f" coordsize="21600,21600">
            <v:path/>
            <v:fill on="f" focussize="0,0"/>
            <v:stroke on="f" joinstyle="miter"/>
            <v:imagedata r:id="rId20" o:title=""/>
            <o:lock v:ext="edit" aspectratio="f"/>
            <w10:wrap type="none"/>
            <w10:anchorlock/>
          </v:shape>
          <o:OLEObject Type="Embed" ProgID="Equation.DSMT4" ShapeID="_x0000_i1029" DrawAspect="Content" ObjectID="_1468075729" r:id="rId19">
            <o:LockedField>false</o:LockedField>
          </o:OLEObject>
        </w:object>
      </w:r>
      <w:r>
        <w:rPr>
          <w:rFonts w:hint="eastAsia"/>
          <w:color w:val="000000"/>
          <w:kern w:val="44"/>
          <w:position w:val="-32"/>
          <w:sz w:val="20"/>
          <w:szCs w:val="20"/>
          <w:lang w:bidi="ar"/>
        </w:rPr>
        <w:t xml:space="preserve">   </w:t>
      </w:r>
      <w:r>
        <w:rPr>
          <w:rFonts w:hint="eastAsia"/>
          <w:color w:val="000000"/>
          <w:kern w:val="44"/>
          <w:sz w:val="20"/>
          <w:szCs w:val="20"/>
          <w:lang w:bidi="ar"/>
        </w:rPr>
        <w:t>（11）</w:t>
      </w:r>
    </w:p>
    <w:p w14:paraId="594D3FEE">
      <w:pPr>
        <w:pStyle w:val="7"/>
        <w:spacing w:after="60" w:line="240" w:lineRule="auto"/>
        <w:ind w:firstLine="400"/>
        <w:rPr>
          <w:color w:val="000000"/>
          <w:sz w:val="20"/>
          <w:szCs w:val="20"/>
        </w:rPr>
      </w:pPr>
      <w:r>
        <w:rPr>
          <w:rFonts w:hint="eastAsia"/>
          <w:color w:val="000000"/>
          <w:sz w:val="20"/>
          <w:szCs w:val="20"/>
        </w:rPr>
        <w:t>相比基于共现频次的加权方式，该归一化策略能够抑制高频通用实体带来的权重偏置，从而更准确刻画实体间关联强度。</w:t>
      </w:r>
    </w:p>
    <w:p w14:paraId="7418DD14">
      <w:pPr>
        <w:pStyle w:val="7"/>
        <w:spacing w:after="60" w:line="240" w:lineRule="auto"/>
        <w:ind w:firstLine="402"/>
        <w:rPr>
          <w:color w:val="000000"/>
          <w:sz w:val="20"/>
          <w:szCs w:val="20"/>
        </w:rPr>
      </w:pPr>
      <w:r>
        <w:rPr>
          <w:rFonts w:hint="eastAsia"/>
          <w:b/>
          <w:bCs/>
          <w:color w:val="000000"/>
          <w:sz w:val="20"/>
          <w:szCs w:val="20"/>
        </w:rPr>
        <w:t>层二：跨段落桥接关系。</w:t>
      </w:r>
      <w:r>
        <w:rPr>
          <w:rFonts w:hint="eastAsia"/>
          <w:color w:val="000000"/>
          <w:sz w:val="20"/>
          <w:szCs w:val="20"/>
        </w:rPr>
        <w:t>APT攻击具有多阶段特性，不同阶段通常分布于不同段落中。仅依赖段落内共现关系将导致实体子图之间缺乏连接，限制跨阶段信息传播。为此，若实体</w:t>
      </w:r>
      <w:r>
        <w:rPr>
          <w:rFonts w:hint="eastAsia"/>
          <w:i/>
          <w:iCs/>
          <w:color w:val="000000"/>
          <w:sz w:val="20"/>
          <w:szCs w:val="20"/>
        </w:rPr>
        <w:t>e</w:t>
      </w:r>
      <w:r>
        <w:rPr>
          <w:rFonts w:hint="eastAsia"/>
          <w:i/>
          <w:iCs/>
          <w:color w:val="000000"/>
          <w:sz w:val="20"/>
          <w:szCs w:val="20"/>
          <w:vertAlign w:val="subscript"/>
        </w:rPr>
        <w:t>k</w:t>
      </w:r>
      <w:r>
        <w:rPr>
          <w:rFonts w:hint="eastAsia"/>
          <w:color w:val="000000"/>
          <w:sz w:val="20"/>
          <w:szCs w:val="20"/>
        </w:rPr>
        <w:t>同时出现于段落</w:t>
      </w:r>
      <w:r>
        <w:rPr>
          <w:rFonts w:hint="eastAsia"/>
          <w:i/>
          <w:iCs/>
          <w:color w:val="000000"/>
          <w:sz w:val="20"/>
          <w:szCs w:val="20"/>
        </w:rPr>
        <w:t>p</w:t>
      </w:r>
      <w:r>
        <w:rPr>
          <w:rFonts w:hint="eastAsia"/>
          <w:i/>
          <w:iCs/>
          <w:color w:val="000000"/>
          <w:sz w:val="20"/>
          <w:szCs w:val="20"/>
          <w:vertAlign w:val="subscript"/>
        </w:rPr>
        <w:t>a</w:t>
      </w:r>
      <w:r>
        <w:rPr>
          <w:color w:val="000000"/>
          <w:sz w:val="20"/>
          <w:szCs w:val="20"/>
        </w:rPr>
        <w:t>和</w:t>
      </w:r>
      <w:r>
        <w:rPr>
          <w:rFonts w:hint="eastAsia"/>
          <w:i/>
          <w:iCs/>
          <w:color w:val="000000"/>
          <w:sz w:val="20"/>
          <w:szCs w:val="20"/>
        </w:rPr>
        <w:t>p</w:t>
      </w:r>
      <w:r>
        <w:rPr>
          <w:rFonts w:hint="eastAsia"/>
          <w:i/>
          <w:iCs/>
          <w:color w:val="000000"/>
          <w:sz w:val="20"/>
          <w:szCs w:val="20"/>
          <w:vertAlign w:val="subscript"/>
        </w:rPr>
        <w:t>b</w:t>
      </w:r>
      <w:r>
        <w:rPr>
          <w:rFonts w:hint="eastAsia"/>
          <w:color w:val="000000"/>
          <w:sz w:val="20"/>
          <w:szCs w:val="20"/>
        </w:rPr>
        <w:t>，则在两段落的实体集合之间建立桥接边（如公式（12））以实现跨段落语义传递。</w:t>
      </w:r>
    </w:p>
    <w:p w14:paraId="4877CAF3">
      <w:pPr>
        <w:tabs>
          <w:tab w:val="center" w:pos="4153"/>
          <w:tab w:val="right" w:pos="8306"/>
        </w:tabs>
        <w:jc w:val="right"/>
        <w:rPr>
          <w:color w:val="000000"/>
          <w:kern w:val="44"/>
          <w:sz w:val="20"/>
          <w:szCs w:val="20"/>
        </w:rPr>
      </w:pPr>
      <w:r>
        <w:rPr>
          <w:position w:val="-19"/>
          <w:sz w:val="20"/>
          <w:szCs w:val="20"/>
        </w:rPr>
        <w:drawing>
          <wp:inline distT="0" distB="0" distL="0" distR="0">
            <wp:extent cx="3905250" cy="259715"/>
            <wp:effectExtent l="0" t="0" r="6350" b="6985"/>
            <wp:docPr id="827978350" name="Picture 1" descr="{&quot;mathml&quot;:&quot;&lt;math style=\&quot;font-family:stix;font-size:16px;\&quot; xmlns=\&quot;http://www.w3.org/1998/Math/MathML\&quot;&gt;&lt;msub&gt;&lt;mi&gt;&amp;#x3BE;&lt;/mi&gt;&lt;mrow&gt;&lt;mi&gt;b&lt;/mi&gt;&lt;mi&gt;r&lt;/mi&gt;&lt;mi&gt;i&lt;/mi&gt;&lt;mi&gt;d&lt;/mi&gt;&lt;mi&gt;g&lt;/mi&gt;&lt;mi&gt;e&lt;/mi&gt;&lt;/mrow&gt;&lt;/msub&gt;&lt;mo&gt;=&lt;/mo&gt;&lt;mo&gt;{&lt;/mo&gt;&lt;mo&gt;(&lt;/mo&gt;&lt;mi&gt;i&lt;/mi&gt;&lt;mo&gt;,&lt;/mo&gt;&lt;mi&gt;j&lt;/mi&gt;&lt;mo&gt;)&lt;/mo&gt;&lt;mo&gt;|&lt;/mo&gt;&lt;mo&gt;&amp;#x2203;&lt;/mo&gt;&lt;msub&gt;&lt;mi&gt;p&lt;/mi&gt;&lt;mi&gt;a&lt;/mi&gt;&lt;/msub&gt;&lt;mo&gt;&amp;#x2260;&lt;/mo&gt;&lt;msub&gt;&lt;mi&gt;p&lt;/mi&gt;&lt;mi&gt;b&lt;/mi&gt;&lt;/msub&gt;&lt;mo&gt;,&lt;/mo&gt;&lt;msub&gt;&lt;mi&gt;e&lt;/mi&gt;&lt;mi&gt;i&lt;/mi&gt;&lt;/msub&gt;&lt;mo&gt;&amp;#x2208;&lt;/mo&gt;&lt;msub&gt;&lt;mi&gt;p&lt;/mi&gt;&lt;mi&gt;a&lt;/mi&gt;&lt;/msub&gt;&lt;mo&gt;,&lt;/mo&gt;&lt;msub&gt;&lt;mi&gt;e&lt;/mi&gt;&lt;mi&gt;j&lt;/mi&gt;&lt;/msub&gt;&lt;mo&gt;&amp;#x2208;&lt;/mo&gt;&lt;msub&gt;&lt;mi&gt;p&lt;/mi&gt;&lt;mi&gt;b&lt;/mi&gt;&lt;/msub&gt;&lt;mo&gt;,&lt;/mo&gt;&lt;mo&gt;&amp;#x2203;&lt;/mo&gt;&lt;msub&gt;&lt;mi&gt;e&lt;/mi&gt;&lt;mi&gt;k&lt;/mi&gt;&lt;/msub&gt;&lt;mo&gt;&amp;#x2208;&lt;/mo&gt;&lt;msub&gt;&lt;mi&gt;p&lt;/mi&gt;&lt;mi&gt;a&lt;/mi&gt;&lt;/msub&gt;&lt;mo&gt;&amp;#x2229;&lt;/mo&gt;&lt;msub&gt;&lt;mi&gt;p&lt;/mi&gt;&lt;mi&gt;b&lt;/mi&gt;&lt;/msub&gt;&lt;mo&gt;}&lt;/mo&gt;&lt;/math&gt;&quot;,&quot;origin&quot;:&quot;MathType Legacy&quot;,&quot;version&quot;:&quot;v3.23.0&quot;}" title="xi （ 小写 ） 下标 b r i d g e 结束下标 等于 左花括号 左括号 i 逗号 j 右括号 竖线 存在 p 下标 a 不等于 p 下标 b 逗号 e 下标 i 属于 p 下标 a 逗号 e 下标 j 属于 p 下标 b 逗号 存在 e 下标 k 属于 p 下标 a 交集 p 下标 b 右花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978350" name="Picture 1" descr="{&quot;mathml&quot;:&quot;&lt;math style=\&quot;font-family:stix;font-size:16px;\&quot; xmlns=\&quot;http://www.w3.org/1998/Math/MathML\&quot;&gt;&lt;msub&gt;&lt;mi&gt;&amp;#x3BE;&lt;/mi&gt;&lt;mrow&gt;&lt;mi&gt;b&lt;/mi&gt;&lt;mi&gt;r&lt;/mi&gt;&lt;mi&gt;i&lt;/mi&gt;&lt;mi&gt;d&lt;/mi&gt;&lt;mi&gt;g&lt;/mi&gt;&lt;mi&gt;e&lt;/mi&gt;&lt;/mrow&gt;&lt;/msub&gt;&lt;mo&gt;=&lt;/mo&gt;&lt;mo&gt;{&lt;/mo&gt;&lt;mo&gt;(&lt;/mo&gt;&lt;mi&gt;i&lt;/mi&gt;&lt;mo&gt;,&lt;/mo&gt;&lt;mi&gt;j&lt;/mi&gt;&lt;mo&gt;)&lt;/mo&gt;&lt;mo&gt;|&lt;/mo&gt;&lt;mo&gt;&amp;#x2203;&lt;/mo&gt;&lt;msub&gt;&lt;mi&gt;p&lt;/mi&gt;&lt;mi&gt;a&lt;/mi&gt;&lt;/msub&gt;&lt;mo&gt;&amp;#x2260;&lt;/mo&gt;&lt;msub&gt;&lt;mi&gt;p&lt;/mi&gt;&lt;mi&gt;b&lt;/mi&gt;&lt;/msub&gt;&lt;mo&gt;,&lt;/mo&gt;&lt;msub&gt;&lt;mi&gt;e&lt;/mi&gt;&lt;mi&gt;i&lt;/mi&gt;&lt;/msub&gt;&lt;mo&gt;&amp;#x2208;&lt;/mo&gt;&lt;msub&gt;&lt;mi&gt;p&lt;/mi&gt;&lt;mi&gt;a&lt;/mi&gt;&lt;/msub&gt;&lt;mo&gt;,&lt;/mo&gt;&lt;msub&gt;&lt;mi&gt;e&lt;/mi&gt;&lt;mi&gt;j&lt;/mi&gt;&lt;/msub&gt;&lt;mo&gt;&amp;#x2208;&lt;/mo&gt;&lt;msub&gt;&lt;mi&gt;p&lt;/mi&gt;&lt;mi&gt;b&lt;/mi&gt;&lt;/msub&gt;&lt;mo&gt;,&lt;/mo&gt;&lt;mo&gt;&amp;#x2203;&lt;/mo&gt;&lt;msub&gt;&lt;mi&gt;e&lt;/mi&gt;&lt;mi&gt;k&lt;/mi&gt;&lt;/msub&gt;&lt;mo&gt;&amp;#x2208;&lt;/mo&gt;&lt;msub&gt;&lt;mi&gt;p&lt;/mi&gt;&lt;mi&gt;a&lt;/mi&gt;&lt;/msub&gt;&lt;mo&gt;&amp;#x2229;&lt;/mo&gt;&lt;msub&gt;&lt;mi&gt;p&lt;/mi&gt;&lt;mi&gt;b&lt;/mi&gt;&lt;/msub&gt;&lt;mo&gt;}&lt;/mo&gt;&lt;/math&gt;&quot;,&quot;origin&quot;:&quot;MathType Legacy&quot;,&quot;version&quot;:&quot;v3.23.0&quot;}" title="xi （ 小写 ） 下标 b r i d g e 结束下标 等于 左花括号 左括号 i 逗号 j 右括号 竖线 存在 p 下标 a 不等于 p 下标 b 逗号 e 下标 i 属于 p 下标 a 逗号 e 下标 j 属于 p 下标 b 逗号 存在 e 下标 k 属于 p 下标 a 交集 p 下标 b 右花括号"/>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3911355" cy="260121"/>
                    </a:xfrm>
                    <a:prstGeom prst="rect">
                      <a:avLst/>
                    </a:prstGeom>
                  </pic:spPr>
                </pic:pic>
              </a:graphicData>
            </a:graphic>
          </wp:inline>
        </w:drawing>
      </w:r>
      <w:r>
        <w:rPr>
          <w:rFonts w:hint="eastAsia"/>
          <w:color w:val="000000"/>
          <w:kern w:val="44"/>
          <w:position w:val="-14"/>
          <w:sz w:val="20"/>
          <w:szCs w:val="20"/>
          <w:lang w:bidi="ar"/>
        </w:rPr>
        <w:t xml:space="preserve">      </w:t>
      </w:r>
      <w:r>
        <w:rPr>
          <w:rFonts w:hint="eastAsia"/>
          <w:color w:val="000000"/>
          <w:kern w:val="44"/>
          <w:sz w:val="20"/>
          <w:szCs w:val="20"/>
          <w:lang w:bidi="ar"/>
        </w:rPr>
        <w:t>（12）</w:t>
      </w:r>
    </w:p>
    <w:p w14:paraId="2E2F971C">
      <w:pPr>
        <w:pStyle w:val="7"/>
        <w:spacing w:after="60" w:line="240" w:lineRule="auto"/>
        <w:ind w:firstLine="402"/>
        <w:rPr>
          <w:color w:val="000000"/>
          <w:sz w:val="20"/>
          <w:szCs w:val="20"/>
        </w:rPr>
      </w:pPr>
      <w:r>
        <w:rPr>
          <w:rFonts w:hint="eastAsia"/>
          <w:b/>
          <w:bCs/>
          <w:color w:val="000000"/>
          <w:sz w:val="20"/>
          <w:szCs w:val="20"/>
        </w:rPr>
        <w:t>层三：领域语义类型关系。</w:t>
      </w:r>
      <w:r>
        <w:rPr>
          <w:rFonts w:hint="eastAsia"/>
          <w:color w:val="000000"/>
          <w:sz w:val="20"/>
          <w:szCs w:val="20"/>
        </w:rPr>
        <w:t>共现关系无法区分实体间的语义角色。为增强关系表达能力，本文基于MITRE ATT&amp;CK框架将攻击链中的因果与功能关系编码为类型化边</w:t>
      </w:r>
      <w:r>
        <w:rPr>
          <w:color w:val="000000"/>
          <w:sz w:val="20"/>
          <w:szCs w:val="20"/>
        </w:rPr>
        <w:t>，如表2所示</w:t>
      </w:r>
      <w:r>
        <w:rPr>
          <w:rFonts w:hint="eastAsia"/>
          <w:color w:val="000000"/>
          <w:sz w:val="20"/>
          <w:szCs w:val="20"/>
        </w:rPr>
        <w:t>。不同于依赖人工构建本体的知识图谱方法，本文采用基于实体类型对的规则化映射自动生成关系标签，从而在保持表达能力的同时提升可扩展性。</w:t>
      </w:r>
    </w:p>
    <w:p w14:paraId="06388B76">
      <w:pPr>
        <w:pStyle w:val="7"/>
        <w:spacing w:before="120" w:line="240" w:lineRule="auto"/>
        <w:ind w:firstLine="0" w:firstLineChars="0"/>
        <w:jc w:val="center"/>
        <w:rPr>
          <w:color w:val="000000"/>
          <w:sz w:val="21"/>
          <w:szCs w:val="21"/>
        </w:rPr>
      </w:pPr>
      <w:r>
        <w:rPr>
          <w:color w:val="000000"/>
          <w:sz w:val="21"/>
          <w:szCs w:val="21"/>
        </w:rPr>
        <w:t>表2 领域语义类型关系边定义</w:t>
      </w:r>
    </w:p>
    <w:tbl>
      <w:tblPr>
        <w:tblStyle w:val="11"/>
        <w:tblW w:w="5062" w:type="pct"/>
        <w:jc w:val="center"/>
        <w:tblLayout w:type="autofit"/>
        <w:tblCellMar>
          <w:top w:w="0" w:type="dxa"/>
          <w:left w:w="108" w:type="dxa"/>
          <w:bottom w:w="0" w:type="dxa"/>
          <w:right w:w="108" w:type="dxa"/>
        </w:tblCellMar>
      </w:tblPr>
      <w:tblGrid>
        <w:gridCol w:w="1406"/>
        <w:gridCol w:w="1829"/>
        <w:gridCol w:w="2733"/>
        <w:gridCol w:w="877"/>
        <w:gridCol w:w="1916"/>
      </w:tblGrid>
      <w:tr w14:paraId="71850E71">
        <w:tblPrEx>
          <w:tblCellMar>
            <w:top w:w="0" w:type="dxa"/>
            <w:left w:w="108" w:type="dxa"/>
            <w:bottom w:w="0" w:type="dxa"/>
            <w:right w:w="108" w:type="dxa"/>
          </w:tblCellMar>
        </w:tblPrEx>
        <w:trPr>
          <w:trHeight w:val="340" w:hRule="exact"/>
          <w:tblHeader/>
          <w:jc w:val="center"/>
        </w:trPr>
        <w:tc>
          <w:tcPr>
            <w:tcW w:w="802" w:type="pct"/>
            <w:tcBorders>
              <w:top w:val="single" w:color="auto" w:sz="12" w:space="0"/>
              <w:left w:val="nil"/>
              <w:bottom w:val="nil"/>
              <w:right w:val="nil"/>
            </w:tcBorders>
            <w:shd w:val="clear" w:color="auto" w:fill="auto"/>
            <w:tcMar>
              <w:top w:w="150" w:type="dxa"/>
              <w:left w:w="-1" w:type="dxa"/>
              <w:bottom w:w="150" w:type="dxa"/>
              <w:right w:w="240" w:type="dxa"/>
            </w:tcMar>
            <w:vAlign w:val="center"/>
          </w:tcPr>
          <w:p w14:paraId="2B29DDDC">
            <w:pPr>
              <w:keepNext/>
              <w:snapToGrid w:val="0"/>
              <w:jc w:val="center"/>
              <w:rPr>
                <w:b/>
                <w:color w:val="000000"/>
                <w:kern w:val="44"/>
                <w:sz w:val="18"/>
                <w:szCs w:val="18"/>
              </w:rPr>
            </w:pPr>
            <w:r>
              <w:rPr>
                <w:rFonts w:hint="eastAsia"/>
                <w:b/>
                <w:color w:val="000000"/>
                <w:kern w:val="44"/>
                <w:sz w:val="18"/>
                <w:szCs w:val="18"/>
                <w:lang w:bidi="ar"/>
              </w:rPr>
              <w:t>关系类型</w:t>
            </w:r>
          </w:p>
        </w:tc>
        <w:tc>
          <w:tcPr>
            <w:tcW w:w="1043" w:type="pct"/>
            <w:tcBorders>
              <w:top w:val="single" w:color="auto" w:sz="12" w:space="0"/>
              <w:left w:val="nil"/>
              <w:bottom w:val="nil"/>
              <w:right w:val="nil"/>
            </w:tcBorders>
            <w:shd w:val="clear" w:color="auto" w:fill="auto"/>
            <w:tcMar>
              <w:top w:w="150" w:type="dxa"/>
              <w:left w:w="240" w:type="dxa"/>
              <w:bottom w:w="150" w:type="dxa"/>
              <w:right w:w="240" w:type="dxa"/>
            </w:tcMar>
            <w:vAlign w:val="center"/>
          </w:tcPr>
          <w:p w14:paraId="4ED8BA53">
            <w:pPr>
              <w:keepNext/>
              <w:snapToGrid w:val="0"/>
              <w:jc w:val="center"/>
              <w:rPr>
                <w:b/>
                <w:color w:val="000000"/>
                <w:kern w:val="44"/>
                <w:sz w:val="18"/>
                <w:szCs w:val="18"/>
              </w:rPr>
            </w:pPr>
            <w:r>
              <w:rPr>
                <w:rFonts w:hint="eastAsia"/>
                <w:b/>
                <w:color w:val="000000"/>
                <w:kern w:val="44"/>
                <w:sz w:val="18"/>
                <w:szCs w:val="18"/>
                <w:lang w:bidi="ar"/>
              </w:rPr>
              <w:t>源类型</w:t>
            </w:r>
          </w:p>
        </w:tc>
        <w:tc>
          <w:tcPr>
            <w:tcW w:w="1559" w:type="pct"/>
            <w:tcBorders>
              <w:top w:val="single" w:color="auto" w:sz="12" w:space="0"/>
              <w:left w:val="nil"/>
              <w:bottom w:val="nil"/>
              <w:right w:val="nil"/>
            </w:tcBorders>
            <w:shd w:val="clear" w:color="auto" w:fill="auto"/>
            <w:tcMar>
              <w:top w:w="150" w:type="dxa"/>
              <w:left w:w="240" w:type="dxa"/>
              <w:bottom w:w="150" w:type="dxa"/>
              <w:right w:w="240" w:type="dxa"/>
            </w:tcMar>
            <w:vAlign w:val="center"/>
          </w:tcPr>
          <w:p w14:paraId="60CC7BF8">
            <w:pPr>
              <w:keepNext/>
              <w:snapToGrid w:val="0"/>
              <w:jc w:val="center"/>
              <w:rPr>
                <w:b/>
                <w:color w:val="000000"/>
                <w:kern w:val="44"/>
                <w:sz w:val="18"/>
                <w:szCs w:val="18"/>
              </w:rPr>
            </w:pPr>
            <w:r>
              <w:rPr>
                <w:rFonts w:hint="eastAsia"/>
                <w:b/>
                <w:color w:val="000000"/>
                <w:kern w:val="44"/>
                <w:sz w:val="18"/>
                <w:szCs w:val="18"/>
                <w:lang w:bidi="ar"/>
              </w:rPr>
              <w:t>目标类型</w:t>
            </w:r>
          </w:p>
        </w:tc>
        <w:tc>
          <w:tcPr>
            <w:tcW w:w="500" w:type="pct"/>
            <w:tcBorders>
              <w:top w:val="single" w:color="auto" w:sz="12" w:space="0"/>
              <w:left w:val="nil"/>
              <w:bottom w:val="nil"/>
              <w:right w:val="nil"/>
            </w:tcBorders>
            <w:shd w:val="clear" w:color="auto" w:fill="auto"/>
            <w:tcMar>
              <w:top w:w="150" w:type="dxa"/>
              <w:left w:w="240" w:type="dxa"/>
              <w:bottom w:w="150" w:type="dxa"/>
              <w:right w:w="240" w:type="dxa"/>
            </w:tcMar>
            <w:vAlign w:val="center"/>
          </w:tcPr>
          <w:p w14:paraId="7523E3ED">
            <w:pPr>
              <w:keepNext/>
              <w:snapToGrid w:val="0"/>
              <w:jc w:val="center"/>
              <w:rPr>
                <w:b/>
                <w:color w:val="000000"/>
                <w:kern w:val="44"/>
                <w:sz w:val="18"/>
                <w:szCs w:val="18"/>
              </w:rPr>
            </w:pPr>
            <w:r>
              <w:rPr>
                <w:rFonts w:hint="eastAsia"/>
                <w:b/>
                <w:color w:val="000000"/>
                <w:kern w:val="44"/>
                <w:sz w:val="18"/>
                <w:szCs w:val="18"/>
                <w:lang w:bidi="ar"/>
              </w:rPr>
              <w:t>权重</w:t>
            </w:r>
          </w:p>
        </w:tc>
        <w:tc>
          <w:tcPr>
            <w:tcW w:w="1093" w:type="pct"/>
            <w:tcBorders>
              <w:top w:val="single" w:color="auto" w:sz="12" w:space="0"/>
              <w:left w:val="nil"/>
              <w:bottom w:val="nil"/>
              <w:right w:val="nil"/>
            </w:tcBorders>
            <w:shd w:val="clear" w:color="auto" w:fill="auto"/>
            <w:tcMar>
              <w:top w:w="150" w:type="dxa"/>
              <w:left w:w="240" w:type="dxa"/>
              <w:bottom w:w="150" w:type="dxa"/>
              <w:right w:w="240" w:type="dxa"/>
            </w:tcMar>
            <w:vAlign w:val="center"/>
          </w:tcPr>
          <w:p w14:paraId="44A5A987">
            <w:pPr>
              <w:keepNext/>
              <w:snapToGrid w:val="0"/>
              <w:jc w:val="center"/>
              <w:rPr>
                <w:b/>
                <w:color w:val="000000"/>
                <w:kern w:val="44"/>
                <w:sz w:val="18"/>
                <w:szCs w:val="18"/>
              </w:rPr>
            </w:pPr>
            <w:r>
              <w:rPr>
                <w:rFonts w:hint="eastAsia"/>
                <w:b/>
                <w:color w:val="000000"/>
                <w:kern w:val="44"/>
                <w:sz w:val="18"/>
                <w:szCs w:val="18"/>
                <w:lang w:bidi="ar"/>
              </w:rPr>
              <w:t>归因价值</w:t>
            </w:r>
          </w:p>
        </w:tc>
      </w:tr>
      <w:tr w14:paraId="55CAEF3B">
        <w:tblPrEx>
          <w:tblCellMar>
            <w:top w:w="0" w:type="dxa"/>
            <w:left w:w="108" w:type="dxa"/>
            <w:bottom w:w="0" w:type="dxa"/>
            <w:right w:w="108" w:type="dxa"/>
          </w:tblCellMar>
        </w:tblPrEx>
        <w:trPr>
          <w:trHeight w:val="650" w:hRule="exact"/>
          <w:jc w:val="center"/>
        </w:trPr>
        <w:tc>
          <w:tcPr>
            <w:tcW w:w="802" w:type="pct"/>
            <w:tcBorders>
              <w:top w:val="single" w:color="auto" w:sz="4" w:space="0"/>
              <w:left w:val="nil"/>
              <w:bottom w:val="nil"/>
              <w:right w:val="nil"/>
            </w:tcBorders>
            <w:shd w:val="clear" w:color="auto" w:fill="auto"/>
            <w:tcMar>
              <w:top w:w="150" w:type="dxa"/>
              <w:left w:w="-1" w:type="dxa"/>
              <w:bottom w:w="150" w:type="dxa"/>
              <w:right w:w="240" w:type="dxa"/>
            </w:tcMar>
            <w:vAlign w:val="center"/>
          </w:tcPr>
          <w:p w14:paraId="72E2886E">
            <w:pPr>
              <w:keepNext/>
              <w:snapToGrid w:val="0"/>
              <w:jc w:val="center"/>
              <w:rPr>
                <w:color w:val="000000"/>
                <w:kern w:val="44"/>
                <w:sz w:val="18"/>
                <w:szCs w:val="18"/>
              </w:rPr>
            </w:pPr>
            <w:r>
              <w:rPr>
                <w:rFonts w:hint="eastAsia"/>
                <w:color w:val="000000"/>
                <w:kern w:val="44"/>
                <w:sz w:val="18"/>
                <w:szCs w:val="18"/>
                <w:lang w:bidi="ar"/>
              </w:rPr>
              <w:t>uses</w:t>
            </w:r>
          </w:p>
        </w:tc>
        <w:tc>
          <w:tcPr>
            <w:tcW w:w="1043" w:type="pct"/>
            <w:tcBorders>
              <w:top w:val="single" w:color="auto" w:sz="4" w:space="0"/>
              <w:left w:val="nil"/>
              <w:bottom w:val="nil"/>
              <w:right w:val="nil"/>
            </w:tcBorders>
            <w:shd w:val="clear" w:color="auto" w:fill="auto"/>
            <w:tcMar>
              <w:top w:w="150" w:type="dxa"/>
              <w:left w:w="240" w:type="dxa"/>
              <w:bottom w:w="150" w:type="dxa"/>
              <w:right w:w="240" w:type="dxa"/>
            </w:tcMar>
            <w:vAlign w:val="center"/>
          </w:tcPr>
          <w:p w14:paraId="79443C43">
            <w:pPr>
              <w:keepNext/>
              <w:snapToGrid w:val="0"/>
              <w:jc w:val="center"/>
              <w:rPr>
                <w:color w:val="000000"/>
                <w:kern w:val="44"/>
                <w:sz w:val="18"/>
                <w:szCs w:val="18"/>
              </w:rPr>
            </w:pPr>
            <w:r>
              <w:rPr>
                <w:rFonts w:hint="eastAsia"/>
                <w:color w:val="000000"/>
                <w:kern w:val="44"/>
                <w:sz w:val="18"/>
                <w:szCs w:val="18"/>
                <w:lang w:bidi="ar"/>
              </w:rPr>
              <w:t>MALWARE / TOOL</w:t>
            </w:r>
          </w:p>
        </w:tc>
        <w:tc>
          <w:tcPr>
            <w:tcW w:w="1559" w:type="pct"/>
            <w:tcBorders>
              <w:top w:val="single" w:color="auto" w:sz="4" w:space="0"/>
              <w:left w:val="nil"/>
              <w:bottom w:val="nil"/>
              <w:right w:val="nil"/>
            </w:tcBorders>
            <w:shd w:val="clear" w:color="auto" w:fill="auto"/>
            <w:tcMar>
              <w:top w:w="150" w:type="dxa"/>
              <w:left w:w="240" w:type="dxa"/>
              <w:bottom w:w="150" w:type="dxa"/>
              <w:right w:w="240" w:type="dxa"/>
            </w:tcMar>
            <w:vAlign w:val="center"/>
          </w:tcPr>
          <w:p w14:paraId="1ED1DAE7">
            <w:pPr>
              <w:keepNext/>
              <w:snapToGrid w:val="0"/>
              <w:jc w:val="center"/>
              <w:rPr>
                <w:color w:val="000000"/>
                <w:kern w:val="44"/>
                <w:sz w:val="18"/>
                <w:szCs w:val="18"/>
              </w:rPr>
            </w:pPr>
            <w:r>
              <w:rPr>
                <w:rFonts w:hint="eastAsia"/>
                <w:color w:val="000000"/>
                <w:kern w:val="44"/>
                <w:sz w:val="18"/>
                <w:szCs w:val="18"/>
                <w:lang w:bidi="ar"/>
              </w:rPr>
              <w:t>MITRE_TECH</w:t>
            </w:r>
          </w:p>
        </w:tc>
        <w:tc>
          <w:tcPr>
            <w:tcW w:w="500" w:type="pct"/>
            <w:tcBorders>
              <w:top w:val="single" w:color="auto" w:sz="4" w:space="0"/>
              <w:left w:val="nil"/>
              <w:bottom w:val="nil"/>
              <w:right w:val="nil"/>
            </w:tcBorders>
            <w:shd w:val="clear" w:color="auto" w:fill="auto"/>
            <w:tcMar>
              <w:top w:w="150" w:type="dxa"/>
              <w:left w:w="240" w:type="dxa"/>
              <w:bottom w:w="150" w:type="dxa"/>
              <w:right w:w="240" w:type="dxa"/>
            </w:tcMar>
            <w:vAlign w:val="center"/>
          </w:tcPr>
          <w:p w14:paraId="6BC4ED6D">
            <w:pPr>
              <w:keepNext/>
              <w:snapToGrid w:val="0"/>
              <w:jc w:val="center"/>
              <w:rPr>
                <w:color w:val="000000"/>
                <w:kern w:val="44"/>
                <w:sz w:val="18"/>
                <w:szCs w:val="18"/>
              </w:rPr>
            </w:pPr>
            <w:r>
              <w:rPr>
                <w:rFonts w:hint="eastAsia"/>
                <w:color w:val="000000"/>
                <w:kern w:val="44"/>
                <w:sz w:val="18"/>
                <w:szCs w:val="18"/>
                <w:lang w:bidi="ar"/>
              </w:rPr>
              <w:t>1.0</w:t>
            </w:r>
          </w:p>
        </w:tc>
        <w:tc>
          <w:tcPr>
            <w:tcW w:w="1093" w:type="pct"/>
            <w:tcBorders>
              <w:top w:val="single" w:color="auto" w:sz="4" w:space="0"/>
              <w:left w:val="nil"/>
              <w:bottom w:val="nil"/>
              <w:right w:val="nil"/>
            </w:tcBorders>
            <w:shd w:val="clear" w:color="auto" w:fill="auto"/>
            <w:tcMar>
              <w:top w:w="150" w:type="dxa"/>
              <w:left w:w="240" w:type="dxa"/>
              <w:bottom w:w="150" w:type="dxa"/>
              <w:right w:w="-1" w:type="dxa"/>
            </w:tcMar>
            <w:vAlign w:val="center"/>
          </w:tcPr>
          <w:p w14:paraId="0C7418B3">
            <w:pPr>
              <w:keepNext/>
              <w:snapToGrid w:val="0"/>
              <w:jc w:val="center"/>
              <w:rPr>
                <w:color w:val="000000"/>
                <w:kern w:val="44"/>
                <w:sz w:val="18"/>
                <w:szCs w:val="18"/>
              </w:rPr>
            </w:pPr>
            <w:r>
              <w:rPr>
                <w:rFonts w:hint="eastAsia"/>
                <w:color w:val="000000"/>
                <w:kern w:val="44"/>
                <w:sz w:val="18"/>
                <w:szCs w:val="18"/>
                <w:lang w:bidi="ar"/>
              </w:rPr>
              <w:t>揭示工具-技术指纹</w:t>
            </w:r>
          </w:p>
        </w:tc>
      </w:tr>
      <w:tr w14:paraId="084CB1C1">
        <w:tblPrEx>
          <w:tblCellMar>
            <w:top w:w="0" w:type="dxa"/>
            <w:left w:w="108" w:type="dxa"/>
            <w:bottom w:w="0" w:type="dxa"/>
            <w:right w:w="108" w:type="dxa"/>
          </w:tblCellMar>
        </w:tblPrEx>
        <w:trPr>
          <w:trHeight w:val="340" w:hRule="exact"/>
          <w:jc w:val="center"/>
        </w:trPr>
        <w:tc>
          <w:tcPr>
            <w:tcW w:w="802" w:type="pct"/>
            <w:tcBorders>
              <w:top w:val="nil"/>
              <w:left w:val="nil"/>
              <w:bottom w:val="nil"/>
              <w:right w:val="nil"/>
            </w:tcBorders>
            <w:shd w:val="clear" w:color="auto" w:fill="auto"/>
            <w:tcMar>
              <w:top w:w="150" w:type="dxa"/>
              <w:left w:w="-1" w:type="dxa"/>
              <w:bottom w:w="150" w:type="dxa"/>
              <w:right w:w="240" w:type="dxa"/>
            </w:tcMar>
            <w:vAlign w:val="center"/>
          </w:tcPr>
          <w:p w14:paraId="0DC58EEE">
            <w:pPr>
              <w:keepNext/>
              <w:snapToGrid w:val="0"/>
              <w:jc w:val="center"/>
              <w:rPr>
                <w:color w:val="000000"/>
                <w:kern w:val="44"/>
                <w:sz w:val="18"/>
                <w:szCs w:val="18"/>
              </w:rPr>
            </w:pPr>
            <w:r>
              <w:rPr>
                <w:rFonts w:hint="eastAsia"/>
                <w:color w:val="000000"/>
                <w:kern w:val="44"/>
                <w:sz w:val="18"/>
                <w:szCs w:val="18"/>
                <w:lang w:bidi="ar"/>
              </w:rPr>
              <w:t>exploits</w:t>
            </w:r>
          </w:p>
        </w:tc>
        <w:tc>
          <w:tcPr>
            <w:tcW w:w="1043" w:type="pct"/>
            <w:tcBorders>
              <w:top w:val="nil"/>
              <w:left w:val="nil"/>
              <w:bottom w:val="nil"/>
              <w:right w:val="nil"/>
            </w:tcBorders>
            <w:shd w:val="clear" w:color="auto" w:fill="auto"/>
            <w:tcMar>
              <w:top w:w="150" w:type="dxa"/>
              <w:left w:w="240" w:type="dxa"/>
              <w:bottom w:w="150" w:type="dxa"/>
              <w:right w:w="240" w:type="dxa"/>
            </w:tcMar>
            <w:vAlign w:val="center"/>
          </w:tcPr>
          <w:p w14:paraId="4067BFFA">
            <w:pPr>
              <w:keepNext/>
              <w:snapToGrid w:val="0"/>
              <w:jc w:val="center"/>
              <w:rPr>
                <w:color w:val="000000"/>
                <w:kern w:val="44"/>
                <w:sz w:val="18"/>
                <w:szCs w:val="18"/>
              </w:rPr>
            </w:pPr>
            <w:r>
              <w:rPr>
                <w:rFonts w:hint="eastAsia"/>
                <w:color w:val="000000"/>
                <w:kern w:val="44"/>
                <w:sz w:val="18"/>
                <w:szCs w:val="18"/>
                <w:lang w:bidi="ar"/>
              </w:rPr>
              <w:t>OPERATION</w:t>
            </w:r>
          </w:p>
        </w:tc>
        <w:tc>
          <w:tcPr>
            <w:tcW w:w="1559" w:type="pct"/>
            <w:tcBorders>
              <w:top w:val="nil"/>
              <w:left w:val="nil"/>
              <w:bottom w:val="nil"/>
              <w:right w:val="nil"/>
            </w:tcBorders>
            <w:shd w:val="clear" w:color="auto" w:fill="auto"/>
            <w:tcMar>
              <w:top w:w="150" w:type="dxa"/>
              <w:left w:w="240" w:type="dxa"/>
              <w:bottom w:w="150" w:type="dxa"/>
              <w:right w:w="240" w:type="dxa"/>
            </w:tcMar>
            <w:vAlign w:val="center"/>
          </w:tcPr>
          <w:p w14:paraId="6E40E4B2">
            <w:pPr>
              <w:keepNext/>
              <w:snapToGrid w:val="0"/>
              <w:jc w:val="center"/>
              <w:rPr>
                <w:color w:val="000000"/>
                <w:kern w:val="44"/>
                <w:sz w:val="18"/>
                <w:szCs w:val="18"/>
              </w:rPr>
            </w:pPr>
            <w:r>
              <w:rPr>
                <w:rFonts w:hint="eastAsia"/>
                <w:color w:val="000000"/>
                <w:kern w:val="44"/>
                <w:sz w:val="18"/>
                <w:szCs w:val="18"/>
                <w:lang w:bidi="ar"/>
              </w:rPr>
              <w:t>CVE</w:t>
            </w:r>
          </w:p>
        </w:tc>
        <w:tc>
          <w:tcPr>
            <w:tcW w:w="500" w:type="pct"/>
            <w:tcBorders>
              <w:top w:val="nil"/>
              <w:left w:val="nil"/>
              <w:bottom w:val="nil"/>
              <w:right w:val="nil"/>
            </w:tcBorders>
            <w:shd w:val="clear" w:color="auto" w:fill="auto"/>
            <w:tcMar>
              <w:top w:w="150" w:type="dxa"/>
              <w:left w:w="240" w:type="dxa"/>
              <w:bottom w:w="150" w:type="dxa"/>
              <w:right w:w="240" w:type="dxa"/>
            </w:tcMar>
            <w:vAlign w:val="center"/>
          </w:tcPr>
          <w:p w14:paraId="4CF12840">
            <w:pPr>
              <w:keepNext/>
              <w:snapToGrid w:val="0"/>
              <w:jc w:val="center"/>
              <w:rPr>
                <w:color w:val="000000"/>
                <w:kern w:val="44"/>
                <w:sz w:val="18"/>
                <w:szCs w:val="18"/>
              </w:rPr>
            </w:pPr>
            <w:r>
              <w:rPr>
                <w:rFonts w:hint="eastAsia"/>
                <w:color w:val="000000"/>
                <w:kern w:val="44"/>
                <w:sz w:val="18"/>
                <w:szCs w:val="18"/>
                <w:lang w:bidi="ar"/>
              </w:rPr>
              <w:t>1.0</w:t>
            </w:r>
          </w:p>
        </w:tc>
        <w:tc>
          <w:tcPr>
            <w:tcW w:w="1093" w:type="pct"/>
            <w:tcBorders>
              <w:top w:val="nil"/>
              <w:left w:val="nil"/>
              <w:bottom w:val="nil"/>
              <w:right w:val="nil"/>
            </w:tcBorders>
            <w:shd w:val="clear" w:color="auto" w:fill="auto"/>
            <w:tcMar>
              <w:top w:w="150" w:type="dxa"/>
              <w:left w:w="240" w:type="dxa"/>
              <w:bottom w:w="150" w:type="dxa"/>
              <w:right w:w="-1" w:type="dxa"/>
            </w:tcMar>
            <w:vAlign w:val="center"/>
          </w:tcPr>
          <w:p w14:paraId="232393FC">
            <w:pPr>
              <w:keepNext/>
              <w:snapToGrid w:val="0"/>
              <w:jc w:val="center"/>
              <w:rPr>
                <w:color w:val="000000"/>
                <w:kern w:val="44"/>
                <w:sz w:val="18"/>
                <w:szCs w:val="18"/>
              </w:rPr>
            </w:pPr>
            <w:r>
              <w:rPr>
                <w:rFonts w:hint="eastAsia"/>
                <w:color w:val="000000"/>
                <w:kern w:val="44"/>
                <w:sz w:val="18"/>
                <w:szCs w:val="18"/>
                <w:lang w:bidi="ar"/>
              </w:rPr>
              <w:t>揭示漏洞利用偏好</w:t>
            </w:r>
          </w:p>
        </w:tc>
      </w:tr>
      <w:tr w14:paraId="02281761">
        <w:tblPrEx>
          <w:tblCellMar>
            <w:top w:w="0" w:type="dxa"/>
            <w:left w:w="108" w:type="dxa"/>
            <w:bottom w:w="0" w:type="dxa"/>
            <w:right w:w="108" w:type="dxa"/>
          </w:tblCellMar>
        </w:tblPrEx>
        <w:trPr>
          <w:trHeight w:val="340" w:hRule="exact"/>
          <w:jc w:val="center"/>
        </w:trPr>
        <w:tc>
          <w:tcPr>
            <w:tcW w:w="802" w:type="pct"/>
            <w:tcBorders>
              <w:top w:val="nil"/>
              <w:left w:val="nil"/>
              <w:bottom w:val="nil"/>
              <w:right w:val="nil"/>
            </w:tcBorders>
            <w:shd w:val="clear" w:color="auto" w:fill="auto"/>
            <w:tcMar>
              <w:top w:w="150" w:type="dxa"/>
              <w:left w:w="-1" w:type="dxa"/>
              <w:bottom w:w="150" w:type="dxa"/>
              <w:right w:w="240" w:type="dxa"/>
            </w:tcMar>
            <w:vAlign w:val="center"/>
          </w:tcPr>
          <w:p w14:paraId="5664862B">
            <w:pPr>
              <w:keepNext/>
              <w:snapToGrid w:val="0"/>
              <w:jc w:val="center"/>
              <w:rPr>
                <w:color w:val="000000"/>
                <w:kern w:val="44"/>
                <w:sz w:val="18"/>
                <w:szCs w:val="18"/>
              </w:rPr>
            </w:pPr>
            <w:r>
              <w:rPr>
                <w:rFonts w:hint="eastAsia"/>
                <w:color w:val="000000"/>
                <w:kern w:val="44"/>
                <w:sz w:val="18"/>
                <w:szCs w:val="18"/>
                <w:lang w:bidi="ar"/>
              </w:rPr>
              <w:t>communicates</w:t>
            </w:r>
          </w:p>
        </w:tc>
        <w:tc>
          <w:tcPr>
            <w:tcW w:w="1043" w:type="pct"/>
            <w:tcBorders>
              <w:top w:val="nil"/>
              <w:left w:val="nil"/>
              <w:bottom w:val="nil"/>
              <w:right w:val="nil"/>
            </w:tcBorders>
            <w:shd w:val="clear" w:color="auto" w:fill="auto"/>
            <w:tcMar>
              <w:top w:w="150" w:type="dxa"/>
              <w:left w:w="240" w:type="dxa"/>
              <w:bottom w:w="150" w:type="dxa"/>
              <w:right w:w="240" w:type="dxa"/>
            </w:tcMar>
            <w:vAlign w:val="center"/>
          </w:tcPr>
          <w:p w14:paraId="79BFCACE">
            <w:pPr>
              <w:keepNext/>
              <w:snapToGrid w:val="0"/>
              <w:jc w:val="center"/>
              <w:rPr>
                <w:color w:val="000000"/>
                <w:kern w:val="44"/>
                <w:sz w:val="18"/>
                <w:szCs w:val="18"/>
              </w:rPr>
            </w:pPr>
            <w:r>
              <w:rPr>
                <w:rFonts w:hint="eastAsia"/>
                <w:color w:val="000000"/>
                <w:kern w:val="44"/>
                <w:sz w:val="18"/>
                <w:szCs w:val="18"/>
                <w:lang w:bidi="ar"/>
              </w:rPr>
              <w:t>HASH</w:t>
            </w:r>
          </w:p>
        </w:tc>
        <w:tc>
          <w:tcPr>
            <w:tcW w:w="1559" w:type="pct"/>
            <w:tcBorders>
              <w:top w:val="nil"/>
              <w:left w:val="nil"/>
              <w:bottom w:val="nil"/>
              <w:right w:val="nil"/>
            </w:tcBorders>
            <w:shd w:val="clear" w:color="auto" w:fill="auto"/>
            <w:tcMar>
              <w:top w:w="150" w:type="dxa"/>
              <w:left w:w="240" w:type="dxa"/>
              <w:bottom w:w="150" w:type="dxa"/>
              <w:right w:w="240" w:type="dxa"/>
            </w:tcMar>
            <w:vAlign w:val="center"/>
          </w:tcPr>
          <w:p w14:paraId="69276887">
            <w:pPr>
              <w:keepNext/>
              <w:snapToGrid w:val="0"/>
              <w:jc w:val="center"/>
              <w:rPr>
                <w:color w:val="000000"/>
                <w:kern w:val="44"/>
                <w:sz w:val="18"/>
                <w:szCs w:val="18"/>
              </w:rPr>
            </w:pPr>
            <w:r>
              <w:rPr>
                <w:rFonts w:hint="eastAsia"/>
                <w:color w:val="000000"/>
                <w:kern w:val="44"/>
                <w:sz w:val="18"/>
                <w:szCs w:val="18"/>
                <w:lang w:bidi="ar"/>
              </w:rPr>
              <w:t>IP / DOMAIN / URL</w:t>
            </w:r>
          </w:p>
        </w:tc>
        <w:tc>
          <w:tcPr>
            <w:tcW w:w="500" w:type="pct"/>
            <w:tcBorders>
              <w:top w:val="nil"/>
              <w:left w:val="nil"/>
              <w:bottom w:val="nil"/>
              <w:right w:val="nil"/>
            </w:tcBorders>
            <w:shd w:val="clear" w:color="auto" w:fill="auto"/>
            <w:tcMar>
              <w:top w:w="150" w:type="dxa"/>
              <w:left w:w="240" w:type="dxa"/>
              <w:bottom w:w="150" w:type="dxa"/>
              <w:right w:w="240" w:type="dxa"/>
            </w:tcMar>
            <w:vAlign w:val="center"/>
          </w:tcPr>
          <w:p w14:paraId="021AF608">
            <w:pPr>
              <w:keepNext/>
              <w:snapToGrid w:val="0"/>
              <w:jc w:val="center"/>
              <w:rPr>
                <w:color w:val="000000"/>
                <w:kern w:val="44"/>
                <w:sz w:val="18"/>
                <w:szCs w:val="18"/>
              </w:rPr>
            </w:pPr>
            <w:r>
              <w:rPr>
                <w:rFonts w:hint="eastAsia"/>
                <w:color w:val="000000"/>
                <w:kern w:val="44"/>
                <w:sz w:val="18"/>
                <w:szCs w:val="18"/>
                <w:lang w:bidi="ar"/>
              </w:rPr>
              <w:t>0.9</w:t>
            </w:r>
          </w:p>
        </w:tc>
        <w:tc>
          <w:tcPr>
            <w:tcW w:w="1093" w:type="pct"/>
            <w:tcBorders>
              <w:top w:val="nil"/>
              <w:left w:val="nil"/>
              <w:bottom w:val="nil"/>
              <w:right w:val="nil"/>
            </w:tcBorders>
            <w:shd w:val="clear" w:color="auto" w:fill="auto"/>
            <w:tcMar>
              <w:top w:w="150" w:type="dxa"/>
              <w:left w:w="240" w:type="dxa"/>
              <w:bottom w:w="150" w:type="dxa"/>
              <w:right w:w="-1" w:type="dxa"/>
            </w:tcMar>
            <w:vAlign w:val="center"/>
          </w:tcPr>
          <w:p w14:paraId="59C9E75C">
            <w:pPr>
              <w:keepNext/>
              <w:snapToGrid w:val="0"/>
              <w:jc w:val="center"/>
              <w:rPr>
                <w:color w:val="000000"/>
                <w:kern w:val="44"/>
                <w:sz w:val="18"/>
                <w:szCs w:val="18"/>
              </w:rPr>
            </w:pPr>
            <w:r>
              <w:rPr>
                <w:rFonts w:hint="eastAsia"/>
                <w:color w:val="000000"/>
                <w:kern w:val="44"/>
                <w:sz w:val="18"/>
                <w:szCs w:val="18"/>
                <w:lang w:bidi="ar"/>
              </w:rPr>
              <w:t>揭示C2基础设施</w:t>
            </w:r>
          </w:p>
        </w:tc>
      </w:tr>
      <w:tr w14:paraId="06267591">
        <w:tblPrEx>
          <w:tblCellMar>
            <w:top w:w="0" w:type="dxa"/>
            <w:left w:w="108" w:type="dxa"/>
            <w:bottom w:w="0" w:type="dxa"/>
            <w:right w:w="108" w:type="dxa"/>
          </w:tblCellMar>
        </w:tblPrEx>
        <w:trPr>
          <w:trHeight w:val="340" w:hRule="exact"/>
          <w:jc w:val="center"/>
        </w:trPr>
        <w:tc>
          <w:tcPr>
            <w:tcW w:w="802" w:type="pct"/>
            <w:tcBorders>
              <w:top w:val="nil"/>
              <w:left w:val="nil"/>
              <w:bottom w:val="nil"/>
              <w:right w:val="nil"/>
            </w:tcBorders>
            <w:shd w:val="clear" w:color="auto" w:fill="auto"/>
            <w:tcMar>
              <w:top w:w="150" w:type="dxa"/>
              <w:left w:w="-1" w:type="dxa"/>
              <w:bottom w:w="150" w:type="dxa"/>
              <w:right w:w="240" w:type="dxa"/>
            </w:tcMar>
            <w:vAlign w:val="center"/>
          </w:tcPr>
          <w:p w14:paraId="59773FBD">
            <w:pPr>
              <w:keepNext/>
              <w:snapToGrid w:val="0"/>
              <w:jc w:val="center"/>
              <w:rPr>
                <w:color w:val="000000"/>
                <w:kern w:val="44"/>
                <w:sz w:val="18"/>
                <w:szCs w:val="18"/>
              </w:rPr>
            </w:pPr>
            <w:r>
              <w:rPr>
                <w:rFonts w:hint="eastAsia"/>
                <w:color w:val="000000"/>
                <w:kern w:val="44"/>
                <w:sz w:val="18"/>
                <w:szCs w:val="18"/>
                <w:lang w:bidi="ar"/>
              </w:rPr>
              <w:t>delivers</w:t>
            </w:r>
          </w:p>
        </w:tc>
        <w:tc>
          <w:tcPr>
            <w:tcW w:w="1043" w:type="pct"/>
            <w:tcBorders>
              <w:top w:val="nil"/>
              <w:left w:val="nil"/>
              <w:bottom w:val="nil"/>
              <w:right w:val="nil"/>
            </w:tcBorders>
            <w:shd w:val="clear" w:color="auto" w:fill="auto"/>
            <w:tcMar>
              <w:top w:w="150" w:type="dxa"/>
              <w:left w:w="240" w:type="dxa"/>
              <w:bottom w:w="150" w:type="dxa"/>
              <w:right w:w="240" w:type="dxa"/>
            </w:tcMar>
            <w:vAlign w:val="center"/>
          </w:tcPr>
          <w:p w14:paraId="0E31DF99">
            <w:pPr>
              <w:keepNext/>
              <w:snapToGrid w:val="0"/>
              <w:jc w:val="center"/>
              <w:rPr>
                <w:color w:val="000000"/>
                <w:kern w:val="44"/>
                <w:sz w:val="18"/>
                <w:szCs w:val="18"/>
              </w:rPr>
            </w:pPr>
            <w:r>
              <w:rPr>
                <w:rFonts w:hint="eastAsia"/>
                <w:color w:val="000000"/>
                <w:kern w:val="44"/>
                <w:sz w:val="18"/>
                <w:szCs w:val="18"/>
                <w:lang w:bidi="ar"/>
              </w:rPr>
              <w:t>MALWARE</w:t>
            </w:r>
          </w:p>
        </w:tc>
        <w:tc>
          <w:tcPr>
            <w:tcW w:w="1559" w:type="pct"/>
            <w:tcBorders>
              <w:top w:val="nil"/>
              <w:left w:val="nil"/>
              <w:bottom w:val="nil"/>
              <w:right w:val="nil"/>
            </w:tcBorders>
            <w:shd w:val="clear" w:color="auto" w:fill="auto"/>
            <w:tcMar>
              <w:top w:w="150" w:type="dxa"/>
              <w:left w:w="240" w:type="dxa"/>
              <w:bottom w:w="150" w:type="dxa"/>
              <w:right w:w="240" w:type="dxa"/>
            </w:tcMar>
            <w:vAlign w:val="center"/>
          </w:tcPr>
          <w:p w14:paraId="1AEA6EEB">
            <w:pPr>
              <w:keepNext/>
              <w:snapToGrid w:val="0"/>
              <w:jc w:val="center"/>
              <w:rPr>
                <w:color w:val="000000"/>
                <w:kern w:val="44"/>
                <w:sz w:val="18"/>
                <w:szCs w:val="18"/>
              </w:rPr>
            </w:pPr>
            <w:r>
              <w:rPr>
                <w:rFonts w:hint="eastAsia"/>
                <w:color w:val="000000"/>
                <w:kern w:val="44"/>
                <w:sz w:val="18"/>
                <w:szCs w:val="18"/>
                <w:lang w:bidi="ar"/>
              </w:rPr>
              <w:t>HASH</w:t>
            </w:r>
          </w:p>
        </w:tc>
        <w:tc>
          <w:tcPr>
            <w:tcW w:w="500" w:type="pct"/>
            <w:tcBorders>
              <w:top w:val="nil"/>
              <w:left w:val="nil"/>
              <w:bottom w:val="nil"/>
              <w:right w:val="nil"/>
            </w:tcBorders>
            <w:shd w:val="clear" w:color="auto" w:fill="auto"/>
            <w:tcMar>
              <w:top w:w="150" w:type="dxa"/>
              <w:left w:w="240" w:type="dxa"/>
              <w:bottom w:w="150" w:type="dxa"/>
              <w:right w:w="240" w:type="dxa"/>
            </w:tcMar>
            <w:vAlign w:val="center"/>
          </w:tcPr>
          <w:p w14:paraId="7BF46094">
            <w:pPr>
              <w:keepNext/>
              <w:snapToGrid w:val="0"/>
              <w:jc w:val="center"/>
              <w:rPr>
                <w:color w:val="000000"/>
                <w:kern w:val="44"/>
                <w:sz w:val="18"/>
                <w:szCs w:val="18"/>
              </w:rPr>
            </w:pPr>
            <w:r>
              <w:rPr>
                <w:rFonts w:hint="eastAsia"/>
                <w:color w:val="000000"/>
                <w:kern w:val="44"/>
                <w:sz w:val="18"/>
                <w:szCs w:val="18"/>
                <w:lang w:bidi="ar"/>
              </w:rPr>
              <w:t>0.95</w:t>
            </w:r>
          </w:p>
        </w:tc>
        <w:tc>
          <w:tcPr>
            <w:tcW w:w="1093" w:type="pct"/>
            <w:tcBorders>
              <w:top w:val="nil"/>
              <w:left w:val="nil"/>
              <w:bottom w:val="nil"/>
              <w:right w:val="nil"/>
            </w:tcBorders>
            <w:shd w:val="clear" w:color="auto" w:fill="auto"/>
            <w:tcMar>
              <w:top w:w="150" w:type="dxa"/>
              <w:left w:w="240" w:type="dxa"/>
              <w:bottom w:w="150" w:type="dxa"/>
              <w:right w:w="-1" w:type="dxa"/>
            </w:tcMar>
            <w:vAlign w:val="center"/>
          </w:tcPr>
          <w:p w14:paraId="2ABF2B87">
            <w:pPr>
              <w:keepNext/>
              <w:snapToGrid w:val="0"/>
              <w:jc w:val="center"/>
              <w:rPr>
                <w:color w:val="000000"/>
                <w:kern w:val="44"/>
                <w:sz w:val="18"/>
                <w:szCs w:val="18"/>
              </w:rPr>
            </w:pPr>
            <w:r>
              <w:rPr>
                <w:rFonts w:hint="eastAsia"/>
                <w:color w:val="000000"/>
                <w:kern w:val="44"/>
                <w:sz w:val="18"/>
                <w:szCs w:val="18"/>
                <w:lang w:bidi="ar"/>
              </w:rPr>
              <w:t>揭示鱼叉攻击载体</w:t>
            </w:r>
          </w:p>
        </w:tc>
      </w:tr>
      <w:tr w14:paraId="208E16D1">
        <w:tblPrEx>
          <w:tblCellMar>
            <w:top w:w="0" w:type="dxa"/>
            <w:left w:w="108" w:type="dxa"/>
            <w:bottom w:w="0" w:type="dxa"/>
            <w:right w:w="108" w:type="dxa"/>
          </w:tblCellMar>
        </w:tblPrEx>
        <w:trPr>
          <w:trHeight w:val="340" w:hRule="exact"/>
          <w:jc w:val="center"/>
        </w:trPr>
        <w:tc>
          <w:tcPr>
            <w:tcW w:w="802" w:type="pct"/>
            <w:tcBorders>
              <w:top w:val="nil"/>
              <w:left w:val="nil"/>
              <w:bottom w:val="nil"/>
              <w:right w:val="nil"/>
            </w:tcBorders>
            <w:shd w:val="clear" w:color="auto" w:fill="auto"/>
            <w:tcMar>
              <w:top w:w="150" w:type="dxa"/>
              <w:left w:w="-1" w:type="dxa"/>
              <w:bottom w:w="150" w:type="dxa"/>
              <w:right w:w="240" w:type="dxa"/>
            </w:tcMar>
            <w:vAlign w:val="center"/>
          </w:tcPr>
          <w:p w14:paraId="338A754C">
            <w:pPr>
              <w:keepNext/>
              <w:snapToGrid w:val="0"/>
              <w:jc w:val="center"/>
              <w:rPr>
                <w:color w:val="000000"/>
                <w:kern w:val="44"/>
                <w:sz w:val="18"/>
                <w:szCs w:val="18"/>
              </w:rPr>
            </w:pPr>
            <w:r>
              <w:rPr>
                <w:rFonts w:hint="eastAsia"/>
                <w:color w:val="000000"/>
                <w:kern w:val="44"/>
                <w:sz w:val="18"/>
                <w:szCs w:val="18"/>
                <w:lang w:bidi="ar"/>
              </w:rPr>
              <w:t>propagates</w:t>
            </w:r>
          </w:p>
        </w:tc>
        <w:tc>
          <w:tcPr>
            <w:tcW w:w="1043" w:type="pct"/>
            <w:tcBorders>
              <w:top w:val="nil"/>
              <w:left w:val="nil"/>
              <w:bottom w:val="nil"/>
              <w:right w:val="nil"/>
            </w:tcBorders>
            <w:shd w:val="clear" w:color="auto" w:fill="auto"/>
            <w:tcMar>
              <w:top w:w="150" w:type="dxa"/>
              <w:left w:w="240" w:type="dxa"/>
              <w:bottom w:w="150" w:type="dxa"/>
              <w:right w:w="240" w:type="dxa"/>
            </w:tcMar>
            <w:vAlign w:val="center"/>
          </w:tcPr>
          <w:p w14:paraId="03F237A8">
            <w:pPr>
              <w:keepNext/>
              <w:snapToGrid w:val="0"/>
              <w:jc w:val="center"/>
              <w:rPr>
                <w:color w:val="000000"/>
                <w:kern w:val="44"/>
                <w:sz w:val="18"/>
                <w:szCs w:val="18"/>
              </w:rPr>
            </w:pPr>
            <w:r>
              <w:rPr>
                <w:rFonts w:hint="eastAsia"/>
                <w:color w:val="000000"/>
                <w:kern w:val="44"/>
                <w:sz w:val="18"/>
                <w:szCs w:val="18"/>
                <w:lang w:bidi="ar"/>
              </w:rPr>
              <w:t>CVE</w:t>
            </w:r>
          </w:p>
        </w:tc>
        <w:tc>
          <w:tcPr>
            <w:tcW w:w="1559" w:type="pct"/>
            <w:tcBorders>
              <w:top w:val="nil"/>
              <w:left w:val="nil"/>
              <w:bottom w:val="nil"/>
              <w:right w:val="nil"/>
            </w:tcBorders>
            <w:shd w:val="clear" w:color="auto" w:fill="auto"/>
            <w:tcMar>
              <w:top w:w="150" w:type="dxa"/>
              <w:left w:w="240" w:type="dxa"/>
              <w:bottom w:w="150" w:type="dxa"/>
              <w:right w:w="240" w:type="dxa"/>
            </w:tcMar>
            <w:vAlign w:val="center"/>
          </w:tcPr>
          <w:p w14:paraId="4D6D6560">
            <w:pPr>
              <w:keepNext/>
              <w:snapToGrid w:val="0"/>
              <w:jc w:val="center"/>
              <w:rPr>
                <w:color w:val="000000"/>
                <w:kern w:val="44"/>
                <w:sz w:val="18"/>
                <w:szCs w:val="18"/>
              </w:rPr>
            </w:pPr>
            <w:r>
              <w:rPr>
                <w:rFonts w:hint="eastAsia"/>
                <w:color w:val="000000"/>
                <w:kern w:val="44"/>
                <w:sz w:val="18"/>
                <w:szCs w:val="18"/>
                <w:lang w:bidi="ar"/>
              </w:rPr>
              <w:t>HASH</w:t>
            </w:r>
          </w:p>
        </w:tc>
        <w:tc>
          <w:tcPr>
            <w:tcW w:w="500" w:type="pct"/>
            <w:tcBorders>
              <w:top w:val="nil"/>
              <w:left w:val="nil"/>
              <w:bottom w:val="nil"/>
              <w:right w:val="nil"/>
            </w:tcBorders>
            <w:shd w:val="clear" w:color="auto" w:fill="auto"/>
            <w:tcMar>
              <w:top w:w="150" w:type="dxa"/>
              <w:left w:w="240" w:type="dxa"/>
              <w:bottom w:w="150" w:type="dxa"/>
              <w:right w:w="240" w:type="dxa"/>
            </w:tcMar>
            <w:vAlign w:val="center"/>
          </w:tcPr>
          <w:p w14:paraId="7BD86ACF">
            <w:pPr>
              <w:keepNext/>
              <w:snapToGrid w:val="0"/>
              <w:jc w:val="center"/>
              <w:rPr>
                <w:color w:val="000000"/>
                <w:kern w:val="44"/>
                <w:sz w:val="18"/>
                <w:szCs w:val="18"/>
              </w:rPr>
            </w:pPr>
            <w:r>
              <w:rPr>
                <w:rFonts w:hint="eastAsia"/>
                <w:color w:val="000000"/>
                <w:kern w:val="44"/>
                <w:sz w:val="18"/>
                <w:szCs w:val="18"/>
                <w:lang w:bidi="ar"/>
              </w:rPr>
              <w:t>0.9</w:t>
            </w:r>
          </w:p>
        </w:tc>
        <w:tc>
          <w:tcPr>
            <w:tcW w:w="1093" w:type="pct"/>
            <w:tcBorders>
              <w:top w:val="nil"/>
              <w:left w:val="nil"/>
              <w:bottom w:val="nil"/>
              <w:right w:val="nil"/>
            </w:tcBorders>
            <w:shd w:val="clear" w:color="auto" w:fill="auto"/>
            <w:tcMar>
              <w:top w:w="150" w:type="dxa"/>
              <w:left w:w="240" w:type="dxa"/>
              <w:bottom w:w="150" w:type="dxa"/>
              <w:right w:w="-1" w:type="dxa"/>
            </w:tcMar>
            <w:vAlign w:val="center"/>
          </w:tcPr>
          <w:p w14:paraId="7ADA9E76">
            <w:pPr>
              <w:keepNext/>
              <w:snapToGrid w:val="0"/>
              <w:jc w:val="center"/>
              <w:rPr>
                <w:color w:val="000000"/>
                <w:kern w:val="44"/>
                <w:sz w:val="18"/>
                <w:szCs w:val="18"/>
              </w:rPr>
            </w:pPr>
            <w:r>
              <w:rPr>
                <w:rFonts w:hint="eastAsia"/>
                <w:color w:val="000000"/>
                <w:kern w:val="44"/>
                <w:sz w:val="18"/>
                <w:szCs w:val="18"/>
                <w:lang w:bidi="ar"/>
              </w:rPr>
              <w:t>揭示传播链路</w:t>
            </w:r>
          </w:p>
        </w:tc>
      </w:tr>
      <w:tr w14:paraId="75D7A712">
        <w:tblPrEx>
          <w:tblCellMar>
            <w:top w:w="0" w:type="dxa"/>
            <w:left w:w="108" w:type="dxa"/>
            <w:bottom w:w="0" w:type="dxa"/>
            <w:right w:w="108" w:type="dxa"/>
          </w:tblCellMar>
        </w:tblPrEx>
        <w:trPr>
          <w:trHeight w:val="340" w:hRule="exact"/>
          <w:jc w:val="center"/>
        </w:trPr>
        <w:tc>
          <w:tcPr>
            <w:tcW w:w="802" w:type="pct"/>
            <w:tcBorders>
              <w:top w:val="nil"/>
              <w:left w:val="nil"/>
              <w:bottom w:val="nil"/>
              <w:right w:val="nil"/>
            </w:tcBorders>
            <w:shd w:val="clear" w:color="auto" w:fill="auto"/>
            <w:tcMar>
              <w:top w:w="150" w:type="dxa"/>
              <w:left w:w="-1" w:type="dxa"/>
              <w:bottom w:w="150" w:type="dxa"/>
              <w:right w:w="240" w:type="dxa"/>
            </w:tcMar>
            <w:vAlign w:val="center"/>
          </w:tcPr>
          <w:p w14:paraId="4656ECDC">
            <w:pPr>
              <w:keepNext/>
              <w:snapToGrid w:val="0"/>
              <w:jc w:val="center"/>
              <w:rPr>
                <w:color w:val="000000"/>
                <w:kern w:val="44"/>
                <w:sz w:val="18"/>
                <w:szCs w:val="18"/>
              </w:rPr>
            </w:pPr>
            <w:r>
              <w:rPr>
                <w:rFonts w:hint="eastAsia"/>
                <w:color w:val="000000"/>
                <w:kern w:val="44"/>
                <w:sz w:val="18"/>
                <w:szCs w:val="18"/>
                <w:lang w:bidi="ar"/>
              </w:rPr>
              <w:t>resolves</w:t>
            </w:r>
          </w:p>
        </w:tc>
        <w:tc>
          <w:tcPr>
            <w:tcW w:w="1043" w:type="pct"/>
            <w:tcBorders>
              <w:top w:val="nil"/>
              <w:left w:val="nil"/>
              <w:bottom w:val="nil"/>
              <w:right w:val="nil"/>
            </w:tcBorders>
            <w:shd w:val="clear" w:color="auto" w:fill="auto"/>
            <w:tcMar>
              <w:top w:w="150" w:type="dxa"/>
              <w:left w:w="240" w:type="dxa"/>
              <w:bottom w:w="150" w:type="dxa"/>
              <w:right w:w="240" w:type="dxa"/>
            </w:tcMar>
            <w:vAlign w:val="center"/>
          </w:tcPr>
          <w:p w14:paraId="27E88894">
            <w:pPr>
              <w:keepNext/>
              <w:snapToGrid w:val="0"/>
              <w:jc w:val="center"/>
              <w:rPr>
                <w:color w:val="000000"/>
                <w:kern w:val="44"/>
                <w:sz w:val="18"/>
                <w:szCs w:val="18"/>
              </w:rPr>
            </w:pPr>
            <w:r>
              <w:rPr>
                <w:rFonts w:hint="eastAsia"/>
                <w:color w:val="000000"/>
                <w:kern w:val="44"/>
                <w:sz w:val="18"/>
                <w:szCs w:val="18"/>
                <w:lang w:bidi="ar"/>
              </w:rPr>
              <w:t>DOMAIN</w:t>
            </w:r>
          </w:p>
        </w:tc>
        <w:tc>
          <w:tcPr>
            <w:tcW w:w="1559" w:type="pct"/>
            <w:tcBorders>
              <w:top w:val="nil"/>
              <w:left w:val="nil"/>
              <w:bottom w:val="nil"/>
              <w:right w:val="nil"/>
            </w:tcBorders>
            <w:shd w:val="clear" w:color="auto" w:fill="auto"/>
            <w:tcMar>
              <w:top w:w="150" w:type="dxa"/>
              <w:left w:w="240" w:type="dxa"/>
              <w:bottom w:w="150" w:type="dxa"/>
              <w:right w:w="240" w:type="dxa"/>
            </w:tcMar>
            <w:vAlign w:val="center"/>
          </w:tcPr>
          <w:p w14:paraId="3BB65FF5">
            <w:pPr>
              <w:keepNext/>
              <w:snapToGrid w:val="0"/>
              <w:jc w:val="center"/>
              <w:rPr>
                <w:color w:val="000000"/>
                <w:kern w:val="44"/>
                <w:sz w:val="18"/>
                <w:szCs w:val="18"/>
              </w:rPr>
            </w:pPr>
            <w:r>
              <w:rPr>
                <w:rFonts w:hint="eastAsia"/>
                <w:color w:val="000000"/>
                <w:kern w:val="44"/>
                <w:sz w:val="18"/>
                <w:szCs w:val="18"/>
                <w:lang w:bidi="ar"/>
              </w:rPr>
              <w:t>IP</w:t>
            </w:r>
          </w:p>
        </w:tc>
        <w:tc>
          <w:tcPr>
            <w:tcW w:w="500" w:type="pct"/>
            <w:tcBorders>
              <w:top w:val="nil"/>
              <w:left w:val="nil"/>
              <w:bottom w:val="nil"/>
              <w:right w:val="nil"/>
            </w:tcBorders>
            <w:shd w:val="clear" w:color="auto" w:fill="auto"/>
            <w:tcMar>
              <w:top w:w="150" w:type="dxa"/>
              <w:left w:w="240" w:type="dxa"/>
              <w:bottom w:w="150" w:type="dxa"/>
              <w:right w:w="240" w:type="dxa"/>
            </w:tcMar>
            <w:vAlign w:val="center"/>
          </w:tcPr>
          <w:p w14:paraId="6E33C141">
            <w:pPr>
              <w:keepNext/>
              <w:snapToGrid w:val="0"/>
              <w:jc w:val="center"/>
              <w:rPr>
                <w:color w:val="000000"/>
                <w:kern w:val="44"/>
                <w:sz w:val="18"/>
                <w:szCs w:val="18"/>
              </w:rPr>
            </w:pPr>
            <w:r>
              <w:rPr>
                <w:rFonts w:hint="eastAsia"/>
                <w:color w:val="000000"/>
                <w:kern w:val="44"/>
                <w:sz w:val="18"/>
                <w:szCs w:val="18"/>
                <w:lang w:bidi="ar"/>
              </w:rPr>
              <w:t>0.8</w:t>
            </w:r>
          </w:p>
        </w:tc>
        <w:tc>
          <w:tcPr>
            <w:tcW w:w="1093" w:type="pct"/>
            <w:tcBorders>
              <w:top w:val="nil"/>
              <w:left w:val="nil"/>
              <w:bottom w:val="nil"/>
              <w:right w:val="nil"/>
            </w:tcBorders>
            <w:shd w:val="clear" w:color="auto" w:fill="auto"/>
            <w:tcMar>
              <w:top w:w="150" w:type="dxa"/>
              <w:left w:w="240" w:type="dxa"/>
              <w:bottom w:w="150" w:type="dxa"/>
              <w:right w:w="-1" w:type="dxa"/>
            </w:tcMar>
            <w:vAlign w:val="center"/>
          </w:tcPr>
          <w:p w14:paraId="31CB7401">
            <w:pPr>
              <w:keepNext/>
              <w:snapToGrid w:val="0"/>
              <w:jc w:val="center"/>
              <w:rPr>
                <w:color w:val="000000"/>
                <w:kern w:val="44"/>
                <w:sz w:val="18"/>
                <w:szCs w:val="18"/>
              </w:rPr>
            </w:pPr>
            <w:r>
              <w:rPr>
                <w:rFonts w:hint="eastAsia"/>
                <w:color w:val="000000"/>
                <w:kern w:val="44"/>
                <w:sz w:val="18"/>
                <w:szCs w:val="18"/>
                <w:lang w:bidi="ar"/>
              </w:rPr>
              <w:t>揭示基础设施关联</w:t>
            </w:r>
          </w:p>
        </w:tc>
      </w:tr>
      <w:tr w14:paraId="42D39B2D">
        <w:tblPrEx>
          <w:tblCellMar>
            <w:top w:w="0" w:type="dxa"/>
            <w:left w:w="108" w:type="dxa"/>
            <w:bottom w:w="0" w:type="dxa"/>
            <w:right w:w="108" w:type="dxa"/>
          </w:tblCellMar>
        </w:tblPrEx>
        <w:trPr>
          <w:trHeight w:val="340" w:hRule="exact"/>
          <w:jc w:val="center"/>
        </w:trPr>
        <w:tc>
          <w:tcPr>
            <w:tcW w:w="802" w:type="pct"/>
            <w:tcBorders>
              <w:top w:val="nil"/>
              <w:left w:val="nil"/>
              <w:bottom w:val="nil"/>
              <w:right w:val="nil"/>
            </w:tcBorders>
            <w:shd w:val="clear" w:color="auto" w:fill="auto"/>
            <w:tcMar>
              <w:top w:w="150" w:type="dxa"/>
              <w:left w:w="-1" w:type="dxa"/>
              <w:bottom w:w="150" w:type="dxa"/>
              <w:right w:w="240" w:type="dxa"/>
            </w:tcMar>
            <w:vAlign w:val="center"/>
          </w:tcPr>
          <w:p w14:paraId="5CCD3026">
            <w:pPr>
              <w:keepNext/>
              <w:snapToGrid w:val="0"/>
              <w:jc w:val="center"/>
              <w:rPr>
                <w:color w:val="000000"/>
                <w:kern w:val="44"/>
                <w:sz w:val="18"/>
                <w:szCs w:val="18"/>
              </w:rPr>
            </w:pPr>
            <w:r>
              <w:rPr>
                <w:rFonts w:hint="eastAsia"/>
                <w:color w:val="000000"/>
                <w:kern w:val="44"/>
                <w:sz w:val="18"/>
                <w:szCs w:val="18"/>
                <w:lang w:bidi="ar"/>
              </w:rPr>
              <w:t>persists</w:t>
            </w:r>
          </w:p>
        </w:tc>
        <w:tc>
          <w:tcPr>
            <w:tcW w:w="1043" w:type="pct"/>
            <w:tcBorders>
              <w:top w:val="nil"/>
              <w:left w:val="nil"/>
              <w:bottom w:val="nil"/>
              <w:right w:val="nil"/>
            </w:tcBorders>
            <w:shd w:val="clear" w:color="auto" w:fill="auto"/>
            <w:tcMar>
              <w:top w:w="150" w:type="dxa"/>
              <w:left w:w="240" w:type="dxa"/>
              <w:bottom w:w="150" w:type="dxa"/>
              <w:right w:w="240" w:type="dxa"/>
            </w:tcMar>
            <w:vAlign w:val="center"/>
          </w:tcPr>
          <w:p w14:paraId="2BB5F46F">
            <w:pPr>
              <w:keepNext/>
              <w:snapToGrid w:val="0"/>
              <w:jc w:val="center"/>
              <w:rPr>
                <w:color w:val="000000"/>
                <w:kern w:val="44"/>
                <w:sz w:val="18"/>
                <w:szCs w:val="18"/>
              </w:rPr>
            </w:pPr>
            <w:r>
              <w:rPr>
                <w:rFonts w:hint="eastAsia"/>
                <w:color w:val="000000"/>
                <w:kern w:val="44"/>
                <w:sz w:val="18"/>
                <w:szCs w:val="18"/>
                <w:lang w:bidi="ar"/>
              </w:rPr>
              <w:t>HASH</w:t>
            </w:r>
          </w:p>
        </w:tc>
        <w:tc>
          <w:tcPr>
            <w:tcW w:w="1559" w:type="pct"/>
            <w:tcBorders>
              <w:top w:val="nil"/>
              <w:left w:val="nil"/>
              <w:bottom w:val="nil"/>
              <w:right w:val="nil"/>
            </w:tcBorders>
            <w:shd w:val="clear" w:color="auto" w:fill="auto"/>
            <w:tcMar>
              <w:top w:w="150" w:type="dxa"/>
              <w:left w:w="240" w:type="dxa"/>
              <w:bottom w:w="150" w:type="dxa"/>
              <w:right w:w="240" w:type="dxa"/>
            </w:tcMar>
            <w:vAlign w:val="center"/>
          </w:tcPr>
          <w:p w14:paraId="15CB0CFA">
            <w:pPr>
              <w:keepNext/>
              <w:snapToGrid w:val="0"/>
              <w:jc w:val="center"/>
              <w:rPr>
                <w:color w:val="000000"/>
                <w:kern w:val="44"/>
                <w:sz w:val="18"/>
                <w:szCs w:val="18"/>
              </w:rPr>
            </w:pPr>
            <w:r>
              <w:rPr>
                <w:rFonts w:hint="eastAsia"/>
                <w:color w:val="000000"/>
                <w:kern w:val="44"/>
                <w:sz w:val="18"/>
                <w:szCs w:val="18"/>
                <w:lang w:bidi="ar"/>
              </w:rPr>
              <w:t>REGISTRY / FILE_PATH</w:t>
            </w:r>
          </w:p>
        </w:tc>
        <w:tc>
          <w:tcPr>
            <w:tcW w:w="500" w:type="pct"/>
            <w:tcBorders>
              <w:top w:val="nil"/>
              <w:left w:val="nil"/>
              <w:bottom w:val="nil"/>
              <w:right w:val="nil"/>
            </w:tcBorders>
            <w:shd w:val="clear" w:color="auto" w:fill="auto"/>
            <w:tcMar>
              <w:top w:w="150" w:type="dxa"/>
              <w:left w:w="240" w:type="dxa"/>
              <w:bottom w:w="150" w:type="dxa"/>
              <w:right w:w="240" w:type="dxa"/>
            </w:tcMar>
            <w:vAlign w:val="center"/>
          </w:tcPr>
          <w:p w14:paraId="70AAF4F8">
            <w:pPr>
              <w:keepNext/>
              <w:snapToGrid w:val="0"/>
              <w:jc w:val="center"/>
              <w:rPr>
                <w:color w:val="000000"/>
                <w:kern w:val="44"/>
                <w:sz w:val="18"/>
                <w:szCs w:val="18"/>
              </w:rPr>
            </w:pPr>
            <w:r>
              <w:rPr>
                <w:rFonts w:hint="eastAsia"/>
                <w:color w:val="000000"/>
                <w:kern w:val="44"/>
                <w:sz w:val="18"/>
                <w:szCs w:val="18"/>
                <w:lang w:bidi="ar"/>
              </w:rPr>
              <w:t>0.85</w:t>
            </w:r>
          </w:p>
        </w:tc>
        <w:tc>
          <w:tcPr>
            <w:tcW w:w="1093" w:type="pct"/>
            <w:tcBorders>
              <w:top w:val="nil"/>
              <w:left w:val="nil"/>
              <w:bottom w:val="nil"/>
              <w:right w:val="nil"/>
            </w:tcBorders>
            <w:shd w:val="clear" w:color="auto" w:fill="auto"/>
            <w:tcMar>
              <w:top w:w="150" w:type="dxa"/>
              <w:left w:w="240" w:type="dxa"/>
              <w:bottom w:w="150" w:type="dxa"/>
              <w:right w:w="-1" w:type="dxa"/>
            </w:tcMar>
            <w:vAlign w:val="center"/>
          </w:tcPr>
          <w:p w14:paraId="5560A0FF">
            <w:pPr>
              <w:keepNext/>
              <w:snapToGrid w:val="0"/>
              <w:jc w:val="center"/>
              <w:rPr>
                <w:color w:val="000000"/>
                <w:kern w:val="44"/>
                <w:sz w:val="18"/>
                <w:szCs w:val="18"/>
              </w:rPr>
            </w:pPr>
            <w:r>
              <w:rPr>
                <w:rFonts w:hint="eastAsia"/>
                <w:color w:val="000000"/>
                <w:kern w:val="44"/>
                <w:sz w:val="18"/>
                <w:szCs w:val="18"/>
                <w:lang w:bidi="ar"/>
              </w:rPr>
              <w:t>揭示持久化机制</w:t>
            </w:r>
          </w:p>
        </w:tc>
      </w:tr>
      <w:tr w14:paraId="2B6476E6">
        <w:tblPrEx>
          <w:tblCellMar>
            <w:top w:w="0" w:type="dxa"/>
            <w:left w:w="108" w:type="dxa"/>
            <w:bottom w:w="0" w:type="dxa"/>
            <w:right w:w="108" w:type="dxa"/>
          </w:tblCellMar>
        </w:tblPrEx>
        <w:trPr>
          <w:trHeight w:val="590" w:hRule="exact"/>
          <w:jc w:val="center"/>
        </w:trPr>
        <w:tc>
          <w:tcPr>
            <w:tcW w:w="802" w:type="pct"/>
            <w:tcBorders>
              <w:top w:val="nil"/>
              <w:left w:val="nil"/>
              <w:bottom w:val="single" w:color="auto" w:sz="12" w:space="0"/>
              <w:right w:val="nil"/>
            </w:tcBorders>
            <w:shd w:val="clear" w:color="auto" w:fill="auto"/>
            <w:tcMar>
              <w:top w:w="150" w:type="dxa"/>
              <w:left w:w="-1" w:type="dxa"/>
              <w:bottom w:w="150" w:type="dxa"/>
              <w:right w:w="240" w:type="dxa"/>
            </w:tcMar>
            <w:vAlign w:val="center"/>
          </w:tcPr>
          <w:p w14:paraId="675EB4AE">
            <w:pPr>
              <w:keepNext/>
              <w:snapToGrid w:val="0"/>
              <w:jc w:val="center"/>
              <w:rPr>
                <w:color w:val="000000"/>
                <w:kern w:val="44"/>
                <w:sz w:val="18"/>
                <w:szCs w:val="18"/>
              </w:rPr>
            </w:pPr>
            <w:r>
              <w:rPr>
                <w:rFonts w:hint="eastAsia"/>
                <w:color w:val="000000"/>
                <w:kern w:val="44"/>
                <w:sz w:val="18"/>
                <w:szCs w:val="18"/>
                <w:lang w:bidi="ar"/>
              </w:rPr>
              <w:t>targets</w:t>
            </w:r>
          </w:p>
        </w:tc>
        <w:tc>
          <w:tcPr>
            <w:tcW w:w="1043" w:type="pct"/>
            <w:tcBorders>
              <w:top w:val="nil"/>
              <w:left w:val="nil"/>
              <w:bottom w:val="single" w:color="auto" w:sz="12" w:space="0"/>
              <w:right w:val="nil"/>
            </w:tcBorders>
            <w:shd w:val="clear" w:color="auto" w:fill="auto"/>
            <w:tcMar>
              <w:top w:w="150" w:type="dxa"/>
              <w:left w:w="240" w:type="dxa"/>
              <w:bottom w:w="150" w:type="dxa"/>
              <w:right w:w="240" w:type="dxa"/>
            </w:tcMar>
            <w:vAlign w:val="center"/>
          </w:tcPr>
          <w:p w14:paraId="639BF478">
            <w:pPr>
              <w:keepNext/>
              <w:snapToGrid w:val="0"/>
              <w:jc w:val="center"/>
              <w:rPr>
                <w:color w:val="000000"/>
                <w:kern w:val="44"/>
                <w:sz w:val="18"/>
                <w:szCs w:val="18"/>
              </w:rPr>
            </w:pPr>
            <w:r>
              <w:rPr>
                <w:rFonts w:hint="eastAsia"/>
                <w:color w:val="000000"/>
                <w:kern w:val="44"/>
                <w:sz w:val="18"/>
                <w:szCs w:val="18"/>
                <w:lang w:bidi="ar"/>
              </w:rPr>
              <w:t>OPERATION</w:t>
            </w:r>
          </w:p>
        </w:tc>
        <w:tc>
          <w:tcPr>
            <w:tcW w:w="1559" w:type="pct"/>
            <w:tcBorders>
              <w:top w:val="nil"/>
              <w:left w:val="nil"/>
              <w:bottom w:val="single" w:color="auto" w:sz="12" w:space="0"/>
              <w:right w:val="nil"/>
            </w:tcBorders>
            <w:shd w:val="clear" w:color="auto" w:fill="auto"/>
            <w:tcMar>
              <w:top w:w="150" w:type="dxa"/>
              <w:left w:w="240" w:type="dxa"/>
              <w:bottom w:w="150" w:type="dxa"/>
              <w:right w:w="240" w:type="dxa"/>
            </w:tcMar>
            <w:vAlign w:val="center"/>
          </w:tcPr>
          <w:p w14:paraId="55E48782">
            <w:pPr>
              <w:keepNext/>
              <w:snapToGrid w:val="0"/>
              <w:jc w:val="center"/>
              <w:rPr>
                <w:color w:val="000000"/>
                <w:kern w:val="44"/>
                <w:sz w:val="18"/>
                <w:szCs w:val="18"/>
              </w:rPr>
            </w:pPr>
            <w:r>
              <w:rPr>
                <w:rFonts w:hint="eastAsia"/>
                <w:color w:val="000000"/>
                <w:kern w:val="44"/>
                <w:sz w:val="18"/>
                <w:szCs w:val="18"/>
                <w:lang w:bidi="ar"/>
              </w:rPr>
              <w:t>ORG / INDUSTRY / COUNTRY</w:t>
            </w:r>
          </w:p>
        </w:tc>
        <w:tc>
          <w:tcPr>
            <w:tcW w:w="500" w:type="pct"/>
            <w:tcBorders>
              <w:top w:val="nil"/>
              <w:left w:val="nil"/>
              <w:bottom w:val="single" w:color="auto" w:sz="12" w:space="0"/>
              <w:right w:val="nil"/>
            </w:tcBorders>
            <w:shd w:val="clear" w:color="auto" w:fill="auto"/>
            <w:tcMar>
              <w:top w:w="150" w:type="dxa"/>
              <w:left w:w="240" w:type="dxa"/>
              <w:bottom w:w="150" w:type="dxa"/>
              <w:right w:w="240" w:type="dxa"/>
            </w:tcMar>
            <w:vAlign w:val="center"/>
          </w:tcPr>
          <w:p w14:paraId="519CA7FA">
            <w:pPr>
              <w:keepNext/>
              <w:snapToGrid w:val="0"/>
              <w:jc w:val="center"/>
              <w:rPr>
                <w:color w:val="000000"/>
                <w:kern w:val="44"/>
                <w:sz w:val="18"/>
                <w:szCs w:val="18"/>
              </w:rPr>
            </w:pPr>
            <w:r>
              <w:rPr>
                <w:rFonts w:hint="eastAsia"/>
                <w:color w:val="000000"/>
                <w:kern w:val="44"/>
                <w:sz w:val="18"/>
                <w:szCs w:val="18"/>
                <w:lang w:bidi="ar"/>
              </w:rPr>
              <w:t>0.9</w:t>
            </w:r>
          </w:p>
        </w:tc>
        <w:tc>
          <w:tcPr>
            <w:tcW w:w="1093" w:type="pct"/>
            <w:tcBorders>
              <w:top w:val="nil"/>
              <w:left w:val="nil"/>
              <w:bottom w:val="single" w:color="auto" w:sz="12" w:space="0"/>
              <w:right w:val="nil"/>
            </w:tcBorders>
            <w:shd w:val="clear" w:color="auto" w:fill="auto"/>
            <w:tcMar>
              <w:top w:w="150" w:type="dxa"/>
              <w:left w:w="240" w:type="dxa"/>
              <w:bottom w:w="150" w:type="dxa"/>
              <w:right w:w="-1" w:type="dxa"/>
            </w:tcMar>
            <w:vAlign w:val="center"/>
          </w:tcPr>
          <w:p w14:paraId="245B16F9">
            <w:pPr>
              <w:keepNext/>
              <w:snapToGrid w:val="0"/>
              <w:jc w:val="center"/>
              <w:rPr>
                <w:color w:val="000000"/>
                <w:kern w:val="44"/>
                <w:sz w:val="18"/>
                <w:szCs w:val="18"/>
              </w:rPr>
            </w:pPr>
            <w:r>
              <w:rPr>
                <w:rFonts w:hint="eastAsia"/>
                <w:color w:val="000000"/>
                <w:kern w:val="44"/>
                <w:sz w:val="18"/>
                <w:szCs w:val="18"/>
                <w:lang w:bidi="ar"/>
              </w:rPr>
              <w:t>揭示目标选择偏好</w:t>
            </w:r>
          </w:p>
        </w:tc>
      </w:tr>
    </w:tbl>
    <w:p w14:paraId="7EAC265D">
      <w:pPr>
        <w:pStyle w:val="7"/>
        <w:spacing w:after="60" w:line="240" w:lineRule="auto"/>
        <w:ind w:firstLine="402"/>
        <w:rPr>
          <w:color w:val="000000"/>
          <w:sz w:val="20"/>
          <w:szCs w:val="20"/>
        </w:rPr>
      </w:pPr>
      <w:r>
        <w:rPr>
          <w:rFonts w:hint="eastAsia"/>
          <w:b/>
          <w:bCs/>
          <w:color w:val="000000"/>
          <w:sz w:val="20"/>
          <w:szCs w:val="20"/>
        </w:rPr>
        <w:t>层四：全局语义传播关系。</w:t>
      </w:r>
      <w:r>
        <w:rPr>
          <w:rFonts w:hint="eastAsia"/>
          <w:color w:val="000000"/>
          <w:sz w:val="20"/>
          <w:szCs w:val="20"/>
        </w:rPr>
        <w:t>为建模报告级全局语义，引入虚拟根节点</w:t>
      </w:r>
      <w:r>
        <w:rPr>
          <w:rFonts w:hint="eastAsia"/>
          <w:i/>
          <w:iCs/>
          <w:color w:val="000000"/>
          <w:sz w:val="20"/>
          <w:szCs w:val="20"/>
        </w:rPr>
        <w:t>v</w:t>
      </w:r>
      <w:r>
        <w:rPr>
          <w:rFonts w:hint="eastAsia"/>
          <w:color w:val="000000"/>
          <w:sz w:val="20"/>
          <w:szCs w:val="20"/>
          <w:vertAlign w:val="subscript"/>
        </w:rPr>
        <w:t>0</w:t>
      </w:r>
      <w:r>
        <w:rPr>
          <w:rFonts w:hint="eastAsia"/>
          <w:color w:val="000000"/>
          <w:sz w:val="20"/>
          <w:szCs w:val="20"/>
        </w:rPr>
        <w:t>，并与所有实体节点建立双向连接，如公式（13）所示。节点</w:t>
      </w:r>
      <w:r>
        <w:rPr>
          <w:rFonts w:hint="eastAsia"/>
          <w:i/>
          <w:iCs/>
          <w:color w:val="000000"/>
          <w:sz w:val="20"/>
          <w:szCs w:val="20"/>
        </w:rPr>
        <w:t>v</w:t>
      </w:r>
      <w:r>
        <w:rPr>
          <w:rFonts w:hint="eastAsia"/>
          <w:color w:val="000000"/>
          <w:sz w:val="20"/>
          <w:szCs w:val="20"/>
          <w:vertAlign w:val="subscript"/>
        </w:rPr>
        <w:t>0</w:t>
      </w:r>
      <w:r>
        <w:rPr>
          <w:rFonts w:hint="eastAsia"/>
          <w:color w:val="000000"/>
          <w:sz w:val="20"/>
          <w:szCs w:val="20"/>
        </w:rPr>
        <w:t>的表示由全文句向量平均池化获得。</w:t>
      </w:r>
    </w:p>
    <w:p w14:paraId="4E4F3B21">
      <w:pPr>
        <w:pStyle w:val="7"/>
        <w:spacing w:after="60" w:line="240" w:lineRule="auto"/>
        <w:ind w:firstLine="0" w:firstLineChars="0"/>
        <w:jc w:val="right"/>
        <w:rPr>
          <w:color w:val="000000"/>
          <w:sz w:val="20"/>
          <w:szCs w:val="20"/>
        </w:rPr>
      </w:pPr>
      <w:r>
        <w:rPr>
          <w:rFonts w:hint="eastAsia"/>
          <w:color w:val="000000"/>
          <w:position w:val="-12"/>
          <w:sz w:val="20"/>
          <w:szCs w:val="20"/>
        </w:rPr>
        <w:object>
          <v:shape id="_x0000_i1030" o:spt="75" type="#_x0000_t75" style="height:18pt;width:169pt;" o:ole="t" filled="f" o:preferrelative="t" stroked="f" coordsize="21600,21600">
            <v:path/>
            <v:fill on="f" focussize="0,0"/>
            <v:stroke on="f" joinstyle="miter"/>
            <v:imagedata r:id="rId23" o:title=""/>
            <o:lock v:ext="edit" aspectratio="f"/>
            <w10:wrap type="none"/>
            <w10:anchorlock/>
          </v:shape>
          <o:OLEObject Type="Embed" ProgID="Equation.DSMT4" ShapeID="_x0000_i1030" DrawAspect="Content" ObjectID="_1468075730" r:id="rId22">
            <o:LockedField>false</o:LockedField>
          </o:OLEObject>
        </w:object>
      </w:r>
      <w:r>
        <w:rPr>
          <w:rFonts w:hint="eastAsia"/>
          <w:color w:val="000000"/>
          <w:position w:val="-12"/>
          <w:sz w:val="20"/>
          <w:szCs w:val="20"/>
        </w:rPr>
        <w:t xml:space="preserve">               </w:t>
      </w:r>
      <w:r>
        <w:rPr>
          <w:rFonts w:hint="eastAsia"/>
          <w:color w:val="000000"/>
          <w:sz w:val="20"/>
          <w:szCs w:val="20"/>
        </w:rPr>
        <w:t>（13）</w:t>
      </w:r>
    </w:p>
    <w:p w14:paraId="3F272C34">
      <w:pPr>
        <w:pStyle w:val="7"/>
        <w:spacing w:after="60" w:line="240" w:lineRule="auto"/>
        <w:ind w:firstLine="400"/>
        <w:rPr>
          <w:color w:val="000000"/>
          <w:sz w:val="20"/>
          <w:szCs w:val="20"/>
        </w:rPr>
      </w:pPr>
      <w:r>
        <w:rPr>
          <w:rFonts w:hint="eastAsia"/>
          <w:color w:val="000000"/>
          <w:sz w:val="20"/>
          <w:szCs w:val="20"/>
        </w:rPr>
        <w:t>该设计将任意节点间最短路径限制为两跳，从而在浅层GNN中实现全局信息传播。为缓解过度平滑风险，</w:t>
      </w:r>
      <w:r>
        <w:rPr>
          <w:rFonts w:hint="eastAsia"/>
          <w:color w:val="000000"/>
          <w:sz w:val="20"/>
          <w:szCs w:val="20"/>
          <w:lang w:eastAsia="zh"/>
        </w:rPr>
        <w:t>采用DropEdge[40]方法作为互补正则化技术。</w:t>
      </w:r>
    </w:p>
    <w:p w14:paraId="39414E89">
      <w:pPr>
        <w:pStyle w:val="7"/>
        <w:spacing w:after="60" w:line="240" w:lineRule="auto"/>
        <w:ind w:firstLine="402"/>
        <w:rPr>
          <w:color w:val="000000"/>
          <w:sz w:val="20"/>
          <w:szCs w:val="20"/>
        </w:rPr>
      </w:pPr>
      <w:r>
        <w:rPr>
          <w:rFonts w:hint="eastAsia"/>
          <w:b/>
          <w:bCs/>
          <w:color w:val="000000"/>
          <w:sz w:val="20"/>
          <w:szCs w:val="20"/>
        </w:rPr>
        <w:t>层五：稀疏结构补全关系。</w:t>
      </w:r>
      <w:r>
        <w:rPr>
          <w:rFonts w:hint="eastAsia"/>
          <w:color w:val="000000"/>
          <w:sz w:val="20"/>
          <w:szCs w:val="20"/>
        </w:rPr>
        <w:t>在节点数|</w:t>
      </w:r>
      <w:r>
        <w:rPr>
          <w:rFonts w:hint="eastAsia"/>
          <w:i/>
          <w:iCs/>
          <w:color w:val="000000"/>
          <w:sz w:val="20"/>
          <w:szCs w:val="20"/>
        </w:rPr>
        <w:t>V</w:t>
      </w:r>
      <w:r>
        <w:rPr>
          <w:rFonts w:hint="eastAsia"/>
          <w:color w:val="000000"/>
          <w:sz w:val="20"/>
          <w:szCs w:val="20"/>
        </w:rPr>
        <w:t>|&lt;5的极端稀疏场景下，图结构难以支持有效信息传播。为此，对小规模图引入如公式（14）所示的补全边以保证基本连通性。</w:t>
      </w:r>
    </w:p>
    <w:p w14:paraId="69FF252C">
      <w:pPr>
        <w:pStyle w:val="7"/>
        <w:spacing w:after="60" w:line="240" w:lineRule="auto"/>
        <w:ind w:firstLine="0" w:firstLineChars="0"/>
        <w:jc w:val="right"/>
        <w:rPr>
          <w:strike/>
          <w:color w:val="000000"/>
          <w:sz w:val="20"/>
          <w:szCs w:val="20"/>
        </w:rPr>
      </w:pPr>
      <w:r>
        <w:rPr>
          <w:rFonts w:hint="eastAsia"/>
          <w:color w:val="000000"/>
          <w:position w:val="-14"/>
          <w:sz w:val="20"/>
          <w:szCs w:val="20"/>
        </w:rPr>
        <w:object>
          <v:shape id="_x0000_i1031" o:spt="75" type="#_x0000_t75" style="height:20pt;width:130pt;" o:ole="t" filled="f" o:preferrelative="t" stroked="f" coordsize="21600,21600">
            <v:path/>
            <v:fill on="f" focussize="0,0"/>
            <v:stroke on="f" joinstyle="miter"/>
            <v:imagedata r:id="rId25" o:title=""/>
            <o:lock v:ext="edit" aspectratio="f"/>
            <w10:wrap type="none"/>
            <w10:anchorlock/>
          </v:shape>
          <o:OLEObject Type="Embed" ProgID="Equation.DSMT4" ShapeID="_x0000_i1031" DrawAspect="Content" ObjectID="_1468075731" r:id="rId24">
            <o:LockedField>false</o:LockedField>
          </o:OLEObject>
        </w:object>
      </w:r>
      <w:r>
        <w:rPr>
          <w:rFonts w:hint="eastAsia"/>
          <w:color w:val="000000"/>
          <w:position w:val="-14"/>
          <w:sz w:val="20"/>
          <w:szCs w:val="20"/>
        </w:rPr>
        <w:t xml:space="preserve">                    </w:t>
      </w:r>
      <w:r>
        <w:rPr>
          <w:rFonts w:hint="eastAsia"/>
          <w:color w:val="000000"/>
          <w:sz w:val="20"/>
          <w:szCs w:val="20"/>
        </w:rPr>
        <w:t>（14）</w:t>
      </w:r>
    </w:p>
    <w:p w14:paraId="089BBB5C">
      <w:pPr>
        <w:pStyle w:val="7"/>
        <w:spacing w:after="60" w:line="240" w:lineRule="auto"/>
        <w:ind w:firstLine="400"/>
        <w:rPr>
          <w:color w:val="000000"/>
          <w:sz w:val="20"/>
          <w:szCs w:val="20"/>
        </w:rPr>
      </w:pPr>
      <w:r>
        <w:rPr>
          <w:rFonts w:hint="eastAsia"/>
          <w:color w:val="000000"/>
          <w:sz w:val="20"/>
          <w:szCs w:val="20"/>
        </w:rPr>
        <w:t>综合上述五类关系，最终图的边集定义为各层关系的并集，如公式（15）所示，其中</w:t>
      </w:r>
      <w:r>
        <w:rPr>
          <w:i/>
          <w:iCs/>
          <w:color w:val="000000"/>
          <w:sz w:val="20"/>
          <w:szCs w:val="20"/>
        </w:rPr>
        <w:t>ξ</w:t>
      </w:r>
      <w:r>
        <w:rPr>
          <w:rFonts w:hint="eastAsia"/>
          <w:i/>
          <w:iCs/>
          <w:color w:val="000000"/>
          <w:sz w:val="20"/>
          <w:szCs w:val="20"/>
          <w:vertAlign w:val="subscript"/>
        </w:rPr>
        <w:t>l</w:t>
      </w:r>
      <w:r>
        <w:rPr>
          <w:rFonts w:hint="eastAsia" w:cs="宋体"/>
          <w:color w:val="000000"/>
          <w:sz w:val="20"/>
          <w:szCs w:val="20"/>
        </w:rPr>
        <w:t>表示第</w:t>
      </w:r>
      <w:r>
        <w:rPr>
          <w:rFonts w:hint="eastAsia"/>
          <w:i/>
          <w:iCs/>
          <w:color w:val="000000"/>
          <w:sz w:val="20"/>
          <w:szCs w:val="20"/>
        </w:rPr>
        <w:t>l</w:t>
      </w:r>
      <w:r>
        <w:rPr>
          <w:rFonts w:hint="eastAsia" w:cs="宋体"/>
          <w:color w:val="000000"/>
          <w:sz w:val="20"/>
          <w:szCs w:val="20"/>
        </w:rPr>
        <w:t>层的边</w:t>
      </w:r>
      <w:r>
        <w:rPr>
          <w:rFonts w:hint="eastAsia"/>
          <w:color w:val="000000"/>
          <w:sz w:val="20"/>
          <w:szCs w:val="20"/>
        </w:rPr>
        <w:t>。</w:t>
      </w:r>
    </w:p>
    <w:p w14:paraId="41EDFE7C">
      <w:pPr>
        <w:pStyle w:val="7"/>
        <w:spacing w:after="60" w:line="240" w:lineRule="auto"/>
        <w:ind w:firstLine="0" w:firstLineChars="0"/>
        <w:jc w:val="right"/>
        <w:rPr>
          <w:color w:val="000000"/>
          <w:sz w:val="20"/>
          <w:szCs w:val="20"/>
        </w:rPr>
      </w:pPr>
      <w:r>
        <w:rPr>
          <w:rFonts w:hint="eastAsia"/>
          <w:color w:val="000000"/>
          <w:position w:val="-28"/>
          <w:sz w:val="20"/>
          <w:szCs w:val="20"/>
        </w:rPr>
        <w:object>
          <v:shape id="_x0000_i1032" o:spt="75" type="#_x0000_t75" style="height:34pt;width:54pt;" o:ole="t" filled="f" o:preferrelative="t" stroked="f" coordsize="21600,21600">
            <v:path/>
            <v:fill on="f" focussize="0,0"/>
            <v:stroke on="f" joinstyle="miter"/>
            <v:imagedata r:id="rId27" o:title=""/>
            <o:lock v:ext="edit" aspectratio="f"/>
            <w10:wrap type="none"/>
            <w10:anchorlock/>
          </v:shape>
          <o:OLEObject Type="Embed" ProgID="Equation.DSMT4" ShapeID="_x0000_i1032" DrawAspect="Content" ObjectID="_1468075732" r:id="rId26">
            <o:LockedField>false</o:LockedField>
          </o:OLEObject>
        </w:object>
      </w:r>
      <w:r>
        <w:rPr>
          <w:rFonts w:hint="eastAsia"/>
          <w:color w:val="000000"/>
          <w:position w:val="-28"/>
          <w:sz w:val="20"/>
          <w:szCs w:val="20"/>
        </w:rPr>
        <w:t xml:space="preserve">                          </w:t>
      </w:r>
      <w:r>
        <w:rPr>
          <w:rFonts w:hint="eastAsia"/>
          <w:color w:val="000000"/>
          <w:sz w:val="20"/>
          <w:szCs w:val="20"/>
        </w:rPr>
        <w:t>（15）</w:t>
      </w:r>
    </w:p>
    <w:p w14:paraId="0CB81A5F">
      <w:pPr>
        <w:pStyle w:val="7"/>
        <w:spacing w:after="60" w:line="240" w:lineRule="auto"/>
        <w:ind w:firstLine="400"/>
        <w:rPr>
          <w:color w:val="000000"/>
          <w:sz w:val="20"/>
          <w:szCs w:val="20"/>
        </w:rPr>
      </w:pPr>
      <w:r>
        <w:rPr>
          <w:rFonts w:hint="eastAsia"/>
          <w:color w:val="000000"/>
          <w:sz w:val="20"/>
          <w:szCs w:val="20"/>
        </w:rPr>
        <w:t>该多层关系建模机制在保证表达能力的同时，实现从局部上下文到全局结构的统一建模，为后续归因提供稳定的结构基础。</w:t>
      </w:r>
    </w:p>
    <w:p w14:paraId="49CC2E87">
      <w:pPr>
        <w:pStyle w:val="4"/>
        <w:keepNext/>
        <w:spacing w:before="360" w:beforeLines="0" w:after="120" w:afterLines="0"/>
        <w:jc w:val="both"/>
        <w:rPr>
          <w:sz w:val="21"/>
          <w:szCs w:val="21"/>
        </w:rPr>
      </w:pPr>
      <w:bookmarkStart w:id="7" w:name="_Toc12021"/>
      <w:r>
        <w:rPr>
          <w:rFonts w:hint="eastAsia"/>
          <w:sz w:val="21"/>
          <w:szCs w:val="21"/>
          <w:lang w:eastAsia="zh"/>
        </w:rPr>
        <w:t xml:space="preserve">3.2.2 </w:t>
      </w:r>
      <w:bookmarkEnd w:id="7"/>
      <w:r>
        <w:rPr>
          <w:rFonts w:hint="eastAsia"/>
          <w:sz w:val="21"/>
          <w:szCs w:val="21"/>
        </w:rPr>
        <w:t>基于类型驱动的关系映射和共享基分解参数化</w:t>
      </w:r>
    </w:p>
    <w:p w14:paraId="51964CF0">
      <w:pPr>
        <w:pStyle w:val="7"/>
        <w:spacing w:after="60" w:line="240" w:lineRule="auto"/>
        <w:ind w:firstLine="400"/>
        <w:rPr>
          <w:color w:val="000000"/>
          <w:sz w:val="20"/>
          <w:szCs w:val="20"/>
        </w:rPr>
      </w:pPr>
      <w:r>
        <w:rPr>
          <w:rFonts w:hint="eastAsia"/>
          <w:color w:val="000000"/>
          <w:sz w:val="20"/>
          <w:szCs w:val="20"/>
        </w:rPr>
        <w:t>五层边构建虽显著增强了图结构表达能力[1]，但由实体类型对诱导的关系空间呈组合爆炸（最高可达</w:t>
      </w:r>
      <w:r>
        <w:rPr>
          <w:rFonts w:hint="eastAsia"/>
          <w:i/>
          <w:iCs/>
          <w:color w:val="000000"/>
          <w:sz w:val="20"/>
          <w:szCs w:val="20"/>
        </w:rPr>
        <w:t>O</w:t>
      </w:r>
      <w:r>
        <w:rPr>
          <w:rFonts w:hint="eastAsia"/>
          <w:color w:val="000000"/>
          <w:sz w:val="20"/>
          <w:szCs w:val="20"/>
        </w:rPr>
        <w:t>(</w:t>
      </w:r>
      <w:r>
        <w:rPr>
          <w:rFonts w:hint="eastAsia"/>
          <w:i/>
          <w:iCs/>
          <w:color w:val="000000"/>
          <w:sz w:val="20"/>
          <w:szCs w:val="20"/>
        </w:rPr>
        <w:t>T</w:t>
      </w:r>
      <w:r>
        <w:rPr>
          <w:rFonts w:hint="eastAsia"/>
          <w:color w:val="000000"/>
          <w:sz w:val="20"/>
          <w:szCs w:val="20"/>
          <w:vertAlign w:val="superscript"/>
        </w:rPr>
        <w:t>2</w:t>
      </w:r>
      <w:r>
        <w:rPr>
          <w:rFonts w:hint="eastAsia"/>
          <w:color w:val="000000"/>
          <w:sz w:val="20"/>
          <w:szCs w:val="20"/>
        </w:rPr>
        <w:t>)），在APT威胁情报样本规模有限的场景下易引发严重过拟合与参数冗余问题[24][27][</w:t>
      </w:r>
      <w:r>
        <w:rPr>
          <w:rFonts w:hint="eastAsia"/>
          <w:color w:val="000000"/>
          <w:sz w:val="20"/>
          <w:szCs w:val="20"/>
          <w:lang w:eastAsia="zh"/>
        </w:rPr>
        <w:t>38</w:t>
      </w:r>
      <w:r>
        <w:rPr>
          <w:rFonts w:hint="eastAsia"/>
          <w:color w:val="000000"/>
          <w:sz w:val="20"/>
          <w:szCs w:val="20"/>
        </w:rPr>
        <w:t>]。为此，本文提出类型驱动的关系映射（type-driven mapping）与共享基分解参数化（basis decomposition）的统一建模框架[31][41]，在保持关系判别能力的同时实现参数约束与跨关系知识共享。</w:t>
      </w:r>
    </w:p>
    <w:p w14:paraId="6A144DA2">
      <w:pPr>
        <w:pStyle w:val="7"/>
        <w:spacing w:after="60" w:line="240" w:lineRule="auto"/>
        <w:ind w:firstLine="402"/>
        <w:rPr>
          <w:b/>
          <w:bCs/>
          <w:color w:val="000000"/>
          <w:sz w:val="20"/>
          <w:szCs w:val="20"/>
        </w:rPr>
      </w:pPr>
      <w:r>
        <w:rPr>
          <w:rFonts w:hint="eastAsia"/>
          <w:b/>
          <w:bCs/>
          <w:color w:val="000000"/>
          <w:sz w:val="20"/>
          <w:szCs w:val="20"/>
        </w:rPr>
        <w:t>（1）类型驱动的关系映射</w:t>
      </w:r>
    </w:p>
    <w:p w14:paraId="77EE0D44">
      <w:pPr>
        <w:pStyle w:val="7"/>
        <w:spacing w:after="60" w:line="240" w:lineRule="auto"/>
        <w:ind w:firstLine="400"/>
        <w:rPr>
          <w:color w:val="000000"/>
          <w:sz w:val="20"/>
          <w:szCs w:val="20"/>
        </w:rPr>
      </w:pPr>
      <w:r>
        <w:rPr>
          <w:rFonts w:hint="eastAsia"/>
          <w:color w:val="000000"/>
          <w:sz w:val="20"/>
          <w:szCs w:val="20"/>
        </w:rPr>
        <w:t>为避免依赖人工构建领域本体，本文采用实体类型对的笛卡尔积自动生成关系标签。具体而言，边类型由源节点与目标节点的实体类型唯一确定，如公式（16）所示。其中，</w:t>
      </w:r>
      <w:r>
        <w:rPr>
          <w:rFonts w:hint="eastAsia"/>
          <w:i/>
          <w:iCs/>
          <w:color w:val="000000"/>
          <w:sz w:val="20"/>
          <w:szCs w:val="20"/>
        </w:rPr>
        <w:t>ϕ</w:t>
      </w:r>
      <w:r>
        <w:rPr>
          <w:rFonts w:hint="eastAsia"/>
          <w:i/>
          <w:iCs/>
          <w:color w:val="000000"/>
          <w:sz w:val="20"/>
          <w:szCs w:val="20"/>
          <w:vertAlign w:val="subscript"/>
        </w:rPr>
        <w:t>type</w:t>
      </w:r>
      <w:r>
        <w:rPr>
          <w:rFonts w:hint="eastAsia"/>
          <w:i/>
          <w:iCs/>
          <w:color w:val="000000"/>
          <w:sz w:val="20"/>
          <w:szCs w:val="20"/>
        </w:rPr>
        <w:t xml:space="preserve"> </w:t>
      </w:r>
      <w:r>
        <w:rPr>
          <w:rFonts w:hint="eastAsia"/>
          <w:color w:val="000000"/>
          <w:sz w:val="20"/>
          <w:szCs w:val="20"/>
        </w:rPr>
        <w:t>(</w:t>
      </w:r>
      <w:r>
        <w:rPr>
          <w:rFonts w:hint="eastAsia"/>
          <w:i/>
          <w:iCs/>
          <w:color w:val="000000"/>
          <w:sz w:val="20"/>
          <w:szCs w:val="20"/>
        </w:rPr>
        <w:t>e</w:t>
      </w:r>
      <w:r>
        <w:rPr>
          <w:rFonts w:hint="eastAsia"/>
          <w:i/>
          <w:iCs/>
          <w:color w:val="000000"/>
          <w:sz w:val="20"/>
          <w:szCs w:val="20"/>
          <w:vertAlign w:val="subscript"/>
        </w:rPr>
        <w:t>i</w:t>
      </w:r>
      <w:r>
        <w:rPr>
          <w:rFonts w:hint="eastAsia"/>
          <w:color w:val="000000"/>
          <w:sz w:val="20"/>
          <w:szCs w:val="20"/>
        </w:rPr>
        <w:t>)∈{</w:t>
      </w:r>
      <w:r>
        <w:rPr>
          <w:color w:val="000000"/>
          <w:sz w:val="20"/>
          <w:szCs w:val="20"/>
        </w:rPr>
        <w:t>0</w:t>
      </w:r>
      <w:r>
        <w:rPr>
          <w:rFonts w:hint="eastAsia"/>
          <w:i/>
          <w:iCs/>
          <w:color w:val="000000"/>
          <w:sz w:val="20"/>
          <w:szCs w:val="20"/>
        </w:rPr>
        <w:t>,</w:t>
      </w:r>
      <w:r>
        <w:rPr>
          <w:color w:val="000000"/>
          <w:sz w:val="20"/>
          <w:szCs w:val="20"/>
        </w:rPr>
        <w:t>1</w:t>
      </w:r>
      <w:r>
        <w:rPr>
          <w:rFonts w:hint="eastAsia"/>
          <w:i/>
          <w:iCs/>
          <w:color w:val="000000"/>
          <w:sz w:val="20"/>
          <w:szCs w:val="20"/>
        </w:rPr>
        <w:t>,…,T</w:t>
      </w:r>
      <w:r>
        <w:rPr>
          <w:rFonts w:hint="eastAsia"/>
          <w:color w:val="000000"/>
          <w:sz w:val="20"/>
          <w:szCs w:val="20"/>
        </w:rPr>
        <w:t>}为实体节点</w:t>
      </w:r>
      <w:r>
        <w:rPr>
          <w:i/>
          <w:iCs/>
          <w:color w:val="000000"/>
          <w:sz w:val="20"/>
          <w:szCs w:val="20"/>
        </w:rPr>
        <w:t>v</w:t>
      </w:r>
      <w:r>
        <w:rPr>
          <w:rFonts w:hint="eastAsia"/>
          <w:color w:val="000000"/>
          <w:sz w:val="20"/>
          <w:szCs w:val="20"/>
        </w:rPr>
        <w:t>的类型索引，</w:t>
      </w:r>
      <w:r>
        <w:rPr>
          <w:i/>
          <w:iCs/>
          <w:color w:val="000000"/>
          <w:sz w:val="20"/>
          <w:szCs w:val="20"/>
        </w:rPr>
        <w:t>T</w:t>
      </w:r>
      <w:r>
        <w:rPr>
          <w:rFonts w:hint="eastAsia"/>
          <w:color w:val="000000"/>
          <w:sz w:val="20"/>
          <w:szCs w:val="20"/>
        </w:rPr>
        <w:t>=40表示实体类型总数（涵盖IP地址、哈希值、域名、恶意软件、CVE编号、MITRE ATT&amp;CK技术等40种类型）。通过线性编码函数确保任意类型对映射至唯一关系ID，从而构建规模为(</w:t>
      </w:r>
      <w:r>
        <w:rPr>
          <w:i/>
          <w:iCs/>
          <w:color w:val="000000"/>
          <w:sz w:val="20"/>
          <w:szCs w:val="20"/>
        </w:rPr>
        <w:t>T</w:t>
      </w:r>
      <w:r>
        <w:rPr>
          <w:rFonts w:hint="eastAsia"/>
          <w:color w:val="000000"/>
          <w:sz w:val="20"/>
          <w:szCs w:val="20"/>
        </w:rPr>
        <w:t>+1)</w:t>
      </w:r>
      <w:r>
        <w:rPr>
          <w:rFonts w:hint="eastAsia"/>
          <w:color w:val="000000"/>
          <w:sz w:val="20"/>
          <w:szCs w:val="20"/>
          <w:vertAlign w:val="superscript"/>
        </w:rPr>
        <w:t>2</w:t>
      </w:r>
      <w:r>
        <w:rPr>
          <w:rFonts w:hint="eastAsia"/>
          <w:color w:val="000000"/>
          <w:sz w:val="20"/>
          <w:szCs w:val="20"/>
        </w:rPr>
        <w:t>=1681的关系空间。</w:t>
      </w:r>
    </w:p>
    <w:p w14:paraId="4805A17C">
      <w:pPr>
        <w:pStyle w:val="7"/>
        <w:spacing w:after="60" w:line="240" w:lineRule="auto"/>
        <w:ind w:firstLine="0" w:firstLineChars="0"/>
        <w:jc w:val="right"/>
        <w:rPr>
          <w:color w:val="000000"/>
          <w:sz w:val="20"/>
          <w:szCs w:val="20"/>
        </w:rPr>
      </w:pPr>
      <w:r>
        <w:rPr>
          <w:rFonts w:hint="eastAsia"/>
          <w:color w:val="000000"/>
          <w:position w:val="-14"/>
          <w:sz w:val="20"/>
          <w:szCs w:val="20"/>
        </w:rPr>
        <w:object>
          <v:shape id="_x0000_i1033" o:spt="75" type="#_x0000_t75" style="height:19pt;width:178pt;" o:ole="t" filled="f" o:preferrelative="t" stroked="f" coordsize="21600,21600">
            <v:path/>
            <v:fill on="f" focussize="0,0"/>
            <v:stroke on="f" joinstyle="miter"/>
            <v:imagedata r:id="rId29" o:title=""/>
            <o:lock v:ext="edit" aspectratio="f"/>
            <w10:wrap type="none"/>
            <w10:anchorlock/>
          </v:shape>
          <o:OLEObject Type="Embed" ProgID="Equation.DSMT4" ShapeID="_x0000_i1033" DrawAspect="Content" ObjectID="_1468075733" r:id="rId28">
            <o:LockedField>false</o:LockedField>
          </o:OLEObject>
        </w:object>
      </w:r>
      <w:r>
        <w:rPr>
          <w:rFonts w:hint="eastAsia"/>
          <w:color w:val="000000"/>
          <w:position w:val="-14"/>
          <w:sz w:val="20"/>
          <w:szCs w:val="20"/>
        </w:rPr>
        <w:t xml:space="preserve">              </w:t>
      </w:r>
      <w:r>
        <w:rPr>
          <w:rFonts w:hint="eastAsia"/>
          <w:color w:val="000000"/>
          <w:sz w:val="20"/>
          <w:szCs w:val="20"/>
        </w:rPr>
        <w:t>（16）</w:t>
      </w:r>
    </w:p>
    <w:p w14:paraId="7C95C235">
      <w:pPr>
        <w:pStyle w:val="7"/>
        <w:spacing w:after="60" w:line="240" w:lineRule="auto"/>
        <w:ind w:firstLine="400"/>
        <w:rPr>
          <w:color w:val="000000"/>
          <w:sz w:val="20"/>
          <w:szCs w:val="20"/>
        </w:rPr>
      </w:pPr>
      <w:r>
        <w:rPr>
          <w:color w:val="000000"/>
          <w:sz w:val="20"/>
          <w:szCs w:val="20"/>
        </w:rPr>
        <w:t>最终</w:t>
      </w:r>
      <w:r>
        <w:rPr>
          <w:rFonts w:hint="eastAsia"/>
          <w:color w:val="000000"/>
          <w:sz w:val="20"/>
          <w:szCs w:val="20"/>
        </w:rPr>
        <w:t>得到的</w:t>
      </w:r>
      <w:r>
        <w:rPr>
          <w:color w:val="000000"/>
          <w:sz w:val="20"/>
          <w:szCs w:val="20"/>
        </w:rPr>
        <w:t>关系类型并非仅由类型对决定，而是由</w:t>
      </w:r>
      <w:r>
        <w:rPr>
          <w:rFonts w:hint="eastAsia"/>
          <w:color w:val="000000"/>
          <w:sz w:val="20"/>
          <w:szCs w:val="20"/>
        </w:rPr>
        <w:t>“3.2.1小节的</w:t>
      </w:r>
      <w:r>
        <w:rPr>
          <w:color w:val="000000"/>
          <w:sz w:val="20"/>
          <w:szCs w:val="20"/>
        </w:rPr>
        <w:t>边层语义</w:t>
      </w:r>
      <w:r>
        <w:rPr>
          <w:rFonts w:hint="eastAsia"/>
          <w:color w:val="000000"/>
          <w:sz w:val="20"/>
          <w:szCs w:val="20"/>
        </w:rPr>
        <w:t>”和“</w:t>
      </w:r>
      <w:r>
        <w:rPr>
          <w:color w:val="000000"/>
          <w:sz w:val="20"/>
          <w:szCs w:val="20"/>
        </w:rPr>
        <w:t>实体类型对</w:t>
      </w:r>
      <w:r>
        <w:rPr>
          <w:rFonts w:hint="eastAsia"/>
          <w:color w:val="000000"/>
          <w:sz w:val="20"/>
          <w:szCs w:val="20"/>
        </w:rPr>
        <w:t>”</w:t>
      </w:r>
      <w:r>
        <w:rPr>
          <w:color w:val="000000"/>
          <w:sz w:val="20"/>
          <w:szCs w:val="20"/>
        </w:rPr>
        <w:t>联合定义。其中</w:t>
      </w:r>
      <w:r>
        <w:rPr>
          <w:rFonts w:hint="eastAsia"/>
          <w:color w:val="000000"/>
          <w:sz w:val="20"/>
          <w:szCs w:val="20"/>
        </w:rPr>
        <w:t>，</w:t>
      </w:r>
      <w:r>
        <w:rPr>
          <w:color w:val="000000"/>
          <w:sz w:val="20"/>
          <w:szCs w:val="20"/>
        </w:rPr>
        <w:t>边层（如共现、桥接、ATT&amp;CK语义边）提供关系语义类别</w:t>
      </w:r>
      <w:r>
        <w:rPr>
          <w:rFonts w:hint="eastAsia"/>
          <w:color w:val="000000"/>
          <w:sz w:val="20"/>
          <w:szCs w:val="20"/>
        </w:rPr>
        <w:t>，</w:t>
      </w:r>
      <w:r>
        <w:rPr>
          <w:color w:val="000000"/>
          <w:sz w:val="20"/>
          <w:szCs w:val="20"/>
        </w:rPr>
        <w:t>类型对提供关系实例约束</w:t>
      </w:r>
      <w:r>
        <w:rPr>
          <w:rFonts w:hint="eastAsia"/>
          <w:color w:val="000000"/>
          <w:sz w:val="20"/>
          <w:szCs w:val="20"/>
        </w:rPr>
        <w:t>，</w:t>
      </w:r>
      <w:r>
        <w:rPr>
          <w:color w:val="000000"/>
          <w:sz w:val="20"/>
          <w:szCs w:val="20"/>
        </w:rPr>
        <w:t>二者共同构成完整关系语义，从而避免</w:t>
      </w:r>
      <w:r>
        <w:rPr>
          <w:rFonts w:hint="eastAsia"/>
          <w:color w:val="000000"/>
          <w:sz w:val="20"/>
          <w:szCs w:val="20"/>
        </w:rPr>
        <w:t>“</w:t>
      </w:r>
      <w:r>
        <w:rPr>
          <w:color w:val="000000"/>
          <w:sz w:val="20"/>
          <w:szCs w:val="20"/>
        </w:rPr>
        <w:t>类型对映射忽略语义</w:t>
      </w:r>
      <w:r>
        <w:rPr>
          <w:rFonts w:hint="eastAsia"/>
          <w:color w:val="000000"/>
          <w:sz w:val="20"/>
          <w:szCs w:val="20"/>
        </w:rPr>
        <w:t>”</w:t>
      </w:r>
      <w:r>
        <w:rPr>
          <w:color w:val="000000"/>
          <w:sz w:val="20"/>
          <w:szCs w:val="20"/>
        </w:rPr>
        <w:t>的问题。</w:t>
      </w:r>
      <w:r>
        <w:rPr>
          <w:rFonts w:hint="eastAsia"/>
          <w:color w:val="000000"/>
          <w:sz w:val="20"/>
          <w:szCs w:val="20"/>
        </w:rPr>
        <w:t>与现有方法相比，</w:t>
      </w:r>
      <w:r>
        <w:rPr>
          <w:color w:val="000000"/>
          <w:sz w:val="20"/>
          <w:szCs w:val="20"/>
        </w:rPr>
        <w:t>该设计具有以下优势：</w:t>
      </w:r>
      <w:r>
        <w:rPr>
          <w:rFonts w:hint="eastAsia"/>
          <w:color w:val="000000"/>
          <w:sz w:val="20"/>
          <w:szCs w:val="20"/>
        </w:rPr>
        <w:t>（1）</w:t>
      </w:r>
      <w:r>
        <w:rPr>
          <w:color w:val="000000"/>
          <w:sz w:val="20"/>
          <w:szCs w:val="20"/>
        </w:rPr>
        <w:t>去本体化建模：无需人工维护关系标签，降低知识工程成本</w:t>
      </w:r>
      <w:r>
        <w:rPr>
          <w:rFonts w:hint="eastAsia"/>
          <w:color w:val="000000"/>
          <w:sz w:val="20"/>
          <w:szCs w:val="20"/>
        </w:rPr>
        <w:t>；（2）</w:t>
      </w:r>
      <w:r>
        <w:rPr>
          <w:color w:val="000000"/>
          <w:sz w:val="20"/>
          <w:szCs w:val="20"/>
        </w:rPr>
        <w:t>语义一致性：关系定义由结构层统一约束，避免语义歧义</w:t>
      </w:r>
      <w:r>
        <w:rPr>
          <w:rFonts w:hint="eastAsia"/>
          <w:color w:val="000000"/>
          <w:sz w:val="20"/>
          <w:szCs w:val="20"/>
        </w:rPr>
        <w:t>；（3）</w:t>
      </w:r>
      <w:r>
        <w:rPr>
          <w:color w:val="000000"/>
          <w:sz w:val="20"/>
          <w:szCs w:val="20"/>
        </w:rPr>
        <w:t>开放可扩展性：可自然适配新增实体类型与新攻击模式</w:t>
      </w:r>
      <w:r>
        <w:rPr>
          <w:rFonts w:hint="eastAsia"/>
          <w:color w:val="000000"/>
          <w:sz w:val="20"/>
          <w:szCs w:val="20"/>
        </w:rPr>
        <w:t>。</w:t>
      </w:r>
      <w:r>
        <w:rPr>
          <w:color w:val="000000"/>
          <w:sz w:val="20"/>
          <w:szCs w:val="20"/>
        </w:rPr>
        <w:t>相较依赖静态本体的知识图谱方法，该机制更适用于动态演化的APT威胁情报场景。</w:t>
      </w:r>
    </w:p>
    <w:p w14:paraId="347732E0">
      <w:pPr>
        <w:pStyle w:val="7"/>
        <w:spacing w:after="60" w:line="240" w:lineRule="auto"/>
        <w:ind w:firstLine="402"/>
        <w:rPr>
          <w:b/>
          <w:bCs/>
          <w:color w:val="000000"/>
          <w:sz w:val="20"/>
          <w:szCs w:val="20"/>
        </w:rPr>
      </w:pPr>
      <w:r>
        <w:rPr>
          <w:rFonts w:hint="eastAsia"/>
          <w:b/>
          <w:bCs/>
          <w:color w:val="000000"/>
          <w:sz w:val="20"/>
          <w:szCs w:val="20"/>
        </w:rPr>
        <w:t>（2）共享基分解参数化</w:t>
      </w:r>
    </w:p>
    <w:p w14:paraId="6FBA9772">
      <w:pPr>
        <w:pStyle w:val="7"/>
        <w:spacing w:after="60" w:line="240" w:lineRule="auto"/>
        <w:ind w:firstLine="400"/>
        <w:rPr>
          <w:color w:val="000000"/>
          <w:sz w:val="20"/>
          <w:szCs w:val="20"/>
        </w:rPr>
      </w:pPr>
      <w:r>
        <w:rPr>
          <w:rFonts w:hint="eastAsia"/>
          <w:color w:val="000000"/>
          <w:sz w:val="20"/>
          <w:szCs w:val="20"/>
        </w:rPr>
        <w:t>直接为每类关系学习独立变换矩阵</w:t>
      </w:r>
      <m:oMath>
        <m:sSub>
          <m:sSubPr>
            <m:ctrlPr>
              <w:rPr>
                <w:rFonts w:ascii="Cambria Math" w:hAnsi="Cambria Math"/>
                <w:i/>
                <w:color w:val="000000"/>
                <w:sz w:val="20"/>
                <w:szCs w:val="20"/>
              </w:rPr>
            </m:ctrlPr>
          </m:sSubPr>
          <m:e>
            <m:r>
              <m:rPr/>
              <w:rPr>
                <w:rFonts w:ascii="Cambria Math" w:hAnsi="Cambria Math"/>
                <w:color w:val="000000"/>
                <w:sz w:val="20"/>
                <w:szCs w:val="20"/>
              </w:rPr>
              <m:t>W</m:t>
            </m:r>
            <m:ctrlPr>
              <w:rPr>
                <w:rFonts w:ascii="Cambria Math" w:hAnsi="Cambria Math"/>
                <w:i/>
                <w:color w:val="000000"/>
                <w:sz w:val="20"/>
                <w:szCs w:val="20"/>
              </w:rPr>
            </m:ctrlPr>
          </m:e>
          <m:sub>
            <m:r>
              <m:rPr/>
              <w:rPr>
                <w:rFonts w:ascii="Cambria Math" w:hAnsi="Cambria Math"/>
                <w:color w:val="000000"/>
                <w:sz w:val="20"/>
                <w:szCs w:val="20"/>
              </w:rPr>
              <m:t>r</m:t>
            </m:r>
            <m:ctrlPr>
              <w:rPr>
                <w:rFonts w:ascii="Cambria Math" w:hAnsi="Cambria Math"/>
                <w:i/>
                <w:color w:val="000000"/>
                <w:sz w:val="20"/>
                <w:szCs w:val="20"/>
              </w:rPr>
            </m:ctrlPr>
          </m:sub>
        </m:sSub>
        <m:r>
          <m:rPr>
            <m:sty m:val="p"/>
          </m:rPr>
          <w:rPr>
            <w:rFonts w:hint="eastAsia" w:ascii="Cambria Math" w:hAnsi="Cambria Math"/>
            <w:color w:val="000000"/>
            <w:sz w:val="20"/>
            <w:szCs w:val="20"/>
          </w:rPr>
          <m:t>∈</m:t>
        </m:r>
        <m:sSup>
          <m:sSupPr>
            <m:ctrlPr>
              <w:rPr>
                <w:rFonts w:ascii="Cambria Math" w:hAnsi="Cambria Math"/>
                <w:i/>
                <w:color w:val="000000"/>
                <w:sz w:val="20"/>
                <w:szCs w:val="20"/>
              </w:rPr>
            </m:ctrlPr>
          </m:sSupPr>
          <m:e>
            <m:r>
              <m:rPr>
                <m:nor/>
                <m:sty m:val="p"/>
              </m:rPr>
              <w:rPr>
                <w:b w:val="0"/>
                <w:i w:val="0"/>
                <w:color w:val="000000"/>
                <w:sz w:val="20"/>
                <w:szCs w:val="20"/>
              </w:rPr>
              <m:t>R</m:t>
            </m:r>
            <m:ctrlPr>
              <w:rPr>
                <w:rFonts w:ascii="Cambria Math" w:hAnsi="Cambria Math"/>
                <w:i/>
                <w:color w:val="000000"/>
                <w:sz w:val="20"/>
                <w:szCs w:val="20"/>
              </w:rPr>
            </m:ctrlPr>
          </m:e>
          <m:sup>
            <m:r>
              <m:rPr/>
              <w:rPr>
                <w:rFonts w:ascii="Cambria Math" w:hAnsi="Cambria Math"/>
                <w:color w:val="000000"/>
                <w:sz w:val="20"/>
                <w:szCs w:val="20"/>
              </w:rPr>
              <m:t>d</m:t>
            </m:r>
            <m:r>
              <m:rPr>
                <m:sty m:val="p"/>
              </m:rPr>
              <w:rPr>
                <w:rFonts w:hint="eastAsia" w:ascii="Cambria Math" w:hAnsi="Cambria Math"/>
                <w:color w:val="000000"/>
                <w:sz w:val="20"/>
                <w:szCs w:val="20"/>
              </w:rPr>
              <m:t>×</m:t>
            </m:r>
            <m:r>
              <m:rPr/>
              <w:rPr>
                <w:rFonts w:ascii="Cambria Math" w:hAnsi="Cambria Math"/>
                <w:color w:val="000000"/>
                <w:sz w:val="20"/>
                <w:szCs w:val="20"/>
              </w:rPr>
              <m:t>d</m:t>
            </m:r>
            <m:ctrlPr>
              <w:rPr>
                <w:rFonts w:ascii="Cambria Math" w:hAnsi="Cambria Math"/>
                <w:i/>
                <w:color w:val="000000"/>
                <w:sz w:val="20"/>
                <w:szCs w:val="20"/>
              </w:rPr>
            </m:ctrlPr>
          </m:sup>
        </m:sSup>
      </m:oMath>
      <w:r>
        <w:rPr>
          <w:rFonts w:hint="eastAsia"/>
          <w:color w:val="000000"/>
          <w:sz w:val="20"/>
          <w:szCs w:val="20"/>
        </w:rPr>
        <w:t>会导致参数规模随关系数线性增长。在</w:t>
      </w:r>
      <w:r>
        <w:rPr>
          <w:rFonts w:hint="eastAsia"/>
          <w:i/>
          <w:iCs/>
          <w:color w:val="000000"/>
          <w:sz w:val="20"/>
          <w:szCs w:val="20"/>
        </w:rPr>
        <w:t>R</w:t>
      </w:r>
      <w:r>
        <w:rPr>
          <w:rFonts w:hint="eastAsia"/>
          <w:color w:val="000000"/>
          <w:sz w:val="20"/>
          <w:szCs w:val="20"/>
        </w:rPr>
        <w:t>=1,681、d=128时，</w:t>
      </w:r>
      <w:r>
        <w:rPr>
          <w:color w:val="000000"/>
          <w:sz w:val="20"/>
          <w:szCs w:val="20"/>
        </w:rPr>
        <w:t>参数量约为</w:t>
      </w:r>
      <w:r>
        <w:rPr>
          <w:rFonts w:hint="eastAsia"/>
          <w:color w:val="000000"/>
          <w:sz w:val="20"/>
          <w:szCs w:val="20"/>
        </w:rPr>
        <w:t>2.75×10</w:t>
      </w:r>
      <w:r>
        <w:rPr>
          <w:rFonts w:hint="eastAsia"/>
          <w:color w:val="000000"/>
          <w:sz w:val="20"/>
          <w:szCs w:val="20"/>
          <w:vertAlign w:val="superscript"/>
        </w:rPr>
        <w:t>7</w:t>
      </w:r>
      <w:r>
        <w:rPr>
          <w:rFonts w:hint="eastAsia"/>
          <w:color w:val="000000"/>
          <w:sz w:val="20"/>
          <w:szCs w:val="20"/>
        </w:rPr>
        <w:t>，显著超出数据规模可支撑范围。为此，本文采用基分解参数化，将关系变换表示为如公式（17）所示的共享基矩阵的线性组合。其中，基矩阵</w:t>
      </w:r>
      <w:r>
        <w:rPr>
          <w:rFonts w:hint="eastAsia"/>
          <w:i/>
          <w:iCs/>
          <w:color w:val="000000"/>
          <w:sz w:val="20"/>
          <w:szCs w:val="20"/>
        </w:rPr>
        <w:t>V</w:t>
      </w:r>
      <w:r>
        <w:rPr>
          <w:rFonts w:hint="eastAsia"/>
          <w:i/>
          <w:iCs/>
          <w:color w:val="000000"/>
          <w:sz w:val="20"/>
          <w:szCs w:val="20"/>
          <w:vertAlign w:val="subscript"/>
        </w:rPr>
        <w:t>b</w:t>
      </w:r>
      <w:r>
        <w:rPr>
          <w:rFonts w:hint="eastAsia"/>
          <w:i/>
          <w:iCs/>
          <w:color w:val="000000"/>
          <w:sz w:val="20"/>
          <w:szCs w:val="20"/>
        </w:rPr>
        <w:t>（</w:t>
      </w:r>
      <w:r>
        <w:rPr>
          <w:rFonts w:hint="eastAsia"/>
          <w:color w:val="000000"/>
          <w:sz w:val="20"/>
          <w:szCs w:val="20"/>
        </w:rPr>
        <w:t>其中</w:t>
      </w:r>
      <w:r>
        <w:rPr>
          <w:i/>
          <w:iCs/>
          <w:color w:val="000000"/>
          <w:sz w:val="20"/>
          <w:szCs w:val="20"/>
        </w:rPr>
        <w:t>b</w:t>
      </w:r>
      <w:r>
        <w:rPr>
          <w:rFonts w:hint="eastAsia"/>
          <w:color w:val="000000"/>
          <w:sz w:val="20"/>
          <w:szCs w:val="20"/>
        </w:rPr>
        <w:t>=1,…,</w:t>
      </w:r>
      <w:r>
        <w:rPr>
          <w:i/>
          <w:iCs/>
          <w:color w:val="000000"/>
          <w:sz w:val="20"/>
          <w:szCs w:val="20"/>
        </w:rPr>
        <w:t>B</w:t>
      </w:r>
      <w:r>
        <w:rPr>
          <w:rFonts w:hint="eastAsia"/>
          <w:color w:val="000000"/>
          <w:sz w:val="20"/>
          <w:szCs w:val="20"/>
        </w:rPr>
        <w:t>）为所有关系共享，</w:t>
      </w:r>
      <w:r>
        <w:rPr>
          <w:rFonts w:hint="eastAsia"/>
          <w:i/>
          <w:iCs/>
          <w:color w:val="000000"/>
          <w:sz w:val="20"/>
          <w:szCs w:val="20"/>
        </w:rPr>
        <w:t>a</w:t>
      </w:r>
      <w:r>
        <w:rPr>
          <w:rFonts w:hint="eastAsia"/>
          <w:i/>
          <w:iCs/>
          <w:color w:val="000000"/>
          <w:sz w:val="20"/>
          <w:szCs w:val="20"/>
          <w:vertAlign w:val="subscript"/>
        </w:rPr>
        <w:t>rb</w:t>
      </w:r>
      <w:r>
        <w:rPr>
          <w:rFonts w:hint="eastAsia"/>
          <w:color w:val="000000"/>
          <w:sz w:val="20"/>
          <w:szCs w:val="20"/>
        </w:rPr>
        <w:t>为关系</w:t>
      </w:r>
      <w:r>
        <w:rPr>
          <w:rFonts w:hint="eastAsia"/>
          <w:i/>
          <w:iCs/>
          <w:color w:val="000000"/>
          <w:sz w:val="20"/>
          <w:szCs w:val="20"/>
        </w:rPr>
        <w:t>r</w:t>
      </w:r>
      <w:r>
        <w:rPr>
          <w:rFonts w:hint="eastAsia"/>
          <w:color w:val="000000"/>
          <w:sz w:val="20"/>
          <w:szCs w:val="20"/>
        </w:rPr>
        <w:t>特定的组合系数。</w:t>
      </w:r>
    </w:p>
    <w:p w14:paraId="5E8C1081">
      <w:pPr>
        <w:pStyle w:val="7"/>
        <w:spacing w:after="60" w:line="240" w:lineRule="auto"/>
        <w:ind w:firstLine="0" w:firstLineChars="0"/>
        <w:jc w:val="right"/>
        <w:rPr>
          <w:color w:val="000000"/>
          <w:sz w:val="20"/>
          <w:szCs w:val="20"/>
        </w:rPr>
      </w:pPr>
      <w:r>
        <w:rPr>
          <w:rFonts w:hint="eastAsia"/>
          <w:color w:val="000000"/>
          <w:position w:val="-28"/>
          <w:sz w:val="20"/>
          <w:szCs w:val="20"/>
        </w:rPr>
        <w:object>
          <v:shape id="_x0000_i1034" o:spt="75" type="#_x0000_t75" style="height:34pt;width:103pt;" o:ole="t" filled="f" o:preferrelative="t" stroked="f" coordsize="21600,21600">
            <v:path/>
            <v:fill on="f" focussize="0,0"/>
            <v:stroke on="f" joinstyle="miter"/>
            <v:imagedata r:id="rId31" o:title=""/>
            <o:lock v:ext="edit" aspectratio="f"/>
            <w10:wrap type="none"/>
            <w10:anchorlock/>
          </v:shape>
          <o:OLEObject Type="Embed" ProgID="Equation.DSMT4" ShapeID="_x0000_i1034" DrawAspect="Content" ObjectID="_1468075734" r:id="rId30">
            <o:LockedField>false</o:LockedField>
          </o:OLEObject>
        </w:object>
      </w:r>
      <w:r>
        <w:rPr>
          <w:rFonts w:hint="eastAsia"/>
          <w:color w:val="000000"/>
          <w:position w:val="-28"/>
          <w:sz w:val="20"/>
          <w:szCs w:val="20"/>
        </w:rPr>
        <w:t xml:space="preserve">                      </w:t>
      </w:r>
      <w:r>
        <w:rPr>
          <w:rFonts w:hint="eastAsia"/>
          <w:color w:val="000000"/>
          <w:sz w:val="20"/>
          <w:szCs w:val="20"/>
        </w:rPr>
        <w:t>（17）</w:t>
      </w:r>
    </w:p>
    <w:p w14:paraId="02878037">
      <w:pPr>
        <w:pStyle w:val="7"/>
        <w:spacing w:after="60" w:line="240" w:lineRule="auto"/>
        <w:ind w:firstLine="400"/>
        <w:rPr>
          <w:color w:val="000000"/>
          <w:sz w:val="20"/>
          <w:szCs w:val="20"/>
        </w:rPr>
      </w:pPr>
      <w:r>
        <w:rPr>
          <w:color w:val="000000"/>
          <w:sz w:val="20"/>
          <w:szCs w:val="20"/>
        </w:rPr>
        <w:t>该参数化策略将模型复杂度由</w:t>
      </w:r>
      <w:r>
        <w:rPr>
          <w:rFonts w:hint="eastAsia"/>
          <w:i/>
          <w:iCs/>
          <w:color w:val="000000"/>
          <w:sz w:val="20"/>
          <w:szCs w:val="20"/>
        </w:rPr>
        <w:t>O</w:t>
      </w:r>
      <w:r>
        <w:rPr>
          <w:rFonts w:hint="eastAsia"/>
          <w:color w:val="000000"/>
          <w:sz w:val="20"/>
          <w:szCs w:val="20"/>
        </w:rPr>
        <w:t>(</w:t>
      </w:r>
      <w:r>
        <w:rPr>
          <w:rFonts w:hint="eastAsia"/>
          <w:i/>
          <w:iCs/>
          <w:color w:val="000000"/>
          <w:sz w:val="20"/>
          <w:szCs w:val="20"/>
        </w:rPr>
        <w:t>Rd</w:t>
      </w:r>
      <w:r>
        <w:rPr>
          <w:rFonts w:hint="eastAsia"/>
          <w:color w:val="000000"/>
          <w:sz w:val="20"/>
          <w:szCs w:val="20"/>
          <w:vertAlign w:val="superscript"/>
        </w:rPr>
        <w:t>2</w:t>
      </w:r>
      <w:r>
        <w:rPr>
          <w:rFonts w:hint="eastAsia"/>
          <w:color w:val="000000"/>
          <w:sz w:val="20"/>
          <w:szCs w:val="20"/>
        </w:rPr>
        <w:t>)有效降低至</w:t>
      </w:r>
      <w:r>
        <w:rPr>
          <w:rFonts w:hint="eastAsia"/>
          <w:i/>
          <w:iCs/>
          <w:color w:val="000000"/>
          <w:sz w:val="20"/>
          <w:szCs w:val="20"/>
        </w:rPr>
        <w:t>O</w:t>
      </w:r>
      <w:r>
        <w:rPr>
          <w:rFonts w:hint="eastAsia"/>
          <w:color w:val="000000"/>
          <w:sz w:val="20"/>
          <w:szCs w:val="20"/>
        </w:rPr>
        <w:t>(</w:t>
      </w:r>
      <w:r>
        <w:rPr>
          <w:rFonts w:hint="eastAsia"/>
          <w:i/>
          <w:iCs/>
          <w:color w:val="000000"/>
          <w:sz w:val="20"/>
          <w:szCs w:val="20"/>
        </w:rPr>
        <w:t>Bd</w:t>
      </w:r>
      <w:r>
        <w:rPr>
          <w:rFonts w:hint="eastAsia"/>
          <w:color w:val="000000"/>
          <w:sz w:val="20"/>
          <w:szCs w:val="20"/>
          <w:vertAlign w:val="superscript"/>
        </w:rPr>
        <w:t>2</w:t>
      </w:r>
      <w:r>
        <w:rPr>
          <w:rFonts w:hint="eastAsia"/>
          <w:color w:val="000000"/>
          <w:sz w:val="20"/>
          <w:szCs w:val="20"/>
        </w:rPr>
        <w:t>+</w:t>
      </w:r>
      <w:r>
        <w:rPr>
          <w:rFonts w:hint="eastAsia"/>
          <w:i/>
          <w:iCs/>
          <w:color w:val="000000"/>
          <w:sz w:val="20"/>
          <w:szCs w:val="20"/>
        </w:rPr>
        <w:t>RB</w:t>
      </w:r>
      <w:r>
        <w:rPr>
          <w:rFonts w:hint="eastAsia"/>
          <w:color w:val="000000"/>
          <w:sz w:val="20"/>
          <w:szCs w:val="20"/>
        </w:rPr>
        <w:t>)，从而避免参数规模随关系数量线性增长。在此基础上，共享基矩阵使低频关系能够从高频关系中迁移结构变换模式，实现跨关系知识共享并避免对稀疏关系进行独立参数学习，从而有效抑制过拟合。进一步地，与块对角分解方法相比，所提方法在保持相近参数规模的同时引入跨关系共享机制，弥补其缺乏跨关系的知识共享机制问题；与低秩分解方法相比，则在保证参数效率的同时具备更强的表达能力，能够更充分刻画复杂攻击关系。因此，该方法在表达能力与参数效率之间取得更优折中，尤其适用于多关系稀疏异构图场景。</w:t>
      </w:r>
    </w:p>
    <w:p w14:paraId="506BCDD5">
      <w:pPr>
        <w:pStyle w:val="7"/>
        <w:spacing w:after="60" w:line="240" w:lineRule="auto"/>
        <w:ind w:firstLine="400"/>
        <w:rPr>
          <w:color w:val="000000"/>
          <w:sz w:val="20"/>
          <w:szCs w:val="20"/>
        </w:rPr>
      </w:pPr>
      <w:r>
        <w:rPr>
          <w:rFonts w:hint="eastAsia"/>
          <w:color w:val="000000"/>
          <w:sz w:val="20"/>
          <w:szCs w:val="20"/>
        </w:rPr>
        <w:t>通过在验证集上对</w:t>
      </w:r>
      <w:r>
        <w:rPr>
          <w:i/>
          <w:iCs/>
          <w:color w:val="000000"/>
          <w:sz w:val="20"/>
          <w:szCs w:val="20"/>
        </w:rPr>
        <w:t>B</w:t>
      </w:r>
      <w:r>
        <w:rPr>
          <w:rFonts w:hint="eastAsia"/>
          <w:color w:val="000000"/>
          <w:sz w:val="20"/>
          <w:szCs w:val="20"/>
        </w:rPr>
        <w:t>∈{10,20,30,40,50}进行系统评估，结果表明：较小的</w:t>
      </w:r>
      <w:r>
        <w:rPr>
          <w:rFonts w:hint="eastAsia"/>
          <w:i/>
          <w:iCs/>
          <w:color w:val="000000"/>
          <w:sz w:val="20"/>
          <w:szCs w:val="20"/>
        </w:rPr>
        <w:t>B</w:t>
      </w:r>
      <w:r>
        <w:rPr>
          <w:rFonts w:hint="eastAsia"/>
          <w:color w:val="000000"/>
          <w:sz w:val="20"/>
          <w:szCs w:val="20"/>
        </w:rPr>
        <w:t>值限制了模型表达能力，而较大的</w:t>
      </w:r>
      <w:r>
        <w:rPr>
          <w:rFonts w:hint="eastAsia"/>
          <w:i/>
          <w:iCs/>
          <w:color w:val="000000"/>
          <w:sz w:val="20"/>
          <w:szCs w:val="20"/>
        </w:rPr>
        <w:t>B</w:t>
      </w:r>
      <w:r>
        <w:rPr>
          <w:rFonts w:hint="eastAsia"/>
          <w:color w:val="000000"/>
          <w:sz w:val="20"/>
          <w:szCs w:val="20"/>
        </w:rPr>
        <w:t>值则引入冗余参数且性能增益有限，综合性能在</w:t>
      </w:r>
      <w:r>
        <w:rPr>
          <w:rFonts w:hint="eastAsia"/>
          <w:i/>
          <w:iCs/>
          <w:color w:val="000000"/>
          <w:sz w:val="20"/>
          <w:szCs w:val="20"/>
        </w:rPr>
        <w:t>B</w:t>
      </w:r>
      <w:r>
        <w:rPr>
          <w:rFonts w:hint="eastAsia"/>
          <w:color w:val="000000"/>
          <w:sz w:val="20"/>
          <w:szCs w:val="20"/>
        </w:rPr>
        <w:t>=30时达到最优。验证集采用分层抽样策略构建，以确保不同APT类别分布下评估结果的稳定性。进一步实验表明，共享基机制显著提升了稀疏关系的学习稳定性，同时增强了模型在长尾关系分布下的泛化能力。</w:t>
      </w:r>
    </w:p>
    <w:p w14:paraId="6C806543">
      <w:pPr>
        <w:pStyle w:val="7"/>
        <w:spacing w:after="60" w:line="240" w:lineRule="auto"/>
        <w:ind w:firstLine="400"/>
        <w:rPr>
          <w:color w:val="000000"/>
          <w:sz w:val="20"/>
          <w:szCs w:val="20"/>
        </w:rPr>
      </w:pPr>
      <w:r>
        <w:rPr>
          <w:rFonts w:hint="eastAsia"/>
          <w:color w:val="000000"/>
          <w:sz w:val="20"/>
          <w:szCs w:val="20"/>
        </w:rPr>
        <w:t>尽管关系空间规模达到1681，所提出的建模框架并未引入额外的学习负担。这主要得益于以下三点：其一，基分解参数化将模型复杂度由关系数解耦，避免参数规模随关系数量线性增长；其二，实际观测到的关系分布呈显著长尾特性，激活关系远少于理论上界；其三，共享基矩阵在隐式空间中对相似关系进行聚类，使其共享表示子空间。因而，大规模关系空间主要体现为表达能力的提升，而非参数复杂度的增加。</w:t>
      </w:r>
    </w:p>
    <w:p w14:paraId="37FA91A3">
      <w:pPr>
        <w:pStyle w:val="7"/>
        <w:spacing w:after="60" w:line="240" w:lineRule="auto"/>
        <w:ind w:firstLine="400"/>
        <w:rPr>
          <w:color w:val="000000"/>
          <w:sz w:val="20"/>
          <w:szCs w:val="20"/>
        </w:rPr>
      </w:pPr>
      <w:r>
        <w:rPr>
          <w:rFonts w:hint="eastAsia"/>
          <w:color w:val="000000"/>
          <w:sz w:val="20"/>
          <w:szCs w:val="20"/>
        </w:rPr>
        <w:t>上述关系映射与参数化机制并非独立模块，而是与3.2.1节提出的多层异构边结构形成统一建模框架。其中，多层边定义提供关系语义来源，类型驱动映射实现关系实例的细粒度刻画，而基分解参数化则支撑跨关系的参数共享与泛化能力。该协同设计在结构构建（graph construction）与表示学习（GNN learning）之间建立紧耦合关系，从而避免传统方法中结构设计与模型学习相互割裂的问题。</w:t>
      </w:r>
    </w:p>
    <w:p w14:paraId="137FBAB3">
      <w:pPr>
        <w:pStyle w:val="3"/>
        <w:keepNext/>
        <w:spacing w:before="360" w:after="120" w:afterLines="0"/>
        <w:jc w:val="both"/>
        <w:rPr>
          <w:sz w:val="24"/>
          <w:szCs w:val="24"/>
        </w:rPr>
      </w:pPr>
      <w:r>
        <w:rPr>
          <w:rFonts w:hint="eastAsia"/>
          <w:sz w:val="24"/>
          <w:szCs w:val="24"/>
          <w:lang w:eastAsia="zh"/>
        </w:rPr>
        <w:t>3.3 基于双流图神经网络的APT归因</w:t>
      </w:r>
    </w:p>
    <w:p w14:paraId="2A789E0F">
      <w:pPr>
        <w:pStyle w:val="5"/>
        <w:widowControl/>
        <w:spacing w:after="120"/>
        <w:ind w:firstLine="400" w:firstLineChars="200"/>
        <w:rPr>
          <w:rFonts w:ascii="Times New Roman" w:hAnsi="Times New Roman" w:eastAsia="宋体" w:cs="宋体"/>
          <w:color w:val="000000"/>
        </w:rPr>
      </w:pPr>
      <w:bookmarkStart w:id="8" w:name="_Toc2414"/>
      <w:r>
        <w:rPr>
          <w:rFonts w:hint="eastAsia" w:ascii="Times New Roman" w:hAnsi="Times New Roman" w:eastAsia="宋体" w:cs="宋体"/>
          <w:color w:val="000000"/>
        </w:rPr>
        <w:t>精准的图表示学习与归因推理是APT组织溯源的核心环节[3,4,28]。尽管现有基于图神经网络的方法已取得一定进展[24,30,4</w:t>
      </w:r>
      <w:r>
        <w:rPr>
          <w:rFonts w:hint="eastAsia" w:ascii="Times New Roman" w:hAnsi="Times New Roman" w:eastAsia="宋体" w:cs="宋体"/>
          <w:color w:val="000000"/>
          <w:lang w:eastAsia="zh"/>
        </w:rPr>
        <w:t>2</w:t>
      </w:r>
      <w:r>
        <w:rPr>
          <w:rFonts w:hint="eastAsia" w:ascii="Times New Roman" w:hAnsi="Times New Roman" w:eastAsia="宋体" w:cs="宋体"/>
          <w:color w:val="000000"/>
        </w:rPr>
        <w:t>]，但在归因学习层面仍存在三类关键局限：1）同构GNN方法将所有边视为同质连接，忽略APT攻击中关键关系（如漏洞利用、C2通信）的语义差异[20,21]；2）关系型GNN虽支持多关系建模，但对同一关系类型施加统一变换，缺乏基于节点语义的细粒度区分能力[31,41]；3）多源融合方法通常采用固定权重策略[36,</w:t>
      </w:r>
      <w:r>
        <w:rPr>
          <w:rFonts w:hint="eastAsia" w:ascii="Times New Roman" w:hAnsi="Times New Roman" w:eastAsia="宋体" w:cs="宋体"/>
          <w:color w:val="000000"/>
          <w:lang w:eastAsia="zh"/>
        </w:rPr>
        <w:t>43</w:t>
      </w:r>
      <w:r>
        <w:rPr>
          <w:rFonts w:hint="eastAsia" w:ascii="Times New Roman" w:hAnsi="Times New Roman" w:eastAsia="宋体" w:cs="宋体"/>
          <w:color w:val="000000"/>
        </w:rPr>
        <w:t>]，难以根据样本特性动态平衡语义与结构信息，且缺乏对归因决策依据的显式建模[2,23]。针对上述问题，本文提出如图4所示的一种基于双流图神经网络的APT归因框架（Dual-stream GNN for APT Attribution）。该框架通过并行建模与自适应融合，实现多源信息的协同推理[6,27]。具体而言：1）语义流（GATv2）通过动态注意力机制建模节点间语义相似性[22,32]；2）结构流（RGCN）通过关系特定变换捕捉多关系拓扑约束[31,41]；3）门控融合机制在节点级实现双流信息的自适应权重分配[25,26]；4）全局注意力池化生成图级归因表示[35,4</w:t>
      </w:r>
      <w:r>
        <w:rPr>
          <w:rFonts w:hint="eastAsia" w:ascii="Times New Roman" w:hAnsi="Times New Roman" w:eastAsia="宋体" w:cs="宋体"/>
          <w:color w:val="000000"/>
          <w:lang w:eastAsia="zh"/>
        </w:rPr>
        <w:t>4</w:t>
      </w:r>
      <w:r>
        <w:rPr>
          <w:rFonts w:hint="eastAsia" w:ascii="Times New Roman" w:hAnsi="Times New Roman" w:eastAsia="宋体" w:cs="宋体"/>
          <w:color w:val="000000"/>
        </w:rPr>
        <w:t>]；5）联合加权交叉熵与Focal Loss缓解类别不平衡问题[</w:t>
      </w:r>
      <w:r>
        <w:rPr>
          <w:rFonts w:hint="eastAsia" w:ascii="Times New Roman" w:hAnsi="Times New Roman" w:eastAsia="宋体" w:cs="宋体"/>
          <w:color w:val="000000"/>
          <w:lang w:eastAsia="zh"/>
        </w:rPr>
        <w:t>45</w:t>
      </w:r>
      <w:r>
        <w:rPr>
          <w:rFonts w:hint="eastAsia" w:ascii="Times New Roman" w:hAnsi="Times New Roman" w:eastAsia="宋体" w:cs="宋体"/>
          <w:color w:val="000000"/>
        </w:rPr>
        <w:t>]，并引入温度标定提升置信度可靠性</w:t>
      </w:r>
      <w:r>
        <w:rPr>
          <w:rFonts w:hint="eastAsia" w:ascii="Times New Roman" w:hAnsi="Times New Roman" w:eastAsia="宋体" w:cs="宋体"/>
          <w:color w:val="000000"/>
          <w:lang w:eastAsia="zh"/>
        </w:rPr>
        <w:t>[46</w:t>
      </w:r>
      <w:r>
        <w:rPr>
          <w:rFonts w:hint="eastAsia" w:ascii="Times New Roman" w:hAnsi="Times New Roman" w:eastAsia="宋体" w:cs="宋体"/>
          <w:color w:val="000000"/>
        </w:rPr>
        <w:t>]。该设计在增强表达能力的同时有效控制模型复杂度[34,</w:t>
      </w:r>
      <w:r>
        <w:rPr>
          <w:rFonts w:hint="eastAsia" w:ascii="Times New Roman" w:hAnsi="Times New Roman" w:eastAsia="宋体" w:cs="宋体"/>
          <w:color w:val="000000"/>
          <w:lang w:eastAsia="zh"/>
        </w:rPr>
        <w:t>40</w:t>
      </w:r>
      <w:r>
        <w:rPr>
          <w:rFonts w:hint="eastAsia" w:ascii="Times New Roman" w:hAnsi="Times New Roman" w:eastAsia="宋体" w:cs="宋体"/>
          <w:color w:val="000000"/>
        </w:rPr>
        <w:t>]，并通过显式解耦降低语义-结构冲突对归因决策的干扰</w:t>
      </w:r>
      <w:r>
        <w:rPr>
          <w:rFonts w:hint="eastAsia" w:ascii="Times New Roman" w:hAnsi="Times New Roman" w:eastAsia="宋体" w:cs="宋体"/>
          <w:color w:val="000000"/>
          <w:lang w:eastAsia="zh"/>
        </w:rPr>
        <w:t>[</w:t>
      </w:r>
      <w:r>
        <w:rPr>
          <w:rFonts w:hint="eastAsia" w:ascii="Times New Roman" w:hAnsi="Times New Roman" w:eastAsia="宋体" w:cs="宋体"/>
          <w:color w:val="000000"/>
        </w:rPr>
        <w:t>11,</w:t>
      </w:r>
      <w:r>
        <w:rPr>
          <w:rFonts w:hint="eastAsia" w:ascii="Times New Roman" w:hAnsi="Times New Roman" w:eastAsia="宋体" w:cs="宋体"/>
          <w:color w:val="000000"/>
          <w:lang w:eastAsia="zh"/>
        </w:rPr>
        <w:t>3</w:t>
      </w:r>
      <w:r>
        <w:rPr>
          <w:rFonts w:hint="eastAsia" w:ascii="Times New Roman" w:hAnsi="Times New Roman" w:eastAsia="宋体" w:cs="宋体"/>
          <w:color w:val="000000"/>
        </w:rPr>
        <w:t>9]。</w:t>
      </w:r>
    </w:p>
    <w:p w14:paraId="43DE57AD">
      <w:pPr>
        <w:pStyle w:val="5"/>
        <w:widowControl/>
        <w:jc w:val="center"/>
        <w:rPr>
          <w:rFonts w:ascii="Times New Roman" w:hAnsi="Times New Roman" w:eastAsia="宋体"/>
          <w:color w:val="000000"/>
        </w:rPr>
      </w:pPr>
      <w:r>
        <w:rPr>
          <w:rFonts w:ascii="Times New Roman" w:hAnsi="Times New Roman" w:eastAsia="宋体"/>
          <w:color w:val="000000"/>
        </w:rPr>
        <w:drawing>
          <wp:inline distT="0" distB="0" distL="0" distR="0">
            <wp:extent cx="4687570" cy="4140200"/>
            <wp:effectExtent l="0" t="0" r="11430"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4687570" cy="4140200"/>
                    </a:xfrm>
                    <a:prstGeom prst="rect">
                      <a:avLst/>
                    </a:prstGeom>
                    <a:noFill/>
                    <a:ln>
                      <a:noFill/>
                    </a:ln>
                  </pic:spPr>
                </pic:pic>
              </a:graphicData>
            </a:graphic>
          </wp:inline>
        </w:drawing>
      </w:r>
      <w:bookmarkEnd w:id="8"/>
    </w:p>
    <w:p w14:paraId="71364543">
      <w:pPr>
        <w:pStyle w:val="5"/>
        <w:widowControl/>
        <w:jc w:val="center"/>
        <w:rPr>
          <w:rFonts w:ascii="Times New Roman" w:hAnsi="Times New Roman" w:eastAsia="宋体"/>
          <w:color w:val="000000"/>
          <w:sz w:val="21"/>
          <w:szCs w:val="21"/>
        </w:rPr>
      </w:pPr>
      <w:r>
        <w:rPr>
          <w:rFonts w:ascii="Times New Roman" w:hAnsi="Times New Roman" w:eastAsia="宋体"/>
          <w:color w:val="000000"/>
          <w:sz w:val="21"/>
          <w:szCs w:val="21"/>
        </w:rPr>
        <w:t>图</w:t>
      </w:r>
      <w:r>
        <w:rPr>
          <w:rFonts w:ascii="Times New Roman" w:hAnsi="Times New Roman" w:eastAsia="宋体"/>
          <w:color w:val="000000"/>
          <w:sz w:val="21"/>
          <w:szCs w:val="21"/>
        </w:rPr>
        <w:fldChar w:fldCharType="begin"/>
      </w:r>
      <w:r>
        <w:rPr>
          <w:rFonts w:ascii="Times New Roman" w:hAnsi="Times New Roman" w:eastAsia="宋体"/>
          <w:color w:val="000000"/>
          <w:sz w:val="21"/>
          <w:szCs w:val="21"/>
        </w:rPr>
        <w:instrText xml:space="preserve"> SEQ 图 \* ARABIC </w:instrText>
      </w:r>
      <w:r>
        <w:rPr>
          <w:rFonts w:ascii="Times New Roman" w:hAnsi="Times New Roman" w:eastAsia="宋体"/>
          <w:color w:val="000000"/>
          <w:sz w:val="21"/>
          <w:szCs w:val="21"/>
        </w:rPr>
        <w:fldChar w:fldCharType="separate"/>
      </w:r>
      <w:r>
        <w:rPr>
          <w:rFonts w:ascii="Times New Roman" w:hAnsi="Times New Roman" w:eastAsia="宋体"/>
          <w:color w:val="000000"/>
          <w:sz w:val="21"/>
          <w:szCs w:val="21"/>
        </w:rPr>
        <w:t>4</w:t>
      </w:r>
      <w:r>
        <w:rPr>
          <w:rFonts w:ascii="Times New Roman" w:hAnsi="Times New Roman" w:eastAsia="宋体"/>
          <w:color w:val="000000"/>
          <w:sz w:val="21"/>
          <w:szCs w:val="21"/>
        </w:rPr>
        <w:fldChar w:fldCharType="end"/>
      </w:r>
      <w:r>
        <w:rPr>
          <w:rFonts w:hint="eastAsia" w:ascii="Times New Roman" w:hAnsi="Times New Roman" w:eastAsia="宋体"/>
          <w:color w:val="000000"/>
          <w:sz w:val="21"/>
          <w:szCs w:val="21"/>
        </w:rPr>
        <w:t xml:space="preserve"> 双流图神经网络架构示意图</w:t>
      </w:r>
    </w:p>
    <w:p w14:paraId="6A29ABE6">
      <w:pPr>
        <w:pStyle w:val="4"/>
        <w:keepNext/>
        <w:spacing w:before="360" w:beforeLines="0" w:after="120" w:afterLines="0"/>
        <w:jc w:val="both"/>
        <w:rPr>
          <w:sz w:val="21"/>
          <w:szCs w:val="21"/>
          <w:lang w:eastAsia="zh"/>
        </w:rPr>
      </w:pPr>
      <w:r>
        <w:rPr>
          <w:rFonts w:hint="eastAsia"/>
          <w:sz w:val="21"/>
          <w:szCs w:val="21"/>
          <w:lang w:eastAsia="zh"/>
        </w:rPr>
        <w:t>3.3.1 双流并行架构</w:t>
      </w:r>
    </w:p>
    <w:p w14:paraId="12EA9D03">
      <w:pPr>
        <w:pStyle w:val="7"/>
        <w:spacing w:after="60" w:line="240" w:lineRule="auto"/>
        <w:ind w:firstLine="400"/>
        <w:rPr>
          <w:color w:val="000000"/>
          <w:sz w:val="20"/>
          <w:szCs w:val="20"/>
        </w:rPr>
      </w:pPr>
      <w:r>
        <w:rPr>
          <w:rFonts w:hint="eastAsia"/>
          <w:color w:val="000000"/>
          <w:sz w:val="20"/>
          <w:szCs w:val="20"/>
        </w:rPr>
        <w:t>APT归因图中存在两类本质异构且互补的信息来源：1）节点语义信息：编码实体内容（如恶意软件行为、漏洞类型）；2）关系结构信息：编码攻击链路模式（如“exploit→propagate→communicate”）。尽管语义信息与结构信息在APT归因中均具有重要作用，但二者在统计属性与信息分布上存在显著差异。具体而言，节点语义特征通常呈现连续分布并反映上下文相似性，而关系结构信息则以离散关系类型为载体，编码攻击链路中的约束模式。将二者在单一消息传递过程中进行耦合建模，容易导致表示空间中的语义主导偏置（semantic dominance）或结构过平滑（structural over-smoothing）问题，从而削弱模型的判别能力。然而，现有方法通常难以同时有效建模两类信息。为此，本文采用双流解耦建模策略，分别采用GATv2</w:t>
      </w:r>
      <w:r>
        <w:rPr>
          <w:rFonts w:hint="eastAsia"/>
          <w:color w:val="000000"/>
          <w:sz w:val="20"/>
          <w:szCs w:val="20"/>
          <w:lang w:eastAsia="zh"/>
        </w:rPr>
        <w:t>[32]</w:t>
      </w:r>
      <w:r>
        <w:rPr>
          <w:rFonts w:hint="eastAsia"/>
          <w:color w:val="000000"/>
          <w:sz w:val="20"/>
          <w:szCs w:val="20"/>
        </w:rPr>
        <w:t>与RGCN</w:t>
      </w:r>
      <w:r>
        <w:rPr>
          <w:rFonts w:hint="eastAsia"/>
          <w:color w:val="000000"/>
          <w:sz w:val="20"/>
          <w:szCs w:val="20"/>
          <w:lang w:eastAsia="zh"/>
        </w:rPr>
        <w:t>[31]</w:t>
      </w:r>
      <w:r>
        <w:rPr>
          <w:rFonts w:hint="eastAsia"/>
          <w:color w:val="000000"/>
          <w:sz w:val="20"/>
          <w:szCs w:val="20"/>
        </w:rPr>
        <w:t>进行解耦建模，在参数空间与信息传播路径上对语义流与结构流进行完全分离，仅在表示层通过门控机制进行交互。</w:t>
      </w:r>
    </w:p>
    <w:p w14:paraId="7680B92A">
      <w:pPr>
        <w:pStyle w:val="7"/>
        <w:spacing w:after="60" w:line="240" w:lineRule="auto"/>
        <w:ind w:firstLine="402"/>
        <w:rPr>
          <w:b/>
          <w:bCs/>
          <w:color w:val="000000"/>
          <w:sz w:val="20"/>
          <w:szCs w:val="20"/>
        </w:rPr>
      </w:pPr>
      <w:r>
        <w:rPr>
          <w:rFonts w:hint="eastAsia"/>
          <w:b/>
          <w:bCs/>
          <w:color w:val="000000"/>
          <w:sz w:val="20"/>
          <w:szCs w:val="20"/>
        </w:rPr>
        <w:t>（1）语义流：基于GATv2的语义感知建模</w:t>
      </w:r>
    </w:p>
    <w:p w14:paraId="47A11C4A">
      <w:pPr>
        <w:pStyle w:val="7"/>
        <w:spacing w:line="240" w:lineRule="auto"/>
        <w:ind w:firstLine="400"/>
        <w:rPr>
          <w:color w:val="000000"/>
          <w:sz w:val="20"/>
          <w:szCs w:val="20"/>
        </w:rPr>
      </w:pPr>
      <w:r>
        <w:rPr>
          <w:rFonts w:hint="eastAsia"/>
          <w:color w:val="000000"/>
          <w:sz w:val="20"/>
          <w:szCs w:val="20"/>
        </w:rPr>
        <w:t>GATv2通过动态注意力机制为每条边(</w:t>
      </w:r>
      <w:r>
        <w:rPr>
          <w:rFonts w:hint="eastAsia"/>
          <w:i/>
          <w:iCs/>
          <w:color w:val="000000"/>
          <w:sz w:val="20"/>
          <w:szCs w:val="20"/>
        </w:rPr>
        <w:t>i</w:t>
      </w:r>
      <w:r>
        <w:rPr>
          <w:rFonts w:hint="eastAsia"/>
          <w:color w:val="000000"/>
          <w:sz w:val="20"/>
          <w:szCs w:val="20"/>
        </w:rPr>
        <w:t>,</w:t>
      </w:r>
      <w:r>
        <w:rPr>
          <w:rFonts w:hint="eastAsia"/>
          <w:i/>
          <w:iCs/>
          <w:color w:val="000000"/>
          <w:sz w:val="20"/>
          <w:szCs w:val="20"/>
        </w:rPr>
        <w:t>j</w:t>
      </w:r>
      <w:r>
        <w:rPr>
          <w:rFonts w:hint="eastAsia"/>
          <w:color w:val="000000"/>
          <w:sz w:val="20"/>
          <w:szCs w:val="20"/>
        </w:rPr>
        <w:t>)计算依赖节点特征的注意力系数</w:t>
      </w:r>
      <m:oMath>
        <m:sSubSup>
          <m:sSubSupPr>
            <m:ctrlPr>
              <w:rPr>
                <w:rFonts w:ascii="Cambria Math" w:hAnsi="Cambria Math"/>
                <w:i/>
                <w:color w:val="000000"/>
                <w:sz w:val="20"/>
                <w:szCs w:val="20"/>
              </w:rPr>
            </m:ctrlPr>
          </m:sSubSupPr>
          <m:e>
            <m:r>
              <m:rPr/>
              <w:rPr>
                <w:rFonts w:ascii="Cambria Math" w:hAnsi="Cambria Math"/>
                <w:color w:val="000000"/>
                <w:sz w:val="20"/>
                <w:szCs w:val="20"/>
              </w:rPr>
              <m:t>e</m:t>
            </m:r>
            <m:ctrlPr>
              <w:rPr>
                <w:rFonts w:ascii="Cambria Math" w:hAnsi="Cambria Math"/>
                <w:i/>
                <w:color w:val="000000"/>
                <w:sz w:val="20"/>
                <w:szCs w:val="20"/>
              </w:rPr>
            </m:ctrlPr>
          </m:e>
          <m:sub>
            <m:r>
              <m:rPr/>
              <w:rPr>
                <w:rFonts w:ascii="Cambria Math" w:hAnsi="Cambria Math"/>
                <w:color w:val="000000"/>
                <w:sz w:val="20"/>
                <w:szCs w:val="20"/>
              </w:rPr>
              <m:t>ij</m:t>
            </m:r>
            <m:ctrlPr>
              <w:rPr>
                <w:rFonts w:ascii="Cambria Math" w:hAnsi="Cambria Math"/>
                <w:i/>
                <w:color w:val="000000"/>
                <w:sz w:val="20"/>
                <w:szCs w:val="20"/>
              </w:rPr>
            </m:ctrlPr>
          </m:sub>
          <m:sup>
            <m:d>
              <m:dPr>
                <m:ctrlPr>
                  <w:rPr>
                    <w:rFonts w:ascii="Cambria Math" w:hAnsi="Cambria Math"/>
                    <w:i/>
                    <w:color w:val="000000"/>
                    <w:sz w:val="20"/>
                    <w:szCs w:val="20"/>
                  </w:rPr>
                </m:ctrlPr>
              </m:dPr>
              <m:e>
                <m:r>
                  <m:rPr/>
                  <w:rPr>
                    <w:rFonts w:ascii="Cambria Math" w:hAnsi="Cambria Math"/>
                    <w:color w:val="000000"/>
                    <w:sz w:val="20"/>
                    <w:szCs w:val="20"/>
                  </w:rPr>
                  <m:t>h</m:t>
                </m:r>
                <m:ctrlPr>
                  <w:rPr>
                    <w:rFonts w:ascii="Cambria Math" w:hAnsi="Cambria Math"/>
                    <w:i/>
                    <w:color w:val="000000"/>
                    <w:sz w:val="20"/>
                    <w:szCs w:val="20"/>
                  </w:rPr>
                </m:ctrlPr>
              </m:e>
            </m:d>
            <m:ctrlPr>
              <w:rPr>
                <w:rFonts w:ascii="Cambria Math" w:hAnsi="Cambria Math"/>
                <w:i/>
                <w:color w:val="000000"/>
                <w:sz w:val="20"/>
                <w:szCs w:val="20"/>
              </w:rPr>
            </m:ctrlPr>
          </m:sup>
        </m:sSubSup>
      </m:oMath>
      <w:r>
        <w:rPr>
          <w:color w:val="000000"/>
          <w:sz w:val="20"/>
          <w:szCs w:val="20"/>
        </w:rPr>
        <w:t>，</w:t>
      </w:r>
      <w:r>
        <w:rPr>
          <w:rFonts w:hint="eastAsia"/>
          <w:color w:val="000000"/>
          <w:sz w:val="20"/>
          <w:szCs w:val="20"/>
        </w:rPr>
        <w:t>从而自适应聚合语义相关邻居信息。具体计算如公式（18）所示，</w:t>
      </w:r>
      <m:oMath>
        <m:sSubSup>
          <m:sSubSupPr>
            <m:ctrlPr>
              <w:rPr>
                <w:rFonts w:ascii="Cambria Math" w:hAnsi="Cambria Math"/>
                <w:i/>
                <w:color w:val="000000"/>
                <w:sz w:val="20"/>
                <w:szCs w:val="20"/>
              </w:rPr>
            </m:ctrlPr>
          </m:sSubSupPr>
          <m:e>
            <m:r>
              <m:rPr/>
              <w:rPr>
                <w:rFonts w:ascii="Cambria Math" w:hAnsi="Cambria Math"/>
                <w:color w:val="000000"/>
                <w:sz w:val="20"/>
                <w:szCs w:val="20"/>
              </w:rPr>
              <m:t>e</m:t>
            </m:r>
            <m:ctrlPr>
              <w:rPr>
                <w:rFonts w:ascii="Cambria Math" w:hAnsi="Cambria Math"/>
                <w:i/>
                <w:color w:val="000000"/>
                <w:sz w:val="20"/>
                <w:szCs w:val="20"/>
              </w:rPr>
            </m:ctrlPr>
          </m:e>
          <m:sub>
            <m:r>
              <m:rPr/>
              <w:rPr>
                <w:rFonts w:ascii="Cambria Math" w:hAnsi="Cambria Math"/>
                <w:color w:val="000000"/>
                <w:sz w:val="20"/>
                <w:szCs w:val="20"/>
              </w:rPr>
              <m:t>ij</m:t>
            </m:r>
            <m:ctrlPr>
              <w:rPr>
                <w:rFonts w:ascii="Cambria Math" w:hAnsi="Cambria Math"/>
                <w:i/>
                <w:color w:val="000000"/>
                <w:sz w:val="20"/>
                <w:szCs w:val="20"/>
              </w:rPr>
            </m:ctrlPr>
          </m:sub>
          <m:sup>
            <m:d>
              <m:dPr>
                <m:ctrlPr>
                  <w:rPr>
                    <w:rFonts w:ascii="Cambria Math" w:hAnsi="Cambria Math"/>
                    <w:i/>
                    <w:color w:val="000000"/>
                    <w:sz w:val="20"/>
                    <w:szCs w:val="20"/>
                  </w:rPr>
                </m:ctrlPr>
              </m:dPr>
              <m:e>
                <m:r>
                  <m:rPr/>
                  <w:rPr>
                    <w:rFonts w:ascii="Cambria Math" w:hAnsi="Cambria Math"/>
                    <w:color w:val="000000"/>
                    <w:sz w:val="20"/>
                    <w:szCs w:val="20"/>
                  </w:rPr>
                  <m:t>h</m:t>
                </m:r>
                <m:ctrlPr>
                  <w:rPr>
                    <w:rFonts w:ascii="Cambria Math" w:hAnsi="Cambria Math"/>
                    <w:i/>
                    <w:color w:val="000000"/>
                    <w:sz w:val="20"/>
                    <w:szCs w:val="20"/>
                  </w:rPr>
                </m:ctrlPr>
              </m:e>
            </m:d>
            <m:ctrlPr>
              <w:rPr>
                <w:rFonts w:ascii="Cambria Math" w:hAnsi="Cambria Math"/>
                <w:i/>
                <w:color w:val="000000"/>
                <w:sz w:val="20"/>
                <w:szCs w:val="20"/>
              </w:rPr>
            </m:ctrlPr>
          </m:sup>
        </m:sSubSup>
      </m:oMath>
      <w:r>
        <w:rPr>
          <w:color w:val="000000"/>
          <w:sz w:val="20"/>
          <w:szCs w:val="20"/>
        </w:rPr>
        <w:t>由源节点</w:t>
      </w:r>
      <w:r>
        <w:rPr>
          <w:rFonts w:hint="eastAsia"/>
          <w:i/>
          <w:iCs/>
          <w:color w:val="000000"/>
          <w:sz w:val="20"/>
          <w:szCs w:val="20"/>
        </w:rPr>
        <w:t>v</w:t>
      </w:r>
      <w:r>
        <w:rPr>
          <w:rFonts w:hint="eastAsia"/>
          <w:i/>
          <w:iCs/>
          <w:color w:val="000000"/>
          <w:sz w:val="20"/>
          <w:szCs w:val="20"/>
          <w:vertAlign w:val="subscript"/>
        </w:rPr>
        <w:t>i</w:t>
      </w:r>
      <w:r>
        <w:rPr>
          <w:rFonts w:hint="eastAsia"/>
          <w:color w:val="000000"/>
          <w:sz w:val="20"/>
          <w:szCs w:val="20"/>
        </w:rPr>
        <w:t>和</w:t>
      </w:r>
      <w:r>
        <w:rPr>
          <w:color w:val="000000"/>
          <w:sz w:val="20"/>
          <w:szCs w:val="20"/>
        </w:rPr>
        <w:t>目标节点</w:t>
      </w:r>
      <w:r>
        <w:rPr>
          <w:rFonts w:hint="eastAsia"/>
          <w:i/>
          <w:iCs/>
          <w:color w:val="000000"/>
          <w:sz w:val="20"/>
          <w:szCs w:val="20"/>
        </w:rPr>
        <w:t>v</w:t>
      </w:r>
      <w:r>
        <w:rPr>
          <w:rFonts w:hint="eastAsia"/>
          <w:i/>
          <w:iCs/>
          <w:color w:val="000000"/>
          <w:sz w:val="20"/>
          <w:szCs w:val="20"/>
          <w:vertAlign w:val="subscript"/>
        </w:rPr>
        <w:t>j</w:t>
      </w:r>
      <w:r>
        <w:rPr>
          <w:color w:val="000000"/>
          <w:sz w:val="20"/>
          <w:szCs w:val="20"/>
        </w:rPr>
        <w:t>的特征联合计算</w:t>
      </w:r>
      <w:r>
        <w:rPr>
          <w:rFonts w:hint="eastAsia"/>
          <w:color w:val="000000"/>
          <w:sz w:val="20"/>
          <w:szCs w:val="20"/>
        </w:rPr>
        <w:t>，</w:t>
      </w:r>
      <m:oMath>
        <m:acc>
          <m:accPr>
            <m:chr m:val="̃"/>
            <m:ctrlPr>
              <w:rPr>
                <w:rFonts w:ascii="Cambria Math" w:hAnsi="Cambria Math"/>
                <w:iCs/>
                <w:color w:val="000000"/>
                <w:sz w:val="20"/>
                <w:szCs w:val="20"/>
              </w:rPr>
            </m:ctrlPr>
          </m:accPr>
          <m:e>
            <m:sSup>
              <m:sSupPr>
                <m:ctrlPr>
                  <w:rPr>
                    <w:rFonts w:ascii="Cambria Math" w:hAnsi="Cambria Math"/>
                    <w:i/>
                    <w:iCs/>
                    <w:color w:val="000000"/>
                    <w:sz w:val="20"/>
                    <w:szCs w:val="20"/>
                  </w:rPr>
                </m:ctrlPr>
              </m:sSupPr>
              <m:e>
                <m:r>
                  <m:rPr/>
                  <w:rPr>
                    <w:rFonts w:ascii="Cambria Math" w:hAnsi="Cambria Math"/>
                    <w:color w:val="000000"/>
                    <w:sz w:val="20"/>
                    <w:szCs w:val="20"/>
                  </w:rPr>
                  <m:t>W</m:t>
                </m:r>
                <m:ctrlPr>
                  <w:rPr>
                    <w:rFonts w:ascii="Cambria Math" w:hAnsi="Cambria Math"/>
                    <w:iCs/>
                    <w:color w:val="000000"/>
                    <w:sz w:val="20"/>
                    <w:szCs w:val="20"/>
                  </w:rPr>
                </m:ctrlPr>
              </m:e>
              <m:sup>
                <m:d>
                  <m:dPr>
                    <m:ctrlPr>
                      <w:rPr>
                        <w:rFonts w:ascii="Cambria Math" w:hAnsi="Cambria Math"/>
                        <w:iCs/>
                        <w:color w:val="000000"/>
                        <w:sz w:val="20"/>
                        <w:szCs w:val="20"/>
                      </w:rPr>
                    </m:ctrlPr>
                  </m:dPr>
                  <m:e>
                    <m:r>
                      <m:rPr/>
                      <w:rPr>
                        <w:rFonts w:ascii="Cambria Math" w:hAnsi="Cambria Math"/>
                        <w:color w:val="000000"/>
                        <w:sz w:val="20"/>
                        <w:szCs w:val="20"/>
                      </w:rPr>
                      <m:t>h</m:t>
                    </m:r>
                    <m:ctrlPr>
                      <w:rPr>
                        <w:rFonts w:ascii="Cambria Math" w:hAnsi="Cambria Math"/>
                        <w:i/>
                        <w:iCs/>
                        <w:color w:val="000000"/>
                        <w:sz w:val="20"/>
                        <w:szCs w:val="20"/>
                      </w:rPr>
                    </m:ctrlPr>
                  </m:e>
                </m:d>
                <m:ctrlPr>
                  <w:rPr>
                    <w:rFonts w:ascii="Cambria Math" w:hAnsi="Cambria Math"/>
                    <w:i/>
                    <w:iCs/>
                    <w:color w:val="000000"/>
                    <w:sz w:val="20"/>
                    <w:szCs w:val="20"/>
                  </w:rPr>
                </m:ctrlPr>
              </m:sup>
            </m:sSup>
            <m:ctrlPr>
              <w:rPr>
                <w:rFonts w:ascii="Cambria Math" w:hAnsi="Cambria Math"/>
                <w:iCs/>
                <w:color w:val="000000"/>
                <w:sz w:val="20"/>
                <w:szCs w:val="20"/>
              </w:rPr>
            </m:ctrlPr>
          </m:e>
        </m:acc>
        <m:r>
          <m:rPr>
            <m:sty m:val="p"/>
          </m:rPr>
          <w:rPr>
            <w:rFonts w:hint="eastAsia" w:ascii="Cambria Math" w:hAnsi="Cambria Math"/>
            <w:color w:val="000000"/>
            <w:sz w:val="20"/>
            <w:szCs w:val="20"/>
          </w:rPr>
          <m:t>∈</m:t>
        </m:r>
        <m:sSup>
          <m:sSupPr>
            <m:ctrlPr>
              <w:rPr>
                <w:rFonts w:ascii="Cambria Math" w:hAnsi="Cambria Math"/>
                <w:i/>
                <w:iCs/>
                <w:color w:val="000000"/>
                <w:sz w:val="20"/>
                <w:szCs w:val="20"/>
              </w:rPr>
            </m:ctrlPr>
          </m:sSupPr>
          <m:e>
            <m:r>
              <m:rPr/>
              <w:rPr>
                <w:rFonts w:ascii="Cambria Math" w:hAnsi="Cambria Math"/>
                <w:color w:val="000000"/>
                <w:sz w:val="20"/>
                <w:szCs w:val="20"/>
              </w:rPr>
              <m:t>R</m:t>
            </m:r>
            <m:ctrlPr>
              <w:rPr>
                <w:rFonts w:ascii="Cambria Math" w:hAnsi="Cambria Math"/>
                <w:iCs/>
                <w:color w:val="000000"/>
                <w:sz w:val="20"/>
                <w:szCs w:val="20"/>
              </w:rPr>
            </m:ctrlPr>
          </m:e>
          <m:sup>
            <m:sSub>
              <m:sSubPr>
                <m:ctrlPr>
                  <w:rPr>
                    <w:rFonts w:ascii="Cambria Math" w:hAnsi="Cambria Math"/>
                    <w:i/>
                    <w:iCs/>
                    <w:color w:val="000000"/>
                    <w:sz w:val="20"/>
                    <w:szCs w:val="20"/>
                  </w:rPr>
                </m:ctrlPr>
              </m:sSubPr>
              <m:e>
                <m:r>
                  <m:rPr/>
                  <w:rPr>
                    <w:rFonts w:ascii="Cambria Math" w:hAnsi="Cambria Math"/>
                    <w:color w:val="000000"/>
                    <w:sz w:val="20"/>
                    <w:szCs w:val="20"/>
                  </w:rPr>
                  <m:t>d</m:t>
                </m:r>
                <m:ctrlPr>
                  <w:rPr>
                    <w:rFonts w:ascii="Cambria Math" w:hAnsi="Cambria Math"/>
                    <w:i/>
                    <w:iCs/>
                    <w:color w:val="000000"/>
                    <w:sz w:val="20"/>
                    <w:szCs w:val="20"/>
                  </w:rPr>
                </m:ctrlPr>
              </m:e>
              <m:sub>
                <m:r>
                  <m:rPr/>
                  <w:rPr>
                    <w:rFonts w:ascii="Cambria Math" w:hAnsi="Cambria Math"/>
                    <w:color w:val="000000"/>
                    <w:sz w:val="20"/>
                    <w:szCs w:val="20"/>
                  </w:rPr>
                  <m:t>h</m:t>
                </m:r>
                <m:ctrlPr>
                  <w:rPr>
                    <w:rFonts w:ascii="Cambria Math" w:hAnsi="Cambria Math"/>
                    <w:i/>
                    <w:iCs/>
                    <w:color w:val="000000"/>
                    <w:sz w:val="20"/>
                    <w:szCs w:val="20"/>
                  </w:rPr>
                </m:ctrlPr>
              </m:sub>
            </m:sSub>
            <m:r>
              <m:rPr>
                <m:sty m:val="p"/>
              </m:rPr>
              <w:rPr>
                <w:rFonts w:hint="eastAsia" w:ascii="Cambria Math" w:hAnsi="Cambria Math"/>
                <w:color w:val="000000"/>
                <w:sz w:val="20"/>
                <w:szCs w:val="20"/>
              </w:rPr>
              <m:t>×</m:t>
            </m:r>
            <m:sSub>
              <m:sSubPr>
                <m:ctrlPr>
                  <w:rPr>
                    <w:rFonts w:ascii="Cambria Math" w:hAnsi="Cambria Math"/>
                    <w:i/>
                    <w:iCs/>
                    <w:color w:val="000000"/>
                    <w:sz w:val="20"/>
                    <w:szCs w:val="20"/>
                  </w:rPr>
                </m:ctrlPr>
              </m:sSubPr>
              <m:e>
                <m:r>
                  <m:rPr/>
                  <w:rPr>
                    <w:rFonts w:ascii="Cambria Math" w:hAnsi="Cambria Math"/>
                    <w:color w:val="000000"/>
                    <w:sz w:val="20"/>
                    <w:szCs w:val="20"/>
                  </w:rPr>
                  <m:t>d</m:t>
                </m:r>
                <m:ctrlPr>
                  <w:rPr>
                    <w:rFonts w:ascii="Cambria Math" w:hAnsi="Cambria Math"/>
                    <w:iCs/>
                    <w:color w:val="000000"/>
                    <w:sz w:val="20"/>
                    <w:szCs w:val="20"/>
                  </w:rPr>
                </m:ctrlPr>
              </m:e>
              <m:sub>
                <m:r>
                  <m:rPr>
                    <m:scr m:val="double-struck"/>
                  </m:rPr>
                  <w:rPr>
                    <w:rFonts w:eastAsia="MS Mincho"/>
                    <w:color w:val="000000"/>
                    <w:sz w:val="20"/>
                    <w:szCs w:val="20"/>
                  </w:rPr>
                  <m:t>0</m:t>
                </m:r>
                <m:ctrlPr>
                  <w:rPr>
                    <w:rFonts w:ascii="Cambria Math" w:hAnsi="Cambria Math"/>
                    <w:i/>
                    <w:iCs/>
                    <w:color w:val="000000"/>
                    <w:sz w:val="20"/>
                    <w:szCs w:val="20"/>
                  </w:rPr>
                </m:ctrlPr>
              </m:sub>
            </m:sSub>
            <m:ctrlPr>
              <w:rPr>
                <w:rFonts w:ascii="Cambria Math" w:hAnsi="Cambria Math"/>
                <w:i/>
                <w:iCs/>
                <w:color w:val="000000"/>
                <w:sz w:val="20"/>
                <w:szCs w:val="20"/>
              </w:rPr>
            </m:ctrlPr>
          </m:sup>
        </m:sSup>
        <m:r>
          <m:rPr/>
          <w:rPr>
            <w:rFonts w:ascii="Cambria Math" w:hAnsi="Cambria Math"/>
            <w:color w:val="000000"/>
            <w:sz w:val="20"/>
            <w:szCs w:val="20"/>
          </w:rPr>
          <m:t> </m:t>
        </m:r>
      </m:oMath>
      <w:r>
        <w:rPr>
          <w:color w:val="000000"/>
          <w:sz w:val="20"/>
          <w:szCs w:val="20"/>
        </w:rPr>
        <w:t>为输入特征映射矩阵，</w:t>
      </w:r>
      <m:oMath>
        <m:sSup>
          <m:sSupPr>
            <m:ctrlPr>
              <w:rPr>
                <w:rFonts w:ascii="Cambria Math" w:hAnsi="Cambria Math"/>
                <w:i/>
                <w:color w:val="000000"/>
                <w:sz w:val="20"/>
                <w:szCs w:val="20"/>
              </w:rPr>
            </m:ctrlPr>
          </m:sSupPr>
          <m:e>
            <m:r>
              <m:rPr/>
              <w:rPr>
                <w:rFonts w:ascii="Cambria Math" w:hAnsi="Cambria Math"/>
                <w:color w:val="000000"/>
                <w:sz w:val="20"/>
                <w:szCs w:val="20"/>
              </w:rPr>
              <m:t>W</m:t>
            </m:r>
            <m:ctrlPr>
              <w:rPr>
                <w:rFonts w:ascii="Cambria Math" w:hAnsi="Cambria Math"/>
                <w:i/>
                <w:color w:val="000000"/>
                <w:sz w:val="20"/>
                <w:szCs w:val="20"/>
              </w:rPr>
            </m:ctrlPr>
          </m:e>
          <m:sup>
            <m:d>
              <m:dPr>
                <m:ctrlPr>
                  <w:rPr>
                    <w:rFonts w:ascii="Cambria Math" w:hAnsi="Cambria Math"/>
                    <w:i/>
                    <w:color w:val="000000"/>
                    <w:sz w:val="20"/>
                    <w:szCs w:val="20"/>
                  </w:rPr>
                </m:ctrlPr>
              </m:dPr>
              <m:e>
                <m:r>
                  <m:rPr/>
                  <w:rPr>
                    <w:rFonts w:ascii="Cambria Math" w:hAnsi="Cambria Math"/>
                    <w:color w:val="000000"/>
                    <w:sz w:val="20"/>
                    <w:szCs w:val="20"/>
                  </w:rPr>
                  <m:t>h</m:t>
                </m:r>
                <m:ctrlPr>
                  <w:rPr>
                    <w:rFonts w:ascii="Cambria Math" w:hAnsi="Cambria Math"/>
                    <w:i/>
                    <w:color w:val="000000"/>
                    <w:sz w:val="20"/>
                    <w:szCs w:val="20"/>
                  </w:rPr>
                </m:ctrlPr>
              </m:e>
            </m:d>
            <m:ctrlPr>
              <w:rPr>
                <w:rFonts w:ascii="Cambria Math" w:hAnsi="Cambria Math"/>
                <w:i/>
                <w:color w:val="000000"/>
                <w:sz w:val="20"/>
                <w:szCs w:val="20"/>
              </w:rPr>
            </m:ctrlPr>
          </m:sup>
        </m:sSup>
        <m:r>
          <m:rPr>
            <m:sty m:val="p"/>
          </m:rPr>
          <w:rPr>
            <w:rFonts w:hint="eastAsia" w:ascii="Cambria Math" w:hAnsi="Cambria Math"/>
            <w:color w:val="000000"/>
            <w:sz w:val="20"/>
            <w:szCs w:val="20"/>
          </w:rPr>
          <m:t>∈</m:t>
        </m:r>
        <m:sSup>
          <m:sSupPr>
            <m:ctrlPr>
              <w:rPr>
                <w:rFonts w:ascii="Cambria Math" w:hAnsi="Cambria Math"/>
                <w:i/>
                <w:color w:val="000000"/>
                <w:sz w:val="20"/>
                <w:szCs w:val="20"/>
              </w:rPr>
            </m:ctrlPr>
          </m:sSupPr>
          <m:e>
            <m:r>
              <m:rPr/>
              <w:rPr>
                <w:rFonts w:ascii="Cambria Math" w:hAnsi="Cambria Math"/>
                <w:color w:val="000000"/>
                <w:sz w:val="20"/>
                <w:szCs w:val="20"/>
              </w:rPr>
              <m:t>R</m:t>
            </m:r>
            <m:ctrlPr>
              <w:rPr>
                <w:rFonts w:ascii="Cambria Math" w:hAnsi="Cambria Math"/>
                <w:i/>
                <w:color w:val="000000"/>
                <w:sz w:val="20"/>
                <w:szCs w:val="20"/>
              </w:rPr>
            </m:ctrlPr>
          </m:e>
          <m:sup>
            <m:sSub>
              <m:sSubPr>
                <m:ctrlPr>
                  <w:rPr>
                    <w:rFonts w:ascii="Cambria Math" w:hAnsi="Cambria Math"/>
                    <w:i/>
                    <w:color w:val="000000"/>
                    <w:sz w:val="20"/>
                    <w:szCs w:val="20"/>
                  </w:rPr>
                </m:ctrlPr>
              </m:sSubPr>
              <m:e>
                <m:r>
                  <m:rPr/>
                  <w:rPr>
                    <w:rFonts w:ascii="Cambria Math" w:hAnsi="Cambria Math"/>
                    <w:color w:val="000000"/>
                    <w:sz w:val="20"/>
                    <w:szCs w:val="20"/>
                  </w:rPr>
                  <m:t>d</m:t>
                </m:r>
                <m:ctrlPr>
                  <w:rPr>
                    <w:rFonts w:ascii="Cambria Math" w:hAnsi="Cambria Math"/>
                    <w:i/>
                    <w:color w:val="000000"/>
                    <w:sz w:val="20"/>
                    <w:szCs w:val="20"/>
                  </w:rPr>
                </m:ctrlPr>
              </m:e>
              <m:sub>
                <m:r>
                  <m:rPr/>
                  <w:rPr>
                    <w:rFonts w:ascii="Cambria Math" w:hAnsi="Cambria Math"/>
                    <w:color w:val="000000"/>
                    <w:sz w:val="20"/>
                    <w:szCs w:val="20"/>
                  </w:rPr>
                  <m:t>h</m:t>
                </m:r>
                <m:ctrlPr>
                  <w:rPr>
                    <w:rFonts w:ascii="Cambria Math" w:hAnsi="Cambria Math"/>
                    <w:i/>
                    <w:color w:val="000000"/>
                    <w:sz w:val="20"/>
                    <w:szCs w:val="20"/>
                  </w:rPr>
                </m:ctrlPr>
              </m:sub>
            </m:sSub>
            <m:r>
              <m:rPr>
                <m:sty m:val="p"/>
              </m:rPr>
              <w:rPr>
                <w:rFonts w:hint="eastAsia" w:ascii="Cambria Math" w:hAnsi="Cambria Math"/>
                <w:color w:val="000000"/>
                <w:sz w:val="20"/>
                <w:szCs w:val="20"/>
              </w:rPr>
              <m:t>×</m:t>
            </m:r>
            <m:r>
              <m:rPr>
                <m:scr m:val="double-struck"/>
              </m:rPr>
              <w:rPr>
                <w:rFonts w:eastAsia="MS Mincho"/>
                <w:color w:val="000000"/>
                <w:sz w:val="20"/>
                <w:szCs w:val="20"/>
              </w:rPr>
              <m:t>2</m:t>
            </m:r>
            <m:sSub>
              <m:sSubPr>
                <m:ctrlPr>
                  <w:rPr>
                    <w:rFonts w:ascii="Cambria Math" w:hAnsi="Cambria Math"/>
                    <w:i/>
                    <w:color w:val="000000"/>
                    <w:sz w:val="20"/>
                    <w:szCs w:val="20"/>
                  </w:rPr>
                </m:ctrlPr>
              </m:sSubPr>
              <m:e>
                <m:r>
                  <m:rPr/>
                  <w:rPr>
                    <w:rFonts w:ascii="Cambria Math" w:hAnsi="Cambria Math"/>
                    <w:color w:val="000000"/>
                    <w:sz w:val="20"/>
                    <w:szCs w:val="20"/>
                  </w:rPr>
                  <m:t>d</m:t>
                </m:r>
                <m:ctrlPr>
                  <w:rPr>
                    <w:rFonts w:ascii="Cambria Math" w:hAnsi="Cambria Math"/>
                    <w:i/>
                    <w:color w:val="000000"/>
                    <w:sz w:val="20"/>
                    <w:szCs w:val="20"/>
                  </w:rPr>
                </m:ctrlPr>
              </m:e>
              <m:sub>
                <m:r>
                  <m:rPr>
                    <m:scr m:val="double-struck"/>
                  </m:rPr>
                  <w:rPr>
                    <w:rFonts w:eastAsia="MS Mincho"/>
                    <w:color w:val="000000"/>
                    <w:sz w:val="20"/>
                    <w:szCs w:val="20"/>
                  </w:rPr>
                  <m:t>0</m:t>
                </m:r>
                <m:ctrlPr>
                  <w:rPr>
                    <w:rFonts w:ascii="Cambria Math" w:hAnsi="Cambria Math"/>
                    <w:i/>
                    <w:color w:val="000000"/>
                    <w:sz w:val="20"/>
                    <w:szCs w:val="20"/>
                  </w:rPr>
                </m:ctrlPr>
              </m:sub>
            </m:sSub>
            <m:ctrlPr>
              <w:rPr>
                <w:rFonts w:ascii="Cambria Math" w:hAnsi="Cambria Math"/>
                <w:i/>
                <w:color w:val="000000"/>
                <w:sz w:val="20"/>
                <w:szCs w:val="20"/>
              </w:rPr>
            </m:ctrlPr>
          </m:sup>
        </m:sSup>
      </m:oMath>
      <w:r>
        <w:rPr>
          <w:color w:val="000000"/>
          <w:sz w:val="20"/>
          <w:szCs w:val="20"/>
        </w:rPr>
        <w:t>为联合线性投影矩阵，</w:t>
      </w:r>
      <m:oMath>
        <m:sSup>
          <m:sSupPr>
            <m:ctrlPr>
              <w:rPr>
                <w:rFonts w:ascii="Cambria Math" w:hAnsi="Cambria Math"/>
                <w:i/>
                <w:color w:val="000000"/>
                <w:sz w:val="20"/>
                <w:szCs w:val="20"/>
              </w:rPr>
            </m:ctrlPr>
          </m:sSupPr>
          <m:e>
            <m:r>
              <m:rPr/>
              <w:rPr>
                <w:rFonts w:ascii="Cambria Math" w:hAnsi="Cambria Math"/>
                <w:color w:val="000000"/>
                <w:sz w:val="20"/>
                <w:szCs w:val="20"/>
              </w:rPr>
              <m:t>a</m:t>
            </m:r>
            <m:ctrlPr>
              <w:rPr>
                <w:rFonts w:ascii="Cambria Math" w:hAnsi="Cambria Math"/>
                <w:i/>
                <w:color w:val="000000"/>
                <w:sz w:val="20"/>
                <w:szCs w:val="20"/>
              </w:rPr>
            </m:ctrlPr>
          </m:e>
          <m:sup>
            <m:d>
              <m:dPr>
                <m:ctrlPr>
                  <w:rPr>
                    <w:rFonts w:ascii="Cambria Math" w:hAnsi="Cambria Math"/>
                    <w:i/>
                    <w:color w:val="000000"/>
                    <w:sz w:val="20"/>
                    <w:szCs w:val="20"/>
                  </w:rPr>
                </m:ctrlPr>
              </m:dPr>
              <m:e>
                <m:r>
                  <m:rPr/>
                  <w:rPr>
                    <w:rFonts w:ascii="Cambria Math" w:hAnsi="Cambria Math"/>
                    <w:color w:val="000000"/>
                    <w:sz w:val="20"/>
                    <w:szCs w:val="20"/>
                  </w:rPr>
                  <m:t>h</m:t>
                </m:r>
                <m:ctrlPr>
                  <w:rPr>
                    <w:rFonts w:ascii="Cambria Math" w:hAnsi="Cambria Math"/>
                    <w:i/>
                    <w:color w:val="000000"/>
                    <w:sz w:val="20"/>
                    <w:szCs w:val="20"/>
                  </w:rPr>
                </m:ctrlPr>
              </m:e>
            </m:d>
            <m:ctrlPr>
              <w:rPr>
                <w:rFonts w:ascii="Cambria Math" w:hAnsi="Cambria Math"/>
                <w:i/>
                <w:color w:val="000000"/>
                <w:sz w:val="20"/>
                <w:szCs w:val="20"/>
              </w:rPr>
            </m:ctrlPr>
          </m:sup>
        </m:sSup>
        <m:r>
          <m:rPr>
            <m:sty m:val="p"/>
          </m:rPr>
          <w:rPr>
            <w:rFonts w:hint="eastAsia" w:ascii="Cambria Math" w:hAnsi="Cambria Math"/>
            <w:color w:val="000000"/>
            <w:sz w:val="20"/>
            <w:szCs w:val="20"/>
          </w:rPr>
          <m:t>∈</m:t>
        </m:r>
        <m:sSup>
          <m:sSupPr>
            <m:ctrlPr>
              <w:rPr>
                <w:rFonts w:ascii="Cambria Math" w:hAnsi="Cambria Math"/>
                <w:i/>
                <w:color w:val="000000"/>
                <w:sz w:val="20"/>
                <w:szCs w:val="20"/>
              </w:rPr>
            </m:ctrlPr>
          </m:sSupPr>
          <m:e>
            <m:r>
              <m:rPr/>
              <w:rPr>
                <w:rFonts w:ascii="Cambria Math" w:hAnsi="Cambria Math"/>
                <w:color w:val="000000"/>
                <w:sz w:val="20"/>
                <w:szCs w:val="20"/>
              </w:rPr>
              <m:t>R</m:t>
            </m:r>
            <m:ctrlPr>
              <w:rPr>
                <w:rFonts w:ascii="Cambria Math" w:hAnsi="Cambria Math"/>
                <w:i/>
                <w:color w:val="000000"/>
                <w:sz w:val="20"/>
                <w:szCs w:val="20"/>
              </w:rPr>
            </m:ctrlPr>
          </m:e>
          <m:sup>
            <m:sSub>
              <m:sSubPr>
                <m:ctrlPr>
                  <w:rPr>
                    <w:rFonts w:ascii="Cambria Math" w:hAnsi="Cambria Math"/>
                    <w:i/>
                    <w:color w:val="000000"/>
                    <w:sz w:val="20"/>
                    <w:szCs w:val="20"/>
                  </w:rPr>
                </m:ctrlPr>
              </m:sSubPr>
              <m:e>
                <m:r>
                  <m:rPr/>
                  <w:rPr>
                    <w:rFonts w:ascii="Cambria Math" w:hAnsi="Cambria Math"/>
                    <w:color w:val="000000"/>
                    <w:sz w:val="20"/>
                    <w:szCs w:val="20"/>
                  </w:rPr>
                  <m:t>d</m:t>
                </m:r>
                <m:ctrlPr>
                  <w:rPr>
                    <w:rFonts w:ascii="Cambria Math" w:hAnsi="Cambria Math"/>
                    <w:i/>
                    <w:color w:val="000000"/>
                    <w:sz w:val="20"/>
                    <w:szCs w:val="20"/>
                  </w:rPr>
                </m:ctrlPr>
              </m:e>
              <m:sub>
                <m:r>
                  <m:rPr/>
                  <w:rPr>
                    <w:rFonts w:ascii="Cambria Math" w:hAnsi="Cambria Math"/>
                    <w:color w:val="000000"/>
                    <w:sz w:val="20"/>
                    <w:szCs w:val="20"/>
                  </w:rPr>
                  <m:t>h</m:t>
                </m:r>
                <m:ctrlPr>
                  <w:rPr>
                    <w:rFonts w:ascii="Cambria Math" w:hAnsi="Cambria Math"/>
                    <w:i/>
                    <w:color w:val="000000"/>
                    <w:sz w:val="20"/>
                    <w:szCs w:val="20"/>
                  </w:rPr>
                </m:ctrlPr>
              </m:sub>
            </m:sSub>
            <m:ctrlPr>
              <w:rPr>
                <w:rFonts w:ascii="Cambria Math" w:hAnsi="Cambria Math"/>
                <w:i/>
                <w:color w:val="000000"/>
                <w:sz w:val="20"/>
                <w:szCs w:val="20"/>
              </w:rPr>
            </m:ctrlPr>
          </m:sup>
        </m:sSup>
      </m:oMath>
      <w:r>
        <w:rPr>
          <w:color w:val="000000"/>
          <w:sz w:val="20"/>
          <w:szCs w:val="20"/>
        </w:rPr>
        <w:t>为注意力向量，首先通过共享线性变换将输入特征映射到隐空间，再计算注意力分数并归一化，最后加权聚合得到单头输出</w:t>
      </w:r>
      <w:r>
        <w:rPr>
          <w:rFonts w:hint="eastAsia"/>
          <w:color w:val="000000"/>
          <w:sz w:val="20"/>
          <w:szCs w:val="20"/>
        </w:rPr>
        <w:t>。相比标准GAT，其注意力计算基于节点联合表示而非独立线性分解，具有更强表达能力。</w:t>
      </w:r>
    </w:p>
    <w:p w14:paraId="1749A018">
      <w:pPr>
        <w:pStyle w:val="7"/>
        <w:spacing w:after="60" w:line="240" w:lineRule="auto"/>
        <w:ind w:firstLine="0" w:firstLineChars="0"/>
        <w:jc w:val="right"/>
        <w:rPr>
          <w:color w:val="000000"/>
          <w:position w:val="-14"/>
          <w:sz w:val="20"/>
          <w:szCs w:val="20"/>
        </w:rPr>
      </w:pPr>
      <w:r>
        <w:rPr>
          <w:color w:val="000000"/>
          <w:position w:val="-131"/>
          <w:sz w:val="20"/>
          <w:szCs w:val="20"/>
        </w:rPr>
        <w:drawing>
          <wp:inline distT="0" distB="0" distL="0" distR="0">
            <wp:extent cx="2905125" cy="1235075"/>
            <wp:effectExtent l="0" t="0" r="0" b="9525"/>
            <wp:docPr id="5" name="Picture 1" descr="{&quot;mathml&quot;:&quot;&lt;math style=\&quot;font-family:stix;font-size:16px;\&quot; xmlns=\&quot;http://www.w3.org/1998/Math/MathML\&quot;&gt;&lt;mtable columnalign=\&quot;left\&quot;&gt;&lt;mtr&gt;&lt;mtd&gt;&lt;msubsup&gt;&lt;mi&gt;e&lt;/mi&gt;&lt;mrow&gt;&lt;mi&gt;i&lt;/mi&gt;&lt;mi&gt;j&lt;/mi&gt;&lt;/mrow&gt;&lt;mrow&gt;&lt;mo&gt;(&lt;/mo&gt;&lt;mi&gt;h&lt;/mi&gt;&lt;mo&gt;)&lt;/mo&gt;&lt;/mrow&gt;&lt;/msubsup&gt;&lt;mo&gt;=&lt;/mo&gt;&lt;msup&gt;&lt;mi&gt;a&lt;/mi&gt;&lt;mrow&gt;&lt;mo&gt;(&lt;/mo&gt;&lt;mi&gt;h&lt;/mi&gt;&lt;mo&gt;)&lt;/mo&gt;&lt;mi&gt;T&lt;/mi&gt;&lt;/mrow&gt;&lt;/msup&gt;&lt;mo&gt;&amp;#x22C5;&lt;/mo&gt;&lt;mtext&gt;LeakyReLU&lt;/mtext&gt;&lt;mrow&gt;&lt;mo&gt;(&lt;/mo&gt;&lt;msup&gt;&lt;mi&gt;W&lt;/mi&gt;&lt;mrow&gt;&lt;mo&gt;(&lt;/mo&gt;&lt;mi&gt;h&lt;/mi&gt;&lt;mo&gt;)&lt;/mo&gt;&lt;/mrow&gt;&lt;/msup&gt;&lt;mo&gt;[&lt;/mo&gt;&lt;msubsup&gt;&lt;mover&gt;&lt;mi&gt;x&lt;/mi&gt;&lt;mo&gt;~&lt;/mo&gt;&lt;/mover&gt;&lt;mi&gt;i&lt;/mi&gt;&lt;mrow&gt;&lt;mo&gt;(&lt;/mo&gt;&lt;mi&gt;h&lt;/mi&gt;&lt;mo&gt;)&lt;/mo&gt;&lt;/mrow&gt;&lt;/msubsup&gt;&lt;mo&gt;&amp;#x2225;&lt;/mo&gt;&lt;msubsup&gt;&lt;mover&gt;&lt;mi&gt;x&lt;/mi&gt;&lt;mo&gt;~&lt;/mo&gt;&lt;/mover&gt;&lt;mi&gt;j&lt;/mi&gt;&lt;mrow&gt;&lt;mo&gt;(&lt;/mo&gt;&lt;mi&gt;h&lt;/mi&gt;&lt;mo&gt;)&lt;/mo&gt;&lt;/mrow&gt;&lt;/msubsup&gt;&lt;mo&gt;]&lt;/mo&gt;&lt;mo&gt;)&lt;/mo&gt;&lt;/mrow&gt;&lt;/mtd&gt;&lt;/mtr&gt;&lt;mtr&gt;&lt;mtd&gt;&lt;msubsup&gt;&lt;mi&gt;&amp;#x3B1;&lt;/mi&gt;&lt;mrow&gt;&lt;mi&gt;i&lt;/mi&gt;&lt;mi&gt;j&lt;/mi&gt;&lt;/mrow&gt;&lt;mrow&gt;&lt;mo&gt;(&lt;/mo&gt;&lt;mi&gt;h&lt;/mi&gt;&lt;mo&gt;)&lt;/mo&gt;&lt;/mrow&gt;&lt;/msubsup&gt;&lt;mo&gt;=&lt;/mo&gt;&lt;mfrac&gt;&lt;mrow&gt;&lt;mi&gt;exp&lt;/mi&gt;&lt;mo&gt;(&lt;/mo&gt;&lt;msubsup&gt;&lt;mi&gt;e&lt;/mi&gt;&lt;mrow&gt;&lt;mi&gt;i&lt;/mi&gt;&lt;mi&gt;j&lt;/mi&gt;&lt;/mrow&gt;&lt;mrow&gt;&lt;mo&gt;(&lt;/mo&gt;&lt;mi&gt;h&lt;/mi&gt;&lt;mo&gt;)&lt;/mo&gt;&lt;/mrow&gt;&lt;/msubsup&gt;&lt;mo&gt;)&lt;/mo&gt;&lt;/mrow&gt;&lt;mrow&gt;&lt;munder&gt;&lt;mo&gt;&amp;#x2211;&lt;/mo&gt;&lt;mrow&gt;&lt;mi&gt;k&lt;/mi&gt;&lt;mo&gt;&amp;#x2208;&lt;/mo&gt;&lt;mi mathvariant=\&quot;script\&quot;&gt;N&lt;/mi&gt;&lt;mo&gt;(&lt;/mo&gt;&lt;mi&gt;i&lt;/mi&gt;&lt;mo&gt;)&lt;/mo&gt;&lt;/mrow&gt;&lt;/munder&gt;&lt;mi&gt;exp&lt;/mi&gt;&lt;mo&gt;(&lt;/mo&gt;&lt;msubsup&gt;&lt;mi&gt;e&lt;/mi&gt;&lt;mrow&gt;&lt;mi&gt;i&lt;/mi&gt;&lt;mi&gt;k&lt;/mi&gt;&lt;/mrow&gt;&lt;mrow&gt;&lt;mo&gt;(&lt;/mo&gt;&lt;mi&gt;h&lt;/mi&gt;&lt;mo&gt;)&lt;/mo&gt;&lt;/mrow&gt;&lt;/msubsup&gt;&lt;mo&gt;)&lt;/mo&gt;&lt;/mrow&gt;&lt;/mfrac&gt;&lt;/mtd&gt;&lt;/mtr&gt;&lt;mtr&gt;&lt;mtd&gt;&lt;msubsup&gt;&lt;mi&gt;z&lt;/mi&gt;&lt;mi&gt;i&lt;/mi&gt;&lt;mrow&gt;&lt;mo&gt;(&lt;/mo&gt;&lt;mi&gt;h&lt;/mi&gt;&lt;mo&gt;)&lt;/mo&gt;&lt;/mrow&gt;&lt;/msubsup&gt;&lt;mo&gt;=&lt;/mo&gt;&lt;munder&gt;&lt;mo&gt;&amp;#x2211;&lt;/mo&gt;&lt;mrow&gt;&lt;mi&gt;j&lt;/mi&gt;&lt;mo&gt;&amp;#x2208;&lt;/mo&gt;&lt;mi mathvariant=\&quot;script\&quot;&gt;N&lt;/mi&gt;&lt;mo&gt;(&lt;/mo&gt;&lt;mi&gt;i&lt;/mi&gt;&lt;mo&gt;)&lt;/mo&gt;&lt;/mrow&gt;&lt;/munder&gt;&lt;msubsup&gt;&lt;mi&gt;&amp;#x3B1;&lt;/mi&gt;&lt;mrow&gt;&lt;mi&gt;i&lt;/mi&gt;&lt;mi&gt;j&lt;/mi&gt;&lt;/mrow&gt;&lt;mrow&gt;&lt;mo&gt;(&lt;/mo&gt;&lt;mi&gt;h&lt;/mi&gt;&lt;mo&gt;)&lt;/mo&gt;&lt;/mrow&gt;&lt;/msubsup&gt;&lt;mo&gt;&amp;#x22C5;&lt;/mo&gt;&lt;msubsup&gt;&lt;mover&gt;&lt;mi&gt;x&lt;/mi&gt;&lt;mo&gt;~&lt;/mo&gt;&lt;/mover&gt;&lt;mi&gt;j&lt;/mi&gt;&lt;mrow&gt;&lt;mo&gt;(&lt;/mo&gt;&lt;mi&gt;h&lt;/mi&gt;&lt;mo&gt;)&lt;/mo&gt;&lt;/mrow&gt;&lt;/msubsup&gt;&lt;/mtd&gt;&lt;/mtr&gt;&lt;/mtable&gt;&lt;/math&gt;&quot;,&quot;origin&quot;:&quot;MathType Legacy&quot;,&quot;version&quot;:&quot;v3.23.0&quot;}" title="表格 列 开始保存格 e 下标 i j 结束下标 上标 左括号 h 右括号 结束上标 等于 a 的 左括号 h 右括号 T 次方 乘 开始文本 LeakyReLU 结束文本 左括号 W 的 左括号 h 右括号 次方 左方括号 x 有 双点 在上方 下标 i 上标 左括号 h 右括号 结束上标 平行于 x 有 双点 在上方 下标 j 上标 左括号 h 右括号 结束上标 右方括号 右括号 结束保存格 结束列 列 开始保存格 alpha （ 小写 ） 下标 i j 结束下标 上标 左括号 h 右括号 结束上标 等于 分数 加总 从 k 属于 书法 N 左括号 i 右括号 对 exp 左括号 e 下标 i k 结束下标 上标 左括号 h 右括号 结束上标 右括号 分之 exp 左括号 e 下标 i j 结束下标 上标 左括号 h 右括号 结束上标 右括号 结束分数 结束保存格 结束列 列 开始保存格 z 下标 i 上标 左括号 h 右括号 结束上标 等于 加总 从 j 属于 书法 N 左括号 i 右括号 对 alpha （ 小写 ） 下标 i j 结束下标 上标 左括号 h 右括号 结束上标 乘 x 有 双点 在上方 下标 j 上标 左括号 h 右括号 结束上标 结束保存格 结束列 结束表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quot;mathml&quot;:&quot;&lt;math style=\&quot;font-family:stix;font-size:16px;\&quot; xmlns=\&quot;http://www.w3.org/1998/Math/MathML\&quot;&gt;&lt;mtable columnalign=\&quot;left\&quot;&gt;&lt;mtr&gt;&lt;mtd&gt;&lt;msubsup&gt;&lt;mi&gt;e&lt;/mi&gt;&lt;mrow&gt;&lt;mi&gt;i&lt;/mi&gt;&lt;mi&gt;j&lt;/mi&gt;&lt;/mrow&gt;&lt;mrow&gt;&lt;mo&gt;(&lt;/mo&gt;&lt;mi&gt;h&lt;/mi&gt;&lt;mo&gt;)&lt;/mo&gt;&lt;/mrow&gt;&lt;/msubsup&gt;&lt;mo&gt;=&lt;/mo&gt;&lt;msup&gt;&lt;mi&gt;a&lt;/mi&gt;&lt;mrow&gt;&lt;mo&gt;(&lt;/mo&gt;&lt;mi&gt;h&lt;/mi&gt;&lt;mo&gt;)&lt;/mo&gt;&lt;mi&gt;T&lt;/mi&gt;&lt;/mrow&gt;&lt;/msup&gt;&lt;mo&gt;&amp;#x22C5;&lt;/mo&gt;&lt;mtext&gt;LeakyReLU&lt;/mtext&gt;&lt;mrow&gt;&lt;mo&gt;(&lt;/mo&gt;&lt;msup&gt;&lt;mi&gt;W&lt;/mi&gt;&lt;mrow&gt;&lt;mo&gt;(&lt;/mo&gt;&lt;mi&gt;h&lt;/mi&gt;&lt;mo&gt;)&lt;/mo&gt;&lt;/mrow&gt;&lt;/msup&gt;&lt;mo&gt;[&lt;/mo&gt;&lt;msubsup&gt;&lt;mover&gt;&lt;mi&gt;x&lt;/mi&gt;&lt;mo&gt;~&lt;/mo&gt;&lt;/mover&gt;&lt;mi&gt;i&lt;/mi&gt;&lt;mrow&gt;&lt;mo&gt;(&lt;/mo&gt;&lt;mi&gt;h&lt;/mi&gt;&lt;mo&gt;)&lt;/mo&gt;&lt;/mrow&gt;&lt;/msubsup&gt;&lt;mo&gt;&amp;#x2225;&lt;/mo&gt;&lt;msubsup&gt;&lt;mover&gt;&lt;mi&gt;x&lt;/mi&gt;&lt;mo&gt;~&lt;/mo&gt;&lt;/mover&gt;&lt;mi&gt;j&lt;/mi&gt;&lt;mrow&gt;&lt;mo&gt;(&lt;/mo&gt;&lt;mi&gt;h&lt;/mi&gt;&lt;mo&gt;)&lt;/mo&gt;&lt;/mrow&gt;&lt;/msubsup&gt;&lt;mo&gt;]&lt;/mo&gt;&lt;mo&gt;)&lt;/mo&gt;&lt;/mrow&gt;&lt;/mtd&gt;&lt;/mtr&gt;&lt;mtr&gt;&lt;mtd&gt;&lt;msubsup&gt;&lt;mi&gt;&amp;#x3B1;&lt;/mi&gt;&lt;mrow&gt;&lt;mi&gt;i&lt;/mi&gt;&lt;mi&gt;j&lt;/mi&gt;&lt;/mrow&gt;&lt;mrow&gt;&lt;mo&gt;(&lt;/mo&gt;&lt;mi&gt;h&lt;/mi&gt;&lt;mo&gt;)&lt;/mo&gt;&lt;/mrow&gt;&lt;/msubsup&gt;&lt;mo&gt;=&lt;/mo&gt;&lt;mfrac&gt;&lt;mrow&gt;&lt;mi&gt;exp&lt;/mi&gt;&lt;mo&gt;(&lt;/mo&gt;&lt;msubsup&gt;&lt;mi&gt;e&lt;/mi&gt;&lt;mrow&gt;&lt;mi&gt;i&lt;/mi&gt;&lt;mi&gt;j&lt;/mi&gt;&lt;/mrow&gt;&lt;mrow&gt;&lt;mo&gt;(&lt;/mo&gt;&lt;mi&gt;h&lt;/mi&gt;&lt;mo&gt;)&lt;/mo&gt;&lt;/mrow&gt;&lt;/msubsup&gt;&lt;mo&gt;)&lt;/mo&gt;&lt;/mrow&gt;&lt;mrow&gt;&lt;munder&gt;&lt;mo&gt;&amp;#x2211;&lt;/mo&gt;&lt;mrow&gt;&lt;mi&gt;k&lt;/mi&gt;&lt;mo&gt;&amp;#x2208;&lt;/mo&gt;&lt;mi mathvariant=\&quot;script\&quot;&gt;N&lt;/mi&gt;&lt;mo&gt;(&lt;/mo&gt;&lt;mi&gt;i&lt;/mi&gt;&lt;mo&gt;)&lt;/mo&gt;&lt;/mrow&gt;&lt;/munder&gt;&lt;mi&gt;exp&lt;/mi&gt;&lt;mo&gt;(&lt;/mo&gt;&lt;msubsup&gt;&lt;mi&gt;e&lt;/mi&gt;&lt;mrow&gt;&lt;mi&gt;i&lt;/mi&gt;&lt;mi&gt;k&lt;/mi&gt;&lt;/mrow&gt;&lt;mrow&gt;&lt;mo&gt;(&lt;/mo&gt;&lt;mi&gt;h&lt;/mi&gt;&lt;mo&gt;)&lt;/mo&gt;&lt;/mrow&gt;&lt;/msubsup&gt;&lt;mo&gt;)&lt;/mo&gt;&lt;/mrow&gt;&lt;/mfrac&gt;&lt;/mtd&gt;&lt;/mtr&gt;&lt;mtr&gt;&lt;mtd&gt;&lt;msubsup&gt;&lt;mi&gt;z&lt;/mi&gt;&lt;mi&gt;i&lt;/mi&gt;&lt;mrow&gt;&lt;mo&gt;(&lt;/mo&gt;&lt;mi&gt;h&lt;/mi&gt;&lt;mo&gt;)&lt;/mo&gt;&lt;/mrow&gt;&lt;/msubsup&gt;&lt;mo&gt;=&lt;/mo&gt;&lt;munder&gt;&lt;mo&gt;&amp;#x2211;&lt;/mo&gt;&lt;mrow&gt;&lt;mi&gt;j&lt;/mi&gt;&lt;mo&gt;&amp;#x2208;&lt;/mo&gt;&lt;mi mathvariant=\&quot;script\&quot;&gt;N&lt;/mi&gt;&lt;mo&gt;(&lt;/mo&gt;&lt;mi&gt;i&lt;/mi&gt;&lt;mo&gt;)&lt;/mo&gt;&lt;/mrow&gt;&lt;/munder&gt;&lt;msubsup&gt;&lt;mi&gt;&amp;#x3B1;&lt;/mi&gt;&lt;mrow&gt;&lt;mi&gt;i&lt;/mi&gt;&lt;mi&gt;j&lt;/mi&gt;&lt;/mrow&gt;&lt;mrow&gt;&lt;mo&gt;(&lt;/mo&gt;&lt;mi&gt;h&lt;/mi&gt;&lt;mo&gt;)&lt;/mo&gt;&lt;/mrow&gt;&lt;/msubsup&gt;&lt;mo&gt;&amp;#x22C5;&lt;/mo&gt;&lt;msubsup&gt;&lt;mover&gt;&lt;mi&gt;x&lt;/mi&gt;&lt;mo&gt;~&lt;/mo&gt;&lt;/mover&gt;&lt;mi&gt;j&lt;/mi&gt;&lt;mrow&gt;&lt;mo&gt;(&lt;/mo&gt;&lt;mi&gt;h&lt;/mi&gt;&lt;mo&gt;)&lt;/mo&gt;&lt;/mrow&gt;&lt;/msubsup&gt;&lt;/mtd&gt;&lt;/mtr&gt;&lt;/mtable&gt;&lt;/math&gt;&quot;,&quot;origin&quot;:&quot;MathType Legacy&quot;,&quot;version&quot;:&quot;v3.23.0&quot;}" title="表格 列 开始保存格 e 下标 i j 结束下标 上标 左括号 h 右括号 结束上标 等于 a 的 左括号 h 右括号 T 次方 乘 开始文本 LeakyReLU 结束文本 左括号 W 的 左括号 h 右括号 次方 左方括号 x 有 双点 在上方 下标 i 上标 左括号 h 右括号 结束上标 平行于 x 有 双点 在上方 下标 j 上标 左括号 h 右括号 结束上标 右方括号 右括号 结束保存格 结束列 列 开始保存格 alpha （ 小写 ） 下标 i j 结束下标 上标 左括号 h 右括号 结束上标 等于 分数 加总 从 k 属于 书法 N 左括号 i 右括号 对 exp 左括号 e 下标 i k 结束下标 上标 左括号 h 右括号 结束上标 右括号 分之 exp 左括号 e 下标 i j 结束下标 上标 左括号 h 右括号 结束上标 右括号 结束分数 结束保存格 结束列 列 开始保存格 z 下标 i 上标 左括号 h 右括号 结束上标 等于 加总 从 j 属于 书法 N 左括号 i 右括号 对 alpha （ 小写 ） 下标 i j 结束下标 上标 左括号 h 右括号 结束上标 乘 x 有 双点 在上方 下标 j 上标 左括号 h 右括号 结束上标 结束保存格 结束列 结束表格"/>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2905125" cy="1235075"/>
                    </a:xfrm>
                    <a:prstGeom prst="rect">
                      <a:avLst/>
                    </a:prstGeom>
                  </pic:spPr>
                </pic:pic>
              </a:graphicData>
            </a:graphic>
          </wp:inline>
        </w:drawing>
      </w:r>
      <w:r>
        <w:rPr>
          <w:rFonts w:hint="eastAsia"/>
          <w:color w:val="000000"/>
          <w:position w:val="-131"/>
          <w:sz w:val="20"/>
          <w:szCs w:val="20"/>
        </w:rPr>
        <w:t xml:space="preserve">      </w:t>
      </w:r>
      <w:r>
        <w:rPr>
          <w:rFonts w:hint="eastAsia"/>
          <w:color w:val="000000"/>
          <w:sz w:val="20"/>
          <w:szCs w:val="20"/>
        </w:rPr>
        <w:t>（18）</w:t>
      </w:r>
    </w:p>
    <w:p w14:paraId="4E8BEF3B">
      <w:pPr>
        <w:pStyle w:val="7"/>
        <w:spacing w:after="60" w:line="240" w:lineRule="auto"/>
        <w:ind w:firstLine="400"/>
        <w:rPr>
          <w:color w:val="000000"/>
          <w:sz w:val="20"/>
          <w:szCs w:val="20"/>
        </w:rPr>
      </w:pPr>
      <w:r>
        <w:rPr>
          <w:rFonts w:hint="eastAsia"/>
          <w:color w:val="000000"/>
          <w:sz w:val="20"/>
          <w:szCs w:val="20"/>
        </w:rPr>
        <w:t>在多头注意力机制下，采用4个注意力头进行特征拼接，并通过线性投影得到128维节点表示</w:t>
      </w:r>
      <w:r>
        <w:rPr>
          <w:rFonts w:hint="eastAsia"/>
          <w:i/>
          <w:iCs/>
          <w:color w:val="000000"/>
          <w:sz w:val="20"/>
          <w:szCs w:val="20"/>
        </w:rPr>
        <w:t>X</w:t>
      </w:r>
      <w:r>
        <w:rPr>
          <w:rFonts w:hint="eastAsia"/>
          <w:i/>
          <w:iCs/>
          <w:color w:val="000000"/>
          <w:sz w:val="20"/>
          <w:szCs w:val="20"/>
          <w:vertAlign w:val="superscript"/>
        </w:rPr>
        <w:t>sem</w:t>
      </w:r>
      <w:r>
        <w:rPr>
          <w:rFonts w:hint="eastAsia"/>
          <w:color w:val="000000"/>
          <w:sz w:val="20"/>
          <w:szCs w:val="20"/>
        </w:rPr>
        <w:t>，如公式（19所示</w:t>
      </w:r>
      <w:r>
        <w:rPr>
          <w:color w:val="000000"/>
          <w:sz w:val="20"/>
          <w:szCs w:val="20"/>
        </w:rPr>
        <w:t>。</w:t>
      </w:r>
    </w:p>
    <w:p w14:paraId="4142A3BF">
      <w:pPr>
        <w:pStyle w:val="7"/>
        <w:tabs>
          <w:tab w:val="center" w:pos="4393"/>
          <w:tab w:val="right" w:pos="8306"/>
        </w:tabs>
        <w:spacing w:after="60" w:line="240" w:lineRule="auto"/>
        <w:ind w:firstLine="400"/>
        <w:jc w:val="right"/>
        <w:rPr>
          <w:color w:val="000000"/>
          <w:sz w:val="20"/>
          <w:szCs w:val="20"/>
        </w:rPr>
      </w:pPr>
      <w:r>
        <w:rPr>
          <w:color w:val="000000"/>
          <w:position w:val="-14"/>
          <w:sz w:val="20"/>
          <w:szCs w:val="20"/>
        </w:rPr>
        <w:drawing>
          <wp:inline distT="0" distB="0" distL="0" distR="0">
            <wp:extent cx="4133850" cy="222250"/>
            <wp:effectExtent l="0" t="0" r="6350" b="6350"/>
            <wp:docPr id="6" name="Picture 1" descr="{&quot;mathml&quot;:&quot;&lt;math style=\&quot;font-family:stix;font-size:16px;\&quot; xmlns=\&quot;http://www.w3.org/1998/Math/MathML\&quot;&gt;&lt;msub&gt;&lt;msup&gt;&lt;mi&gt;X&lt;/mi&gt;&lt;mtext&gt;sem&lt;/mtext&gt;&lt;/msup&gt;&lt;mi&gt;i&lt;/mi&gt;&lt;/msub&gt;&lt;mo&gt;=&lt;/mo&gt;&lt;msub&gt;&lt;mi&gt;W&lt;/mi&gt;&lt;mtext&gt;out&lt;/mtext&gt;&lt;/msub&gt;&lt;mo&gt;&amp;#x22C5;&lt;/mo&gt;&lt;mo&gt;(&lt;/mo&gt;&lt;msub&gt;&lt;msup&gt;&lt;mi&gt;z&lt;/mi&gt;&lt;mrow&gt;&lt;mo&gt;(&lt;/mo&gt;&lt;mn&gt;1&lt;/mn&gt;&lt;mo&gt;)&lt;/mo&gt;&lt;/mrow&gt;&lt;/msup&gt;&lt;mi&gt;i&lt;/mi&gt;&lt;/msub&gt;&lt;mo&gt;&amp;#x2225;&lt;/mo&gt;&lt;msub&gt;&lt;msup&gt;&lt;mi&gt;z&lt;/mi&gt;&lt;mrow&gt;&lt;mo&gt;(&lt;/mo&gt;&lt;mn&gt;2&lt;/mn&gt;&lt;mo&gt;)&lt;/mo&gt;&lt;/mrow&gt;&lt;/msup&gt;&lt;mi&gt;i&lt;/mi&gt;&lt;/msub&gt;&lt;mo&gt;&amp;#x2225;&lt;/mo&gt;&lt;msub&gt;&lt;msup&gt;&lt;mi&gt;z&lt;/mi&gt;&lt;mrow&gt;&lt;mo&gt;(&lt;/mo&gt;&lt;mn&gt;3&lt;/mn&gt;&lt;mo&gt;)&lt;/mo&gt;&lt;/mrow&gt;&lt;/msup&gt;&lt;mi&gt;i&lt;/mi&gt;&lt;/msub&gt;&lt;mo&gt;&amp;#x2225;&lt;/mo&gt;&lt;msub&gt;&lt;msup&gt;&lt;mi&gt;z&lt;/mi&gt;&lt;mrow&gt;&lt;mo&gt;(&lt;/mo&gt;&lt;mn&gt;4&lt;/mn&gt;&lt;mo&gt;)&lt;/mo&gt;&lt;/mrow&gt;&lt;/msup&gt;&lt;mi&gt;i&lt;/mi&gt;&lt;/msub&gt;&lt;mo&gt;)&lt;/mo&gt;&lt;mo&gt;,&lt;/mo&gt;&lt;msup&gt;&lt;mi&gt;X&lt;/mi&gt;&lt;mtext&gt;sem&lt;/mtext&gt;&lt;/msup&gt;&lt;mo&gt;&amp;#x2208;&lt;/mo&gt;&lt;msup&gt;&lt;mi&gt;&amp;#x211D;&lt;/mi&gt;&lt;mrow&gt;&lt;mi&gt;N&lt;/mi&gt;&lt;mo&gt;&amp;#xD7;&lt;/mo&gt;&lt;mn&gt;128&lt;/mn&gt;&lt;/mrow&gt;&lt;/msup&gt;&lt;/math&gt;&quot;,&quot;origin&quot;:&quot;MathType Legacy&quot;,&quot;version&quot;:&quot;v3.23.0&quot;}" title="X 的 开始文本 sem 结束文本 次方 下标 i 等于 W 下标 开始文本 out 结束文本 结束下标 乘 左括号 z 的 左括号 1 右括号 次方 下标 i 平行于 z 的 左括号 2 右括号 次方 下标 i 平行于 z 的 左括号 3 右括号 次方 下标 i 平行于 z 的 左括号 4 右括号 次方 下标 i 右括号 逗号 X 的 开始文本 sem 结束文本 次方 属于 实数 的 N 乘号 128 次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descr="{&quot;mathml&quot;:&quot;&lt;math style=\&quot;font-family:stix;font-size:16px;\&quot; xmlns=\&quot;http://www.w3.org/1998/Math/MathML\&quot;&gt;&lt;msub&gt;&lt;msup&gt;&lt;mi&gt;X&lt;/mi&gt;&lt;mtext&gt;sem&lt;/mtext&gt;&lt;/msup&gt;&lt;mi&gt;i&lt;/mi&gt;&lt;/msub&gt;&lt;mo&gt;=&lt;/mo&gt;&lt;msub&gt;&lt;mi&gt;W&lt;/mi&gt;&lt;mtext&gt;out&lt;/mtext&gt;&lt;/msub&gt;&lt;mo&gt;&amp;#x22C5;&lt;/mo&gt;&lt;mo&gt;(&lt;/mo&gt;&lt;msub&gt;&lt;msup&gt;&lt;mi&gt;z&lt;/mi&gt;&lt;mrow&gt;&lt;mo&gt;(&lt;/mo&gt;&lt;mn&gt;1&lt;/mn&gt;&lt;mo&gt;)&lt;/mo&gt;&lt;/mrow&gt;&lt;/msup&gt;&lt;mi&gt;i&lt;/mi&gt;&lt;/msub&gt;&lt;mo&gt;&amp;#x2225;&lt;/mo&gt;&lt;msub&gt;&lt;msup&gt;&lt;mi&gt;z&lt;/mi&gt;&lt;mrow&gt;&lt;mo&gt;(&lt;/mo&gt;&lt;mn&gt;2&lt;/mn&gt;&lt;mo&gt;)&lt;/mo&gt;&lt;/mrow&gt;&lt;/msup&gt;&lt;mi&gt;i&lt;/mi&gt;&lt;/msub&gt;&lt;mo&gt;&amp;#x2225;&lt;/mo&gt;&lt;msub&gt;&lt;msup&gt;&lt;mi&gt;z&lt;/mi&gt;&lt;mrow&gt;&lt;mo&gt;(&lt;/mo&gt;&lt;mn&gt;3&lt;/mn&gt;&lt;mo&gt;)&lt;/mo&gt;&lt;/mrow&gt;&lt;/msup&gt;&lt;mi&gt;i&lt;/mi&gt;&lt;/msub&gt;&lt;mo&gt;&amp;#x2225;&lt;/mo&gt;&lt;msub&gt;&lt;msup&gt;&lt;mi&gt;z&lt;/mi&gt;&lt;mrow&gt;&lt;mo&gt;(&lt;/mo&gt;&lt;mn&gt;4&lt;/mn&gt;&lt;mo&gt;)&lt;/mo&gt;&lt;/mrow&gt;&lt;/msup&gt;&lt;mi&gt;i&lt;/mi&gt;&lt;/msub&gt;&lt;mo&gt;)&lt;/mo&gt;&lt;mo&gt;,&lt;/mo&gt;&lt;msup&gt;&lt;mi&gt;X&lt;/mi&gt;&lt;mtext&gt;sem&lt;/mtext&gt;&lt;/msup&gt;&lt;mo&gt;&amp;#x2208;&lt;/mo&gt;&lt;msup&gt;&lt;mi&gt;&amp;#x211D;&lt;/mi&gt;&lt;mrow&gt;&lt;mi&gt;N&lt;/mi&gt;&lt;mo&gt;&amp;#xD7;&lt;/mo&gt;&lt;mn&gt;128&lt;/mn&gt;&lt;/mrow&gt;&lt;/msup&gt;&lt;/math&gt;&quot;,&quot;origin&quot;:&quot;MathType Legacy&quot;,&quot;version&quot;:&quot;v3.23.0&quot;}" title="X 的 开始文本 sem 结束文本 次方 下标 i 等于 W 下标 开始文本 out 结束文本 结束下标 乘 左括号 z 的 左括号 1 右括号 次方 下标 i 平行于 z 的 左括号 2 右括号 次方 下标 i 平行于 z 的 左括号 3 右括号 次方 下标 i 平行于 z 的 左括号 4 右括号 次方 下标 i 右括号 逗号 X 的 开始文本 sem 结束文本 次方 属于 实数 的 N 乘号 128 次方"/>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4133850" cy="222250"/>
                    </a:xfrm>
                    <a:prstGeom prst="rect">
                      <a:avLst/>
                    </a:prstGeom>
                  </pic:spPr>
                </pic:pic>
              </a:graphicData>
            </a:graphic>
          </wp:inline>
        </w:drawing>
      </w:r>
      <w:r>
        <w:rPr>
          <w:rFonts w:hint="eastAsia"/>
          <w:color w:val="000000"/>
          <w:position w:val="-14"/>
          <w:sz w:val="20"/>
          <w:szCs w:val="20"/>
        </w:rPr>
        <w:t xml:space="preserve">  </w:t>
      </w:r>
      <w:r>
        <w:rPr>
          <w:rFonts w:hint="eastAsia"/>
          <w:color w:val="000000"/>
          <w:sz w:val="20"/>
          <w:szCs w:val="20"/>
        </w:rPr>
        <w:t>（19）</w:t>
      </w:r>
    </w:p>
    <w:p w14:paraId="009C5237">
      <w:pPr>
        <w:pStyle w:val="7"/>
        <w:spacing w:after="60" w:line="240" w:lineRule="auto"/>
        <w:ind w:firstLine="400"/>
        <w:rPr>
          <w:color w:val="000000"/>
          <w:sz w:val="20"/>
          <w:szCs w:val="20"/>
        </w:rPr>
      </w:pPr>
      <w:r>
        <w:rPr>
          <w:rFonts w:hint="eastAsia"/>
          <w:color w:val="000000"/>
          <w:sz w:val="20"/>
          <w:szCs w:val="20"/>
        </w:rPr>
        <w:t>该语义建模过程未区分边类型，因而无法利用关系语义信息。</w:t>
      </w:r>
    </w:p>
    <w:p w14:paraId="69A33FC1">
      <w:pPr>
        <w:pStyle w:val="7"/>
        <w:spacing w:after="60" w:line="240" w:lineRule="auto"/>
        <w:ind w:firstLine="402"/>
        <w:rPr>
          <w:b/>
          <w:bCs/>
          <w:color w:val="000000"/>
          <w:sz w:val="20"/>
          <w:szCs w:val="20"/>
        </w:rPr>
      </w:pPr>
      <w:r>
        <w:rPr>
          <w:rFonts w:hint="eastAsia"/>
          <w:b/>
          <w:bCs/>
          <w:color w:val="000000"/>
          <w:sz w:val="20"/>
          <w:szCs w:val="20"/>
        </w:rPr>
        <w:t>（2）结构流：基于RGCN的关系感知建模</w:t>
      </w:r>
    </w:p>
    <w:p w14:paraId="19D7A234">
      <w:pPr>
        <w:pStyle w:val="7"/>
        <w:spacing w:after="60" w:line="240" w:lineRule="auto"/>
        <w:ind w:firstLine="400"/>
        <w:rPr>
          <w:color w:val="000000"/>
          <w:sz w:val="20"/>
          <w:szCs w:val="20"/>
        </w:rPr>
      </w:pPr>
      <w:r>
        <w:rPr>
          <w:rFonts w:hint="eastAsia"/>
          <w:color w:val="000000"/>
          <w:sz w:val="20"/>
          <w:szCs w:val="20"/>
        </w:rPr>
        <w:t>RGCN通过为每种关系类型分配变换矩阵，对不同关系邻居进行分组聚合，从而显式建模多关系结构模式。结合第3.2节的基分解参数化，第</w:t>
      </w:r>
      <w:r>
        <w:rPr>
          <w:rFonts w:hint="eastAsia"/>
          <w:i/>
          <w:iCs/>
          <w:color w:val="000000"/>
          <w:sz w:val="20"/>
          <w:szCs w:val="20"/>
        </w:rPr>
        <w:t>l</w:t>
      </w:r>
      <w:r>
        <w:rPr>
          <w:rFonts w:hint="eastAsia"/>
          <w:color w:val="000000"/>
          <w:sz w:val="20"/>
          <w:szCs w:val="20"/>
        </w:rPr>
        <w:t>层更新过程如公式（20）所示。其中，</w:t>
      </w:r>
      <w:r>
        <w:rPr>
          <w:rFonts w:hint="eastAsia"/>
          <w:i/>
          <w:iCs/>
          <w:color w:val="000000"/>
          <w:sz w:val="20"/>
          <w:szCs w:val="20"/>
        </w:rPr>
        <w:t>W</w:t>
      </w:r>
      <w:r>
        <w:rPr>
          <w:rFonts w:hint="eastAsia"/>
          <w:i/>
          <w:iCs/>
          <w:color w:val="000000"/>
          <w:sz w:val="20"/>
          <w:szCs w:val="20"/>
          <w:vertAlign w:val="subscript"/>
        </w:rPr>
        <w:t>0</w:t>
      </w:r>
      <w:r>
        <w:rPr>
          <w:rFonts w:hint="eastAsia"/>
          <w:i/>
          <w:iCs/>
          <w:color w:val="000000"/>
          <w:sz w:val="20"/>
          <w:szCs w:val="20"/>
          <w:vertAlign w:val="superscript"/>
        </w:rPr>
        <w:t>(l)</w:t>
      </w:r>
      <w:r>
        <w:rPr>
          <w:color w:val="000000"/>
          <w:sz w:val="20"/>
          <w:szCs w:val="20"/>
        </w:rPr>
        <w:t>为自环变换矩阵，</w:t>
      </w:r>
      <m:oMath>
        <m:f>
          <m:fPr>
            <m:ctrlPr>
              <w:rPr>
                <w:rFonts w:ascii="Cambria Math" w:hAnsi="Cambria Math"/>
                <w:color w:val="000000"/>
                <w:sz w:val="20"/>
                <w:szCs w:val="20"/>
              </w:rPr>
            </m:ctrlPr>
          </m:fPr>
          <m:num>
            <m:r>
              <m:rPr/>
              <w:rPr>
                <w:rFonts w:ascii="Cambria Math" w:hAnsi="Cambria Math"/>
                <w:color w:val="000000"/>
                <w:sz w:val="20"/>
                <w:szCs w:val="20"/>
              </w:rPr>
              <m:t>1</m:t>
            </m:r>
            <m:ctrlPr>
              <w:rPr>
                <w:rFonts w:ascii="Cambria Math" w:hAnsi="Cambria Math"/>
                <w:i/>
                <w:color w:val="000000"/>
                <w:sz w:val="20"/>
                <w:szCs w:val="20"/>
              </w:rPr>
            </m:ctrlPr>
          </m:num>
          <m:den>
            <m:d>
              <m:dPr>
                <m:begChr m:val="|"/>
                <m:endChr m:val="|"/>
                <m:ctrlPr>
                  <w:rPr>
                    <w:rFonts w:ascii="Cambria Math" w:hAnsi="Cambria Math"/>
                    <w:i/>
                    <w:color w:val="000000"/>
                    <w:sz w:val="20"/>
                    <w:szCs w:val="20"/>
                  </w:rPr>
                </m:ctrlPr>
              </m:dPr>
              <m:e>
                <m:sSub>
                  <m:sSubPr>
                    <m:ctrlPr>
                      <w:rPr>
                        <w:rFonts w:ascii="Cambria Math" w:hAnsi="Cambria Math"/>
                        <w:i/>
                        <w:color w:val="000000"/>
                        <w:sz w:val="20"/>
                        <w:szCs w:val="20"/>
                      </w:rPr>
                    </m:ctrlPr>
                  </m:sSubPr>
                  <m:e>
                    <m:r>
                      <m:rPr>
                        <m:scr m:val="script"/>
                      </m:rPr>
                      <w:rPr>
                        <w:rFonts w:eastAsia="MS Mincho"/>
                        <w:color w:val="000000"/>
                        <w:sz w:val="20"/>
                        <w:szCs w:val="20"/>
                      </w:rPr>
                      <m:t>N</m:t>
                    </m:r>
                    <m:ctrlPr>
                      <w:rPr>
                        <w:rFonts w:ascii="Cambria Math" w:hAnsi="Cambria Math"/>
                        <w:i/>
                        <w:color w:val="000000"/>
                        <w:sz w:val="20"/>
                        <w:szCs w:val="20"/>
                      </w:rPr>
                    </m:ctrlPr>
                  </m:e>
                  <m:sub>
                    <m:r>
                      <m:rPr>
                        <m:scr m:val="script"/>
                      </m:rPr>
                      <w:rPr>
                        <w:rFonts w:eastAsia="MS Mincho"/>
                        <w:color w:val="000000"/>
                        <w:sz w:val="20"/>
                        <w:szCs w:val="20"/>
                      </w:rPr>
                      <m:t>r</m:t>
                    </m:r>
                    <m:ctrlPr>
                      <w:rPr>
                        <w:rFonts w:ascii="Cambria Math" w:hAnsi="Cambria Math"/>
                        <w:i/>
                        <w:color w:val="000000"/>
                        <w:sz w:val="20"/>
                        <w:szCs w:val="20"/>
                      </w:rPr>
                    </m:ctrlPr>
                  </m:sub>
                </m:sSub>
                <m:d>
                  <m:dPr>
                    <m:ctrlPr>
                      <w:rPr>
                        <w:rFonts w:ascii="Cambria Math" w:hAnsi="Cambria Math"/>
                        <w:i/>
                        <w:color w:val="000000"/>
                        <w:sz w:val="20"/>
                        <w:szCs w:val="20"/>
                      </w:rPr>
                    </m:ctrlPr>
                  </m:dPr>
                  <m:e>
                    <m:r>
                      <m:rPr/>
                      <w:rPr>
                        <w:rFonts w:ascii="Cambria Math" w:hAnsi="Cambria Math"/>
                        <w:color w:val="000000"/>
                        <w:sz w:val="20"/>
                        <w:szCs w:val="20"/>
                      </w:rPr>
                      <m:t>i</m:t>
                    </m:r>
                    <m:ctrlPr>
                      <w:rPr>
                        <w:rFonts w:ascii="Cambria Math" w:hAnsi="Cambria Math"/>
                        <w:i/>
                        <w:color w:val="000000"/>
                        <w:sz w:val="20"/>
                        <w:szCs w:val="20"/>
                      </w:rPr>
                    </m:ctrlPr>
                  </m:e>
                </m:d>
                <m:ctrlPr>
                  <w:rPr>
                    <w:rFonts w:ascii="Cambria Math" w:hAnsi="Cambria Math"/>
                    <w:i/>
                    <w:color w:val="000000"/>
                    <w:sz w:val="20"/>
                    <w:szCs w:val="20"/>
                  </w:rPr>
                </m:ctrlPr>
              </m:e>
            </m:d>
            <m:ctrlPr>
              <w:rPr>
                <w:rFonts w:ascii="Cambria Math" w:hAnsi="Cambria Math"/>
                <w:i/>
                <w:color w:val="000000"/>
                <w:sz w:val="20"/>
                <w:szCs w:val="20"/>
              </w:rPr>
            </m:ctrlPr>
          </m:den>
        </m:f>
      </m:oMath>
      <w:r>
        <w:rPr>
          <w:color w:val="000000"/>
          <w:sz w:val="20"/>
          <w:szCs w:val="20"/>
        </w:rPr>
        <w:t>为关系</w:t>
      </w:r>
      <w:r>
        <w:rPr>
          <w:rFonts w:hint="eastAsia"/>
          <w:i/>
          <w:iCs/>
          <w:color w:val="000000"/>
          <w:sz w:val="20"/>
          <w:szCs w:val="20"/>
        </w:rPr>
        <w:t>r</w:t>
      </w:r>
      <w:r>
        <w:rPr>
          <w:color w:val="000000"/>
          <w:sz w:val="20"/>
          <w:szCs w:val="20"/>
        </w:rPr>
        <w:t>下的归一化系数</w:t>
      </w:r>
      <w:r>
        <w:rPr>
          <w:rFonts w:hint="eastAsia"/>
          <w:color w:val="000000"/>
          <w:sz w:val="20"/>
          <w:szCs w:val="20"/>
        </w:rPr>
        <w:t>（</w:t>
      </w:r>
      <w:r>
        <w:rPr>
          <w:color w:val="000000"/>
          <w:sz w:val="20"/>
          <w:szCs w:val="20"/>
        </w:rPr>
        <w:t>防止高度数节点的梯度爆炸</w:t>
      </w:r>
      <w:r>
        <w:rPr>
          <w:rFonts w:hint="eastAsia"/>
          <w:color w:val="000000"/>
          <w:sz w:val="20"/>
          <w:szCs w:val="20"/>
        </w:rPr>
        <w:t>）</w:t>
      </w:r>
      <w:r>
        <w:rPr>
          <w:color w:val="000000"/>
          <w:sz w:val="20"/>
          <w:szCs w:val="20"/>
        </w:rPr>
        <w:t>，</w:t>
      </w:r>
      <w:r>
        <w:rPr>
          <w:i/>
          <w:iCs/>
          <w:color w:val="000000"/>
          <w:sz w:val="20"/>
          <w:szCs w:val="20"/>
        </w:rPr>
        <w:t>σ</w:t>
      </w:r>
      <w:r>
        <w:rPr>
          <w:color w:val="000000"/>
          <w:sz w:val="20"/>
          <w:szCs w:val="20"/>
        </w:rPr>
        <w:t>为ReLU激活函数。输入层</w:t>
      </w:r>
      <m:oMath>
        <m:sSubSup>
          <m:sSubSupPr>
            <m:ctrlPr>
              <w:rPr>
                <w:rFonts w:ascii="Cambria Math" w:hAnsi="Cambria Math"/>
                <w:i/>
                <w:color w:val="000000"/>
                <w:sz w:val="20"/>
                <w:szCs w:val="20"/>
              </w:rPr>
            </m:ctrlPr>
          </m:sSubSupPr>
          <m:e>
            <m:r>
              <m:rPr/>
              <w:rPr>
                <w:rFonts w:ascii="Cambria Math" w:hAnsi="Cambria Math"/>
                <w:color w:val="000000"/>
                <w:sz w:val="20"/>
                <w:szCs w:val="20"/>
              </w:rPr>
              <m:t>x</m:t>
            </m:r>
            <m:ctrlPr>
              <w:rPr>
                <w:rFonts w:ascii="Cambria Math" w:hAnsi="Cambria Math"/>
                <w:i/>
                <w:color w:val="000000"/>
                <w:sz w:val="20"/>
                <w:szCs w:val="20"/>
              </w:rPr>
            </m:ctrlPr>
          </m:e>
          <m:sub>
            <m:r>
              <m:rPr/>
              <w:rPr>
                <w:rFonts w:ascii="Cambria Math" w:hAnsi="Cambria Math"/>
                <w:color w:val="000000"/>
                <w:sz w:val="20"/>
                <w:szCs w:val="20"/>
              </w:rPr>
              <m:t>i</m:t>
            </m:r>
            <m:ctrlPr>
              <w:rPr>
                <w:rFonts w:ascii="Cambria Math" w:hAnsi="Cambria Math"/>
                <w:i/>
                <w:color w:val="000000"/>
                <w:sz w:val="20"/>
                <w:szCs w:val="20"/>
              </w:rPr>
            </m:ctrlPr>
          </m:sub>
          <m:sup>
            <m:d>
              <m:dPr>
                <m:ctrlPr>
                  <w:rPr>
                    <w:rFonts w:ascii="Cambria Math" w:hAnsi="Cambria Math"/>
                    <w:i/>
                    <w:color w:val="000000"/>
                    <w:sz w:val="20"/>
                    <w:szCs w:val="20"/>
                  </w:rPr>
                </m:ctrlPr>
              </m:dPr>
              <m:e>
                <m:r>
                  <m:rPr/>
                  <w:rPr>
                    <w:rFonts w:ascii="Cambria Math" w:hAnsi="Cambria Math"/>
                    <w:color w:val="000000"/>
                    <w:sz w:val="20"/>
                    <w:szCs w:val="20"/>
                  </w:rPr>
                  <m:t>0</m:t>
                </m:r>
                <m:ctrlPr>
                  <w:rPr>
                    <w:rFonts w:ascii="Cambria Math" w:hAnsi="Cambria Math"/>
                    <w:i/>
                    <w:color w:val="000000"/>
                    <w:sz w:val="20"/>
                    <w:szCs w:val="20"/>
                  </w:rPr>
                </m:ctrlPr>
              </m:e>
            </m:d>
            <m:ctrlPr>
              <w:rPr>
                <w:rFonts w:ascii="Cambria Math" w:hAnsi="Cambria Math"/>
                <w:i/>
                <w:color w:val="000000"/>
                <w:sz w:val="20"/>
                <w:szCs w:val="20"/>
              </w:rPr>
            </m:ctrlPr>
          </m:sup>
        </m:sSubSup>
        <m:r>
          <m:rPr/>
          <w:rPr>
            <w:rFonts w:ascii="Cambria Math" w:hAnsi="Cambria Math"/>
            <w:color w:val="000000"/>
            <w:sz w:val="20"/>
            <w:szCs w:val="20"/>
          </w:rPr>
          <m:t>=</m:t>
        </m:r>
        <m:sSub>
          <m:sSubPr>
            <m:ctrlPr>
              <w:rPr>
                <w:rFonts w:ascii="Cambria Math" w:hAnsi="Cambria Math"/>
                <w:i/>
                <w:color w:val="000000"/>
                <w:sz w:val="20"/>
                <w:szCs w:val="20"/>
              </w:rPr>
            </m:ctrlPr>
          </m:sSubPr>
          <m:e>
            <m:r>
              <m:rPr/>
              <w:rPr>
                <w:rFonts w:ascii="Cambria Math" w:hAnsi="Cambria Math"/>
                <w:color w:val="000000"/>
                <w:sz w:val="20"/>
                <w:szCs w:val="20"/>
              </w:rPr>
              <m:t>x</m:t>
            </m:r>
            <m:ctrlPr>
              <w:rPr>
                <w:rFonts w:ascii="Cambria Math" w:hAnsi="Cambria Math"/>
                <w:i/>
                <w:color w:val="000000"/>
                <w:sz w:val="20"/>
                <w:szCs w:val="20"/>
              </w:rPr>
            </m:ctrlPr>
          </m:e>
          <m:sub>
            <m:r>
              <m:rPr/>
              <w:rPr>
                <w:rFonts w:ascii="Cambria Math" w:hAnsi="Cambria Math"/>
                <w:color w:val="000000"/>
                <w:sz w:val="20"/>
                <w:szCs w:val="20"/>
              </w:rPr>
              <m:t>i</m:t>
            </m:r>
            <m:ctrlPr>
              <w:rPr>
                <w:rFonts w:ascii="Cambria Math" w:hAnsi="Cambria Math"/>
                <w:i/>
                <w:color w:val="000000"/>
                <w:sz w:val="20"/>
                <w:szCs w:val="20"/>
              </w:rPr>
            </m:ctrlPr>
          </m:sub>
        </m:sSub>
      </m:oMath>
      <w:r>
        <w:rPr>
          <w:color w:val="000000"/>
          <w:sz w:val="20"/>
          <w:szCs w:val="20"/>
        </w:rPr>
        <w:t>，输出层</w:t>
      </w:r>
      <m:oMath>
        <m:sSubSup>
          <m:sSubSupPr>
            <m:ctrlPr>
              <w:rPr>
                <w:rFonts w:ascii="Cambria Math" w:hAnsi="Cambria Math"/>
                <w:i/>
                <w:color w:val="000000"/>
                <w:sz w:val="20"/>
                <w:szCs w:val="20"/>
              </w:rPr>
            </m:ctrlPr>
          </m:sSubSupPr>
          <m:e>
            <m:r>
              <m:rPr/>
              <w:rPr>
                <w:rFonts w:ascii="Cambria Math" w:hAnsi="Cambria Math"/>
                <w:color w:val="000000"/>
                <w:sz w:val="20"/>
                <w:szCs w:val="20"/>
              </w:rPr>
              <m:t>x</m:t>
            </m:r>
            <m:ctrlPr>
              <w:rPr>
                <w:rFonts w:ascii="Cambria Math" w:hAnsi="Cambria Math"/>
                <w:i/>
                <w:color w:val="000000"/>
                <w:sz w:val="20"/>
                <w:szCs w:val="20"/>
              </w:rPr>
            </m:ctrlPr>
          </m:e>
          <m:sub>
            <m:r>
              <m:rPr/>
              <w:rPr>
                <w:rFonts w:ascii="Cambria Math" w:hAnsi="Cambria Math"/>
                <w:color w:val="000000"/>
                <w:sz w:val="20"/>
                <w:szCs w:val="20"/>
              </w:rPr>
              <m:t>i</m:t>
            </m:r>
            <m:ctrlPr>
              <w:rPr>
                <w:rFonts w:ascii="Cambria Math" w:hAnsi="Cambria Math"/>
                <w:i/>
                <w:color w:val="000000"/>
                <w:sz w:val="20"/>
                <w:szCs w:val="20"/>
              </w:rPr>
            </m:ctrlPr>
          </m:sub>
          <m:sup>
            <m:d>
              <m:dPr>
                <m:ctrlPr>
                  <w:rPr>
                    <w:rFonts w:ascii="Cambria Math" w:hAnsi="Cambria Math"/>
                    <w:i/>
                    <w:color w:val="000000"/>
                    <w:sz w:val="20"/>
                    <w:szCs w:val="20"/>
                  </w:rPr>
                </m:ctrlPr>
              </m:dPr>
              <m:e>
                <m:r>
                  <m:rPr/>
                  <w:rPr>
                    <w:rFonts w:ascii="Cambria Math" w:hAnsi="Cambria Math"/>
                    <w:color w:val="000000"/>
                    <w:sz w:val="20"/>
                    <w:szCs w:val="20"/>
                  </w:rPr>
                  <m:t>2</m:t>
                </m:r>
                <m:ctrlPr>
                  <w:rPr>
                    <w:rFonts w:ascii="Cambria Math" w:hAnsi="Cambria Math"/>
                    <w:i/>
                    <w:color w:val="000000"/>
                    <w:sz w:val="20"/>
                    <w:szCs w:val="20"/>
                  </w:rPr>
                </m:ctrlPr>
              </m:e>
            </m:d>
            <m:ctrlPr>
              <w:rPr>
                <w:rFonts w:ascii="Cambria Math" w:hAnsi="Cambria Math"/>
                <w:i/>
                <w:color w:val="000000"/>
                <w:sz w:val="20"/>
                <w:szCs w:val="20"/>
              </w:rPr>
            </m:ctrlPr>
          </m:sup>
        </m:sSubSup>
      </m:oMath>
      <w:r>
        <w:rPr>
          <w:color w:val="000000"/>
          <w:sz w:val="20"/>
          <w:szCs w:val="20"/>
        </w:rPr>
        <w:t>作为128维节点表示</w:t>
      </w:r>
      <w:r>
        <w:rPr>
          <w:rFonts w:hint="eastAsia"/>
          <w:i/>
          <w:iCs/>
          <w:color w:val="000000"/>
          <w:sz w:val="20"/>
          <w:szCs w:val="20"/>
        </w:rPr>
        <w:t>X</w:t>
      </w:r>
      <w:r>
        <w:rPr>
          <w:rFonts w:hint="eastAsia"/>
          <w:i/>
          <w:iCs/>
          <w:color w:val="000000"/>
          <w:sz w:val="20"/>
          <w:szCs w:val="20"/>
          <w:vertAlign w:val="superscript"/>
        </w:rPr>
        <w:t>str</w:t>
      </w:r>
      <w:r>
        <w:rPr>
          <w:color w:val="000000"/>
          <w:sz w:val="20"/>
          <w:szCs w:val="20"/>
        </w:rPr>
        <w:t>。</w:t>
      </w:r>
    </w:p>
    <w:p w14:paraId="0085262B">
      <w:pPr>
        <w:pStyle w:val="7"/>
        <w:tabs>
          <w:tab w:val="center" w:pos="4363"/>
          <w:tab w:val="right" w:pos="8306"/>
        </w:tabs>
        <w:spacing w:after="60" w:line="240" w:lineRule="auto"/>
        <w:ind w:firstLine="400"/>
        <w:jc w:val="right"/>
        <w:rPr>
          <w:color w:val="000000"/>
          <w:sz w:val="20"/>
          <w:szCs w:val="20"/>
        </w:rPr>
      </w:pPr>
      <w:r>
        <w:rPr>
          <w:color w:val="000000"/>
          <w:position w:val="-43"/>
          <w:sz w:val="20"/>
          <w:szCs w:val="20"/>
        </w:rPr>
        <w:drawing>
          <wp:inline distT="0" distB="0" distL="0" distR="0">
            <wp:extent cx="3877310" cy="537845"/>
            <wp:effectExtent l="0" t="0" r="8890" b="8255"/>
            <wp:docPr id="7" name="Picture 1" descr="{&quot;mathml&quot;:&quot;&lt;math style=\&quot;font-family:stix;font-size:16px;\&quot; xmlns=\&quot;http://www.w3.org/1998/Math/MathML\&quot;&gt;&lt;msub&gt;&lt;msup&gt;&lt;mi&gt;X&lt;/mi&gt;&lt;mrow&gt;&lt;mo&gt;(&lt;/mo&gt;&lt;mi&gt;l&lt;/mi&gt;&lt;mo&gt;+&lt;/mo&gt;&lt;mn&gt;1&lt;/mn&gt;&lt;mo&gt;)&lt;/mo&gt;&lt;/mrow&gt;&lt;/msup&gt;&lt;mi&gt;i&lt;/mi&gt;&lt;/msub&gt;&lt;mo&gt;=&lt;/mo&gt;&lt;mi&gt;&amp;#x3C3;&lt;/mi&gt;&lt;mrow&gt;&lt;mo&gt;(&lt;/mo&gt;&lt;msup&gt;&lt;msub&gt;&lt;mi&gt;W&lt;/mi&gt;&lt;mn&gt;0&lt;/mn&gt;&lt;/msub&gt;&lt;mrow&gt;&lt;mo&gt;(&lt;/mo&gt;&lt;mi&gt;l&lt;/mi&gt;&lt;mo&gt;)&lt;/mo&gt;&lt;/mrow&gt;&lt;/msup&gt;&lt;msub&gt;&lt;msup&gt;&lt;mi&gt;X&lt;/mi&gt;&lt;mrow&gt;&lt;mo&gt;(&lt;/mo&gt;&lt;mi&gt;l&lt;/mi&gt;&lt;mo&gt;)&lt;/mo&gt;&lt;/mrow&gt;&lt;/msup&gt;&lt;mi&gt;i&lt;/mi&gt;&lt;/msub&gt;&lt;mo&gt;+&lt;/mo&gt;&lt;munder&gt;&lt;mo&gt;&amp;#x2211;&lt;/mo&gt;&lt;mrow&gt;&lt;mi&gt;r&lt;/mi&gt;&lt;mo&gt;&amp;#x2208;&lt;/mo&gt;&lt;mi&gt;R&lt;/mi&gt;&lt;/mrow&gt;&lt;/munder&gt;&lt;mfrac&gt;&lt;mn&gt;1&lt;/mn&gt;&lt;mrow&gt;&lt;mo&gt;|&lt;/mo&gt;&lt;msub&gt;&lt;mi mathvariant=\&quot;script\&quot;&gt;N&lt;/mi&gt;&lt;mi mathvariant=\&quot;script\&quot;&gt;r&lt;/mi&gt;&lt;/msub&gt;&lt;mo&gt;(&lt;/mo&gt;&lt;mi&gt;i&lt;/mi&gt;&lt;mo&gt;)&lt;/mo&gt;&lt;mo&gt;|&lt;/mo&gt;&lt;/mrow&gt;&lt;/mfrac&gt;&lt;munderover&gt;&lt;mo&gt;&amp;#x2211;&lt;/mo&gt;&lt;mrow&gt;&lt;mi&gt;b&lt;/mi&gt;&lt;mo&gt;=&lt;/mo&gt;&lt;mn&gt;1&lt;/mn&gt;&lt;/mrow&gt;&lt;mi&gt;B&lt;/mi&gt;&lt;/munderover&gt;&lt;msub&gt;&lt;mi&gt;a&lt;/mi&gt;&lt;mrow&gt;&lt;mi&gt;r&lt;/mi&gt;&lt;mi&gt;b&lt;/mi&gt;&lt;/mrow&gt;&lt;/msub&gt;&lt;msub&gt;&lt;mi&gt;V&lt;/mi&gt;&lt;mi&gt;b&lt;/mi&gt;&lt;/msub&gt;&lt;munder&gt;&lt;mo&gt;&amp;#x2211;&lt;/mo&gt;&lt;mrow&gt;&lt;mi&gt;j&lt;/mi&gt;&lt;mo&gt;&amp;#x2208;&lt;/mo&gt;&lt;msub&gt;&lt;mi mathvariant=\&quot;script\&quot;&gt;N&lt;/mi&gt;&lt;mi mathvariant=\&quot;script\&quot;&gt;r&lt;/mi&gt;&lt;/msub&gt;&lt;mo&gt;(&lt;/mo&gt;&lt;mi&gt;i&lt;/mi&gt;&lt;mo&gt;)&lt;/mo&gt;&lt;/mrow&gt;&lt;/munder&gt;&lt;msup&gt;&lt;msub&gt;&lt;mi&gt;X&lt;/mi&gt;&lt;mi&gt;j&lt;/mi&gt;&lt;/msub&gt;&lt;mrow&gt;&lt;mo&gt;(&lt;/mo&gt;&lt;mi&gt;l&lt;/mi&gt;&lt;mo&gt;)&lt;/mo&gt;&lt;/mrow&gt;&lt;/msup&gt;&lt;mo&gt;)&lt;/mo&gt;&lt;/mrow&gt;&lt;/math&gt;&quot;,&quot;origin&quot;:&quot;MathType Legacy&quot;,&quot;version&quot;:&quot;v3.23.0&quot;}" title="X 的 左括号 l 加 1 右括号 次方 下标 i 等于 sigma （ 小写 ） 左括号 W 下标 0 的 左括号 l 右括号 次方 X 的 左括号 l 右括号 次方 下标 i 加 加总 从 r 属于 R 对 分数 竖线 书法 N 下标 书法 r 左括号 i 右括号 竖线 分之 1 结束分数 加总 从 b 等于 1 到 B 对 a 下标 r b 结束下标 V 下标 b 加总 从 j 属于 书法 N 下标 书法 r 左括号 i 右括号 对 X 下标 j 的 左括号 l 右括号 次方 右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descr="{&quot;mathml&quot;:&quot;&lt;math style=\&quot;font-family:stix;font-size:16px;\&quot; xmlns=\&quot;http://www.w3.org/1998/Math/MathML\&quot;&gt;&lt;msub&gt;&lt;msup&gt;&lt;mi&gt;X&lt;/mi&gt;&lt;mrow&gt;&lt;mo&gt;(&lt;/mo&gt;&lt;mi&gt;l&lt;/mi&gt;&lt;mo&gt;+&lt;/mo&gt;&lt;mn&gt;1&lt;/mn&gt;&lt;mo&gt;)&lt;/mo&gt;&lt;/mrow&gt;&lt;/msup&gt;&lt;mi&gt;i&lt;/mi&gt;&lt;/msub&gt;&lt;mo&gt;=&lt;/mo&gt;&lt;mi&gt;&amp;#x3C3;&lt;/mi&gt;&lt;mrow&gt;&lt;mo&gt;(&lt;/mo&gt;&lt;msup&gt;&lt;msub&gt;&lt;mi&gt;W&lt;/mi&gt;&lt;mn&gt;0&lt;/mn&gt;&lt;/msub&gt;&lt;mrow&gt;&lt;mo&gt;(&lt;/mo&gt;&lt;mi&gt;l&lt;/mi&gt;&lt;mo&gt;)&lt;/mo&gt;&lt;/mrow&gt;&lt;/msup&gt;&lt;msub&gt;&lt;msup&gt;&lt;mi&gt;X&lt;/mi&gt;&lt;mrow&gt;&lt;mo&gt;(&lt;/mo&gt;&lt;mi&gt;l&lt;/mi&gt;&lt;mo&gt;)&lt;/mo&gt;&lt;/mrow&gt;&lt;/msup&gt;&lt;mi&gt;i&lt;/mi&gt;&lt;/msub&gt;&lt;mo&gt;+&lt;/mo&gt;&lt;munder&gt;&lt;mo&gt;&amp;#x2211;&lt;/mo&gt;&lt;mrow&gt;&lt;mi&gt;r&lt;/mi&gt;&lt;mo&gt;&amp;#x2208;&lt;/mo&gt;&lt;mi&gt;R&lt;/mi&gt;&lt;/mrow&gt;&lt;/munder&gt;&lt;mfrac&gt;&lt;mn&gt;1&lt;/mn&gt;&lt;mrow&gt;&lt;mo&gt;|&lt;/mo&gt;&lt;msub&gt;&lt;mi mathvariant=\&quot;script\&quot;&gt;N&lt;/mi&gt;&lt;mi mathvariant=\&quot;script\&quot;&gt;r&lt;/mi&gt;&lt;/msub&gt;&lt;mo&gt;(&lt;/mo&gt;&lt;mi&gt;i&lt;/mi&gt;&lt;mo&gt;)&lt;/mo&gt;&lt;mo&gt;|&lt;/mo&gt;&lt;/mrow&gt;&lt;/mfrac&gt;&lt;munderover&gt;&lt;mo&gt;&amp;#x2211;&lt;/mo&gt;&lt;mrow&gt;&lt;mi&gt;b&lt;/mi&gt;&lt;mo&gt;=&lt;/mo&gt;&lt;mn&gt;1&lt;/mn&gt;&lt;/mrow&gt;&lt;mi&gt;B&lt;/mi&gt;&lt;/munderover&gt;&lt;msub&gt;&lt;mi&gt;a&lt;/mi&gt;&lt;mrow&gt;&lt;mi&gt;r&lt;/mi&gt;&lt;mi&gt;b&lt;/mi&gt;&lt;/mrow&gt;&lt;/msub&gt;&lt;msub&gt;&lt;mi&gt;V&lt;/mi&gt;&lt;mi&gt;b&lt;/mi&gt;&lt;/msub&gt;&lt;munder&gt;&lt;mo&gt;&amp;#x2211;&lt;/mo&gt;&lt;mrow&gt;&lt;mi&gt;j&lt;/mi&gt;&lt;mo&gt;&amp;#x2208;&lt;/mo&gt;&lt;msub&gt;&lt;mi mathvariant=\&quot;script\&quot;&gt;N&lt;/mi&gt;&lt;mi mathvariant=\&quot;script\&quot;&gt;r&lt;/mi&gt;&lt;/msub&gt;&lt;mo&gt;(&lt;/mo&gt;&lt;mi&gt;i&lt;/mi&gt;&lt;mo&gt;)&lt;/mo&gt;&lt;/mrow&gt;&lt;/munder&gt;&lt;msup&gt;&lt;msub&gt;&lt;mi&gt;X&lt;/mi&gt;&lt;mi&gt;j&lt;/mi&gt;&lt;/msub&gt;&lt;mrow&gt;&lt;mo&gt;(&lt;/mo&gt;&lt;mi&gt;l&lt;/mi&gt;&lt;mo&gt;)&lt;/mo&gt;&lt;/mrow&gt;&lt;/msup&gt;&lt;mo&gt;)&lt;/mo&gt;&lt;/mrow&gt;&lt;/math&gt;&quot;,&quot;origin&quot;:&quot;MathType Legacy&quot;,&quot;version&quot;:&quot;v3.23.0&quot;}" title="X 的 左括号 l 加 1 右括号 次方 下标 i 等于 sigma （ 小写 ） 左括号 W 下标 0 的 左括号 l 右括号 次方 X 的 左括号 l 右括号 次方 下标 i 加 加总 从 r 属于 R 对 分数 竖线 书法 N 下标 书法 r 左括号 i 右括号 竖线 分之 1 结束分数 加总 从 b 等于 1 到 B 对 a 下标 r b 结束下标 V 下标 b 加总 从 j 属于 书法 N 下标 书法 r 左括号 i 右括号 对 X 下标 j 的 左括号 l 右括号 次方 右括号"/>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3877310" cy="537845"/>
                    </a:xfrm>
                    <a:prstGeom prst="rect">
                      <a:avLst/>
                    </a:prstGeom>
                  </pic:spPr>
                </pic:pic>
              </a:graphicData>
            </a:graphic>
          </wp:inline>
        </w:drawing>
      </w:r>
      <w:r>
        <w:rPr>
          <w:rFonts w:hint="eastAsia"/>
          <w:color w:val="000000"/>
          <w:position w:val="-43"/>
          <w:sz w:val="20"/>
          <w:szCs w:val="20"/>
        </w:rPr>
        <w:t xml:space="preserve">   </w:t>
      </w:r>
      <w:r>
        <w:rPr>
          <w:rFonts w:hint="eastAsia"/>
          <w:color w:val="000000"/>
          <w:sz w:val="20"/>
          <w:szCs w:val="20"/>
        </w:rPr>
        <w:t>（20）</w:t>
      </w:r>
    </w:p>
    <w:p w14:paraId="79612374">
      <w:pPr>
        <w:pStyle w:val="7"/>
        <w:spacing w:after="60" w:line="240" w:lineRule="auto"/>
        <w:ind w:firstLine="400"/>
        <w:rPr>
          <w:color w:val="000000"/>
          <w:sz w:val="20"/>
          <w:szCs w:val="20"/>
        </w:rPr>
      </w:pPr>
      <w:r>
        <w:rPr>
          <w:rFonts w:hint="eastAsia"/>
          <w:color w:val="000000"/>
          <w:sz w:val="20"/>
          <w:szCs w:val="20"/>
        </w:rPr>
        <w:t>RGCN对同一关系类型的所有邻居施加相同变换，缺乏基于节点语义的动态区分能力。</w:t>
      </w:r>
    </w:p>
    <w:p w14:paraId="5DBD225B">
      <w:pPr>
        <w:pStyle w:val="7"/>
        <w:spacing w:after="60" w:line="240" w:lineRule="auto"/>
        <w:ind w:firstLine="400"/>
        <w:rPr>
          <w:b/>
          <w:bCs/>
          <w:color w:val="000000"/>
          <w:sz w:val="20"/>
          <w:szCs w:val="20"/>
        </w:rPr>
      </w:pPr>
      <w:r>
        <w:rPr>
          <w:rFonts w:hint="eastAsia"/>
          <w:color w:val="000000"/>
          <w:sz w:val="20"/>
          <w:szCs w:val="20"/>
        </w:rPr>
        <w:t>由于GATv2侧重语义相似性驱动的动态聚合，而RGCN侧重关系类型驱动的结构建模，二者在建模能力上具有天然互补性：GATv2弥补RGCN的语义区分能力不足、RGCN弥补GATv2对关系类型不敏感的问题。因此，采用双流并行架构能够在统一框架下同时捕获节点语义与关系结构信息。该设计具有如下优势：1）表示独立性：两流分别学习语义相似性与结构依赖关系，避免信息混叠；2）互补性增强：通过后期融合保留两类信息的判别特征；3）冲突缓解：降低语义相似但结构不一致（或反之）样本对模型的干扰。从表示学习角度，该解耦过程可视为对联合分布的分解建模，从而在保证表达能力的同时提升学习稳定性。</w:t>
      </w:r>
    </w:p>
    <w:p w14:paraId="2E7DB366">
      <w:pPr>
        <w:pStyle w:val="7"/>
        <w:spacing w:line="240" w:lineRule="auto"/>
        <w:ind w:firstLine="402"/>
        <w:rPr>
          <w:b/>
          <w:bCs/>
          <w:color w:val="000000"/>
          <w:sz w:val="20"/>
          <w:szCs w:val="20"/>
        </w:rPr>
      </w:pPr>
      <w:r>
        <w:rPr>
          <w:rFonts w:hint="eastAsia"/>
          <w:b/>
          <w:bCs/>
          <w:color w:val="000000"/>
          <w:sz w:val="20"/>
          <w:szCs w:val="20"/>
        </w:rPr>
        <w:t>（3）自适应门控融合机制</w:t>
      </w:r>
    </w:p>
    <w:p w14:paraId="37790BC6">
      <w:pPr>
        <w:pStyle w:val="7"/>
        <w:spacing w:after="60" w:line="240" w:lineRule="auto"/>
        <w:ind w:firstLine="400"/>
        <w:rPr>
          <w:color w:val="000000"/>
          <w:sz w:val="20"/>
          <w:szCs w:val="20"/>
        </w:rPr>
      </w:pPr>
      <w:r>
        <w:rPr>
          <w:rFonts w:hint="eastAsia"/>
          <w:color w:val="000000"/>
          <w:sz w:val="20"/>
          <w:szCs w:val="20"/>
        </w:rPr>
        <w:t>为避免固定融合策略带来的信息偏置[23][</w:t>
      </w:r>
      <w:r>
        <w:rPr>
          <w:rFonts w:hint="eastAsia"/>
          <w:color w:val="000000"/>
          <w:sz w:val="20"/>
          <w:szCs w:val="20"/>
          <w:lang w:eastAsia="zh"/>
        </w:rPr>
        <w:t>38</w:t>
      </w:r>
      <w:r>
        <w:rPr>
          <w:rFonts w:hint="eastAsia"/>
          <w:color w:val="000000"/>
          <w:sz w:val="20"/>
          <w:szCs w:val="20"/>
        </w:rPr>
        <w:t>]，本文设计逐节点门控机制，实现双流信息的自适应融合。具体如公式（21）和（22）所示，其中</w:t>
      </w:r>
      <w:r>
        <w:rPr>
          <w:rStyle w:val="18"/>
          <w:i/>
          <w:iCs/>
          <w:color w:val="000000"/>
          <w:sz w:val="20"/>
          <w:szCs w:val="20"/>
        </w:rPr>
        <w:t>W</w:t>
      </w:r>
      <w:r>
        <w:rPr>
          <w:rStyle w:val="18"/>
          <w:i/>
          <w:iCs/>
          <w:color w:val="000000"/>
          <w:sz w:val="20"/>
          <w:szCs w:val="20"/>
          <w:vertAlign w:val="subscript"/>
        </w:rPr>
        <w:t>i</w:t>
      </w:r>
      <w:r>
        <w:rPr>
          <w:rFonts w:cs="宋体"/>
          <w:color w:val="000000"/>
          <w:sz w:val="20"/>
          <w:szCs w:val="20"/>
        </w:rPr>
        <w:t>表示可学习权重参数，</w:t>
      </w:r>
      <w:r>
        <w:rPr>
          <w:rStyle w:val="18"/>
          <w:i/>
          <w:iCs/>
          <w:color w:val="000000"/>
          <w:sz w:val="20"/>
          <w:szCs w:val="20"/>
        </w:rPr>
        <w:t>X</w:t>
      </w:r>
      <w:r>
        <w:rPr>
          <w:rStyle w:val="18"/>
          <w:rFonts w:hint="eastAsia"/>
          <w:i/>
          <w:iCs/>
          <w:color w:val="000000"/>
          <w:sz w:val="20"/>
          <w:szCs w:val="20"/>
          <w:vertAlign w:val="superscript"/>
        </w:rPr>
        <w:t>sem</w:t>
      </w:r>
      <w:r>
        <w:rPr>
          <w:rStyle w:val="18"/>
          <w:rFonts w:hint="eastAsia"/>
          <w:color w:val="000000"/>
          <w:sz w:val="20"/>
          <w:szCs w:val="20"/>
        </w:rPr>
        <w:t>为</w:t>
      </w:r>
      <w:r>
        <w:rPr>
          <w:rFonts w:cs="宋体"/>
          <w:color w:val="000000"/>
          <w:sz w:val="20"/>
          <w:szCs w:val="20"/>
        </w:rPr>
        <w:t>语义</w:t>
      </w:r>
      <w:r>
        <w:rPr>
          <w:rFonts w:hint="eastAsia" w:cs="宋体"/>
          <w:color w:val="000000"/>
          <w:sz w:val="20"/>
          <w:szCs w:val="20"/>
        </w:rPr>
        <w:t>流表示</w:t>
      </w:r>
      <w:r>
        <w:rPr>
          <w:rFonts w:cs="宋体"/>
          <w:color w:val="000000"/>
          <w:sz w:val="20"/>
          <w:szCs w:val="20"/>
        </w:rPr>
        <w:t>，</w:t>
      </w:r>
      <w:r>
        <w:rPr>
          <w:rStyle w:val="18"/>
          <w:i/>
          <w:iCs/>
          <w:color w:val="000000"/>
          <w:sz w:val="20"/>
          <w:szCs w:val="20"/>
        </w:rPr>
        <w:t>b</w:t>
      </w:r>
      <w:r>
        <w:rPr>
          <w:rStyle w:val="18"/>
          <w:i/>
          <w:iCs/>
          <w:color w:val="000000"/>
          <w:sz w:val="20"/>
          <w:szCs w:val="20"/>
          <w:vertAlign w:val="subscript"/>
        </w:rPr>
        <w:t>i</w:t>
      </w:r>
      <w:r>
        <w:rPr>
          <w:rFonts w:cs="宋体"/>
          <w:color w:val="000000"/>
          <w:sz w:val="20"/>
          <w:szCs w:val="20"/>
        </w:rPr>
        <w:t>表示偏置项，</w:t>
      </w:r>
      <w:r>
        <w:rPr>
          <w:rStyle w:val="18"/>
          <w:i/>
          <w:iCs/>
          <w:color w:val="000000"/>
          <w:sz w:val="20"/>
          <w:szCs w:val="20"/>
        </w:rPr>
        <w:t>e</w:t>
      </w:r>
      <w:r>
        <w:rPr>
          <w:rFonts w:cs="宋体"/>
          <w:color w:val="000000"/>
          <w:sz w:val="20"/>
          <w:szCs w:val="20"/>
        </w:rPr>
        <w:t>表示中间隐层表示。最终，通过门控机制对两路表示进行加权融合，得到节点的综合表示</w:t>
      </w:r>
      <w:r>
        <w:rPr>
          <w:rStyle w:val="18"/>
          <w:i/>
          <w:iCs/>
          <w:color w:val="000000"/>
          <w:sz w:val="20"/>
          <w:szCs w:val="20"/>
        </w:rPr>
        <w:t>X</w:t>
      </w:r>
      <w:r>
        <w:rPr>
          <w:rStyle w:val="18"/>
          <w:i/>
          <w:iCs/>
          <w:color w:val="000000"/>
          <w:sz w:val="20"/>
          <w:szCs w:val="20"/>
          <w:vertAlign w:val="superscript"/>
        </w:rPr>
        <w:t>fused</w:t>
      </w:r>
      <w:r>
        <w:rPr>
          <w:rFonts w:cs="宋体"/>
          <w:color w:val="000000"/>
          <w:sz w:val="20"/>
          <w:szCs w:val="20"/>
        </w:rPr>
        <w:t>，从而在不同节点上实现语义信息与结构信息的自适应平衡，提高模型整体表达能力与归因性能。</w:t>
      </w:r>
    </w:p>
    <w:p w14:paraId="2567C7AA">
      <w:pPr>
        <w:pStyle w:val="7"/>
        <w:spacing w:after="60" w:line="240" w:lineRule="auto"/>
        <w:ind w:firstLine="0" w:firstLineChars="0"/>
        <w:jc w:val="right"/>
        <w:rPr>
          <w:color w:val="000000"/>
          <w:sz w:val="20"/>
          <w:szCs w:val="20"/>
        </w:rPr>
      </w:pPr>
      <w:r>
        <w:rPr>
          <w:rFonts w:hint="eastAsia"/>
          <w:color w:val="000000"/>
          <w:position w:val="-12"/>
          <w:sz w:val="20"/>
          <w:szCs w:val="20"/>
        </w:rPr>
        <w:object>
          <v:shape id="_x0000_i1035" o:spt="75" type="#_x0000_t75" style="height:19pt;width:203pt;" o:ole="t" filled="f" o:preferrelative="t" stroked="f" coordsize="21600,21600">
            <v:path/>
            <v:fill on="f" focussize="0,0"/>
            <v:stroke on="f" joinstyle="miter"/>
            <v:imagedata r:id="rId37" o:title=""/>
            <o:lock v:ext="edit" aspectratio="f"/>
            <w10:wrap type="none"/>
            <w10:anchorlock/>
          </v:shape>
          <o:OLEObject Type="Embed" ProgID="Equation.DSMT4" ShapeID="_x0000_i1035" DrawAspect="Content" ObjectID="_1468075735" r:id="rId36">
            <o:LockedField>false</o:LockedField>
          </o:OLEObject>
        </w:object>
      </w:r>
      <w:r>
        <w:rPr>
          <w:rFonts w:hint="eastAsia"/>
          <w:color w:val="000000"/>
          <w:position w:val="-12"/>
          <w:sz w:val="20"/>
          <w:szCs w:val="20"/>
        </w:rPr>
        <w:t xml:space="preserve">             </w:t>
      </w:r>
      <w:r>
        <w:rPr>
          <w:rFonts w:hint="eastAsia"/>
          <w:color w:val="000000"/>
          <w:sz w:val="20"/>
          <w:szCs w:val="20"/>
        </w:rPr>
        <w:t>（21）</w:t>
      </w:r>
    </w:p>
    <w:p w14:paraId="59AE228D">
      <w:pPr>
        <w:pStyle w:val="7"/>
        <w:spacing w:line="240" w:lineRule="auto"/>
        <w:ind w:firstLine="400"/>
        <w:jc w:val="right"/>
        <w:rPr>
          <w:color w:val="000000"/>
          <w:sz w:val="20"/>
          <w:szCs w:val="20"/>
        </w:rPr>
      </w:pPr>
      <w:r>
        <w:rPr>
          <w:color w:val="000000"/>
          <w:position w:val="-6"/>
          <w:sz w:val="20"/>
          <w:szCs w:val="20"/>
        </w:rPr>
        <w:drawing>
          <wp:inline distT="0" distB="0" distL="0" distR="0">
            <wp:extent cx="2406015" cy="165100"/>
            <wp:effectExtent l="0" t="0" r="6985" b="0"/>
            <wp:docPr id="8" name="Picture 1" descr="{&quot;mathml&quot;:&quot;&lt;math style=\&quot;font-family:stix;font-size:16px;\&quot; xmlns=\&quot;http://www.w3.org/1998/Math/MathML\&quot;&gt;&lt;msup&gt;&lt;mi&gt;X&lt;/mi&gt;&lt;mrow&gt;&lt;mi&gt;f&lt;/mi&gt;&lt;mi&gt;u&lt;/mi&gt;&lt;mi&gt;s&lt;/mi&gt;&lt;mi&gt;e&lt;/mi&gt;&lt;mi&gt;d&lt;/mi&gt;&lt;/mrow&gt;&lt;/msup&gt;&lt;mo&gt;=&lt;/mo&gt;&lt;mi&gt;&amp;#x3B1;&lt;/mi&gt;&lt;mo&gt;&amp;#x2299;&lt;/mo&gt;&lt;msup&gt;&lt;mi&gt;X&lt;/mi&gt;&lt;mrow&gt;&lt;mi&gt;s&lt;/mi&gt;&lt;mi&gt;e&lt;/mi&gt;&lt;mi&gt;m&lt;/mi&gt;&lt;/mrow&gt;&lt;/msup&gt;&lt;mo&gt;+&lt;/mo&gt;&lt;mo&gt;(&lt;/mo&gt;&lt;mn&gt;1&lt;/mn&gt;&lt;mo&gt;&amp;#x2212;&lt;/mo&gt;&lt;mi&gt;&amp;#x3B1;&lt;/mi&gt;&lt;mo&gt;)&lt;/mo&gt;&lt;mo&gt;&amp;#x2299;&lt;/mo&gt;&lt;msup&gt;&lt;mi&gt;X&lt;/mi&gt;&lt;mrow&gt;&lt;mi&gt;s&lt;/mi&gt;&lt;mi&gt;t&lt;/mi&gt;&lt;mi&gt;r&lt;/mi&gt;&lt;/mrow&gt;&lt;/msup&gt;&lt;/math&gt;&quot;,&quot;origin&quot;:&quot;MathType Legacy&quot;,&quot;version&quot;:&quot;v3.23.0&quot;}" title="X 的 f u s e d 次方 等于 alpha （ 小写 ） 带圆圈的圆点 X 的 s e m 次方 加 左括号 1 减 alpha （ 小写 ） 右括号 带圆圈的圆点 X 的 s t r 次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quot;mathml&quot;:&quot;&lt;math style=\&quot;font-family:stix;font-size:16px;\&quot; xmlns=\&quot;http://www.w3.org/1998/Math/MathML\&quot;&gt;&lt;msup&gt;&lt;mi&gt;X&lt;/mi&gt;&lt;mrow&gt;&lt;mi&gt;f&lt;/mi&gt;&lt;mi&gt;u&lt;/mi&gt;&lt;mi&gt;s&lt;/mi&gt;&lt;mi&gt;e&lt;/mi&gt;&lt;mi&gt;d&lt;/mi&gt;&lt;/mrow&gt;&lt;/msup&gt;&lt;mo&gt;=&lt;/mo&gt;&lt;mi&gt;&amp;#x3B1;&lt;/mi&gt;&lt;mo&gt;&amp;#x2299;&lt;/mo&gt;&lt;msup&gt;&lt;mi&gt;X&lt;/mi&gt;&lt;mrow&gt;&lt;mi&gt;s&lt;/mi&gt;&lt;mi&gt;e&lt;/mi&gt;&lt;mi&gt;m&lt;/mi&gt;&lt;/mrow&gt;&lt;/msup&gt;&lt;mo&gt;+&lt;/mo&gt;&lt;mo&gt;(&lt;/mo&gt;&lt;mn&gt;1&lt;/mn&gt;&lt;mo&gt;&amp;#x2212;&lt;/mo&gt;&lt;mi&gt;&amp;#x3B1;&lt;/mi&gt;&lt;mo&gt;)&lt;/mo&gt;&lt;mo&gt;&amp;#x2299;&lt;/mo&gt;&lt;msup&gt;&lt;mi&gt;X&lt;/mi&gt;&lt;mrow&gt;&lt;mi&gt;s&lt;/mi&gt;&lt;mi&gt;t&lt;/mi&gt;&lt;mi&gt;r&lt;/mi&gt;&lt;/mrow&gt;&lt;/msup&gt;&lt;/math&gt;&quot;,&quot;origin&quot;:&quot;MathType Legacy&quot;,&quot;version&quot;:&quot;v3.23.0&quot;}" title="X 的 f u s e d 次方 等于 alpha （ 小写 ） 带圆圈的圆点 X 的 s e m 次方 加 左括号 1 减 alpha （ 小写 ） 右括号 带圆圈的圆点 X 的 s t r 次方"/>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0" y="0"/>
                      <a:ext cx="2406015" cy="165100"/>
                    </a:xfrm>
                    <a:prstGeom prst="rect">
                      <a:avLst/>
                    </a:prstGeom>
                  </pic:spPr>
                </pic:pic>
              </a:graphicData>
            </a:graphic>
          </wp:inline>
        </w:drawing>
      </w:r>
      <w:r>
        <w:rPr>
          <w:rFonts w:hint="eastAsia"/>
          <w:color w:val="000000"/>
          <w:sz w:val="20"/>
          <w:szCs w:val="20"/>
        </w:rPr>
        <w:t xml:space="preserve">              （22）</w:t>
      </w:r>
    </w:p>
    <w:p w14:paraId="1E13110B">
      <w:pPr>
        <w:pStyle w:val="7"/>
        <w:spacing w:line="240" w:lineRule="auto"/>
        <w:ind w:firstLine="400"/>
        <w:rPr>
          <w:color w:val="000000"/>
          <w:sz w:val="20"/>
          <w:szCs w:val="20"/>
        </w:rPr>
      </w:pPr>
      <w:r>
        <w:rPr>
          <w:rFonts w:hint="eastAsia"/>
          <w:color w:val="000000"/>
          <w:sz w:val="20"/>
          <w:szCs w:val="20"/>
        </w:rPr>
        <w:t>该机制具有以下优势：1）样本自适应性：根据节点特性动态调整信息来源，2）可解释性增强：门控权重可作为归因依据，3）避免信息冲突：缓解语义与结构表示不一致问题。相较拼接或加权求和等固定策略，该方法能够显式建模不同信息源的重要性分布。</w:t>
      </w:r>
    </w:p>
    <w:p w14:paraId="44A1B226">
      <w:pPr>
        <w:pStyle w:val="7"/>
        <w:spacing w:line="240" w:lineRule="auto"/>
        <w:ind w:firstLine="402"/>
        <w:rPr>
          <w:b/>
          <w:bCs/>
          <w:color w:val="000000"/>
          <w:sz w:val="20"/>
          <w:szCs w:val="20"/>
        </w:rPr>
      </w:pPr>
      <w:r>
        <w:rPr>
          <w:rFonts w:hint="eastAsia"/>
          <w:b/>
          <w:bCs/>
          <w:color w:val="000000"/>
          <w:sz w:val="20"/>
          <w:szCs w:val="20"/>
        </w:rPr>
        <w:t>（4）类别不平衡优化</w:t>
      </w:r>
    </w:p>
    <w:p w14:paraId="049EF65D">
      <w:pPr>
        <w:pStyle w:val="7"/>
        <w:spacing w:line="240" w:lineRule="auto"/>
        <w:ind w:firstLine="400"/>
        <w:rPr>
          <w:color w:val="000000"/>
          <w:sz w:val="20"/>
          <w:szCs w:val="20"/>
        </w:rPr>
      </w:pPr>
      <w:r>
        <w:rPr>
          <w:rFonts w:hint="eastAsia"/>
          <w:color w:val="000000"/>
          <w:sz w:val="20"/>
          <w:szCs w:val="20"/>
        </w:rPr>
        <w:t>针对APT归因中的长尾分布问题，本文采用如公式（23）所示的加权交叉熵与Focal Loss的联合优化目标[</w:t>
      </w:r>
      <w:r>
        <w:rPr>
          <w:rFonts w:hint="eastAsia"/>
          <w:color w:val="000000"/>
          <w:sz w:val="20"/>
          <w:szCs w:val="20"/>
          <w:lang w:eastAsia="zh"/>
        </w:rPr>
        <w:t>45</w:t>
      </w:r>
      <w:r>
        <w:rPr>
          <w:rFonts w:hint="eastAsia"/>
          <w:color w:val="000000"/>
          <w:sz w:val="20"/>
          <w:szCs w:val="20"/>
        </w:rPr>
        <w:t>]，其中</w:t>
      </w:r>
      <w:r>
        <w:rPr>
          <w:i/>
          <w:iCs/>
          <w:color w:val="000000"/>
          <w:sz w:val="20"/>
          <w:szCs w:val="20"/>
        </w:rPr>
        <w:t>N</w:t>
      </w:r>
      <w:r>
        <w:rPr>
          <w:color w:val="000000"/>
          <w:sz w:val="20"/>
          <w:szCs w:val="20"/>
        </w:rPr>
        <w:t>为总样本数</w:t>
      </w:r>
      <w:r>
        <w:rPr>
          <w:rFonts w:hint="eastAsia"/>
          <w:color w:val="000000"/>
          <w:sz w:val="20"/>
          <w:szCs w:val="20"/>
        </w:rPr>
        <w:t>，</w:t>
      </w:r>
      <m:oMath>
        <m:sSub>
          <m:sSubPr>
            <m:ctrlPr>
              <w:rPr>
                <w:rFonts w:ascii="Cambria Math" w:hAnsi="Cambria Math"/>
                <w:i/>
                <w:color w:val="000000"/>
                <w:sz w:val="20"/>
                <w:szCs w:val="20"/>
              </w:rPr>
            </m:ctrlPr>
          </m:sSubPr>
          <m:e>
            <m:r>
              <m:rPr/>
              <w:rPr>
                <w:rFonts w:ascii="Cambria Math" w:hAnsi="Cambria Math"/>
                <w:color w:val="000000"/>
                <w:sz w:val="20"/>
                <w:szCs w:val="20"/>
              </w:rPr>
              <m:t>w</m:t>
            </m:r>
            <m:ctrlPr>
              <w:rPr>
                <w:rFonts w:ascii="Cambria Math" w:hAnsi="Cambria Math"/>
                <w:i/>
                <w:color w:val="000000"/>
                <w:sz w:val="20"/>
                <w:szCs w:val="20"/>
              </w:rPr>
            </m:ctrlPr>
          </m:e>
          <m:sub>
            <m:r>
              <m:rPr/>
              <w:rPr>
                <w:rFonts w:ascii="Cambria Math" w:hAnsi="Cambria Math"/>
                <w:color w:val="000000"/>
                <w:sz w:val="20"/>
                <w:szCs w:val="20"/>
              </w:rPr>
              <m:t>yi</m:t>
            </m:r>
            <m:ctrlPr>
              <w:rPr>
                <w:rFonts w:ascii="Cambria Math" w:hAnsi="Cambria Math"/>
                <w:i/>
                <w:color w:val="000000"/>
                <w:sz w:val="20"/>
                <w:szCs w:val="20"/>
              </w:rPr>
            </m:ctrlPr>
          </m:sub>
        </m:sSub>
        <m:r>
          <m:rPr/>
          <w:rPr>
            <w:rFonts w:ascii="Cambria Math" w:hAnsi="Cambria Math"/>
            <w:color w:val="000000"/>
            <w:sz w:val="20"/>
            <w:szCs w:val="20"/>
          </w:rPr>
          <m:t>=</m:t>
        </m:r>
        <m:f>
          <m:fPr>
            <m:ctrlPr>
              <w:rPr>
                <w:rFonts w:ascii="Cambria Math" w:hAnsi="Cambria Math"/>
                <w:i/>
                <w:color w:val="000000"/>
                <w:sz w:val="20"/>
                <w:szCs w:val="20"/>
              </w:rPr>
            </m:ctrlPr>
          </m:fPr>
          <m:num>
            <m:r>
              <m:rPr/>
              <w:rPr>
                <w:rFonts w:ascii="Cambria Math" w:hAnsi="Cambria Math"/>
                <w:color w:val="000000"/>
                <w:sz w:val="20"/>
                <w:szCs w:val="20"/>
              </w:rPr>
              <m:t>1</m:t>
            </m:r>
            <m:ctrlPr>
              <w:rPr>
                <w:rFonts w:ascii="Cambria Math" w:hAnsi="Cambria Math"/>
                <w:i/>
                <w:color w:val="000000"/>
                <w:sz w:val="20"/>
                <w:szCs w:val="20"/>
              </w:rPr>
            </m:ctrlPr>
          </m:num>
          <m:den>
            <m:sSub>
              <m:sSubPr>
                <m:ctrlPr>
                  <w:rPr>
                    <w:rFonts w:ascii="Cambria Math" w:hAnsi="Cambria Math"/>
                    <w:i/>
                    <w:color w:val="000000"/>
                    <w:sz w:val="20"/>
                    <w:szCs w:val="20"/>
                  </w:rPr>
                </m:ctrlPr>
              </m:sSubPr>
              <m:e>
                <m:r>
                  <m:rPr/>
                  <w:rPr>
                    <w:rFonts w:ascii="Cambria Math" w:hAnsi="Cambria Math"/>
                    <w:color w:val="000000"/>
                    <w:sz w:val="20"/>
                    <w:szCs w:val="20"/>
                  </w:rPr>
                  <m:t>n</m:t>
                </m:r>
                <m:ctrlPr>
                  <w:rPr>
                    <w:rFonts w:ascii="Cambria Math" w:hAnsi="Cambria Math"/>
                    <w:i/>
                    <w:color w:val="000000"/>
                    <w:sz w:val="20"/>
                    <w:szCs w:val="20"/>
                  </w:rPr>
                </m:ctrlPr>
              </m:e>
              <m:sub>
                <m:r>
                  <m:rPr/>
                  <w:rPr>
                    <w:rFonts w:ascii="Cambria Math" w:hAnsi="Cambria Math"/>
                    <w:color w:val="000000"/>
                    <w:sz w:val="20"/>
                    <w:szCs w:val="20"/>
                  </w:rPr>
                  <m:t>yi</m:t>
                </m:r>
                <m:ctrlPr>
                  <w:rPr>
                    <w:rFonts w:ascii="Cambria Math" w:hAnsi="Cambria Math"/>
                    <w:i/>
                    <w:color w:val="000000"/>
                    <w:sz w:val="20"/>
                    <w:szCs w:val="20"/>
                  </w:rPr>
                </m:ctrlPr>
              </m:sub>
            </m:sSub>
            <m:ctrlPr>
              <w:rPr>
                <w:rFonts w:ascii="Cambria Math" w:hAnsi="Cambria Math"/>
                <w:i/>
                <w:color w:val="000000"/>
                <w:sz w:val="20"/>
                <w:szCs w:val="20"/>
              </w:rPr>
            </m:ctrlPr>
          </m:den>
        </m:f>
      </m:oMath>
      <w:r>
        <w:rPr>
          <w:color w:val="000000"/>
          <w:sz w:val="20"/>
          <w:szCs w:val="20"/>
        </w:rPr>
        <w:t>为类别</w:t>
      </w:r>
      <w:r>
        <w:rPr>
          <w:i/>
          <w:iCs/>
          <w:color w:val="000000"/>
          <w:sz w:val="20"/>
          <w:szCs w:val="20"/>
        </w:rPr>
        <w:t>yi</w:t>
      </w:r>
      <w:r>
        <w:rPr>
          <w:color w:val="000000"/>
          <w:sz w:val="20"/>
          <w:szCs w:val="20"/>
        </w:rPr>
        <w:t>的权重（</w:t>
      </w:r>
      <w:r>
        <w:rPr>
          <w:i/>
          <w:iCs/>
          <w:color w:val="000000"/>
          <w:sz w:val="20"/>
          <w:szCs w:val="20"/>
        </w:rPr>
        <w:t>n</w:t>
      </w:r>
      <w:r>
        <w:rPr>
          <w:i/>
          <w:iCs/>
          <w:color w:val="000000"/>
          <w:sz w:val="20"/>
          <w:szCs w:val="20"/>
          <w:vertAlign w:val="subscript"/>
        </w:rPr>
        <w:t>yi</w:t>
      </w:r>
      <w:r>
        <w:rPr>
          <w:color w:val="000000"/>
          <w:sz w:val="20"/>
          <w:szCs w:val="20"/>
        </w:rPr>
        <w:t>为该类别样本数），</w:t>
      </w:r>
      <m:oMath>
        <m:r>
          <m:rPr/>
          <w:rPr>
            <w:rFonts w:ascii="Cambria Math" w:hAnsi="Cambria Math"/>
            <w:color w:val="000000"/>
            <w:sz w:val="20"/>
            <w:szCs w:val="20"/>
          </w:rPr>
          <m:t>p</m:t>
        </m:r>
        <m:sSub>
          <m:sSubPr>
            <m:ctrlPr>
              <w:rPr>
                <w:rFonts w:ascii="Cambria Math" w:hAnsi="Cambria Math"/>
                <w:i/>
                <w:color w:val="000000"/>
                <w:sz w:val="20"/>
                <w:szCs w:val="20"/>
              </w:rPr>
            </m:ctrlPr>
          </m:sSubPr>
          <m:e>
            <m:r>
              <m:rPr/>
              <w:rPr>
                <w:rFonts w:ascii="Cambria Math" w:hAnsi="Cambria Math"/>
                <w:color w:val="000000"/>
                <w:sz w:val="20"/>
                <w:szCs w:val="20"/>
              </w:rPr>
              <m:t>̂</m:t>
            </m:r>
            <m:ctrlPr>
              <w:rPr>
                <w:rFonts w:ascii="Cambria Math" w:hAnsi="Cambria Math"/>
                <w:i/>
                <w:color w:val="000000"/>
                <w:sz w:val="20"/>
                <w:szCs w:val="20"/>
              </w:rPr>
            </m:ctrlPr>
          </m:e>
          <m:sub>
            <m:r>
              <m:rPr/>
              <w:rPr>
                <w:rFonts w:ascii="Cambria Math" w:hAnsi="Cambria Math"/>
                <w:color w:val="000000"/>
                <w:sz w:val="20"/>
                <w:szCs w:val="20"/>
              </w:rPr>
              <m:t>i,yi</m:t>
            </m:r>
            <m:ctrlPr>
              <w:rPr>
                <w:rFonts w:ascii="Cambria Math" w:hAnsi="Cambria Math"/>
                <w:i/>
                <w:color w:val="000000"/>
                <w:sz w:val="20"/>
                <w:szCs w:val="20"/>
              </w:rPr>
            </m:ctrlPr>
          </m:sub>
        </m:sSub>
      </m:oMath>
      <w:r>
        <w:rPr>
          <w:color w:val="000000"/>
          <w:sz w:val="20"/>
          <w:szCs w:val="20"/>
        </w:rPr>
        <w:t>为模型对样本</w:t>
      </w:r>
      <w:r>
        <w:rPr>
          <w:rFonts w:hint="eastAsia"/>
          <w:i/>
          <w:iCs/>
          <w:color w:val="000000"/>
          <w:sz w:val="20"/>
          <w:szCs w:val="20"/>
        </w:rPr>
        <w:t>i</w:t>
      </w:r>
      <w:r>
        <w:rPr>
          <w:color w:val="000000"/>
          <w:sz w:val="20"/>
          <w:szCs w:val="20"/>
        </w:rPr>
        <w:t>预测为真实类别</w:t>
      </w:r>
      <w:r>
        <w:rPr>
          <w:i/>
          <w:iCs/>
          <w:color w:val="000000"/>
          <w:sz w:val="20"/>
          <w:szCs w:val="20"/>
        </w:rPr>
        <w:t>yi</w:t>
      </w:r>
      <w:r>
        <w:rPr>
          <w:color w:val="000000"/>
          <w:sz w:val="20"/>
          <w:szCs w:val="20"/>
        </w:rPr>
        <w:t>的概率</w:t>
      </w:r>
      <w:r>
        <w:rPr>
          <w:rFonts w:hint="eastAsia"/>
          <w:color w:val="000000"/>
          <w:sz w:val="20"/>
          <w:szCs w:val="20"/>
        </w:rPr>
        <w:t>，</w:t>
      </w:r>
      <w:r>
        <w:rPr>
          <w:color w:val="000000"/>
          <w:sz w:val="20"/>
          <w:szCs w:val="20"/>
        </w:rPr>
        <w:t>γ</w:t>
      </w:r>
      <w:r>
        <w:rPr>
          <w:rFonts w:hint="eastAsia"/>
          <w:color w:val="000000"/>
          <w:sz w:val="20"/>
          <w:szCs w:val="20"/>
        </w:rPr>
        <w:t>=2</w:t>
      </w:r>
      <w:r>
        <w:rPr>
          <w:color w:val="000000"/>
          <w:sz w:val="20"/>
          <w:szCs w:val="20"/>
        </w:rPr>
        <w:t>为Focal Loss调制因子，用于动态降低易分类样本的损失权重</w:t>
      </w:r>
      <w:r>
        <w:rPr>
          <w:rFonts w:hint="eastAsia"/>
          <w:color w:val="000000"/>
          <w:sz w:val="20"/>
          <w:szCs w:val="20"/>
        </w:rPr>
        <w:t>以</w:t>
      </w:r>
      <w:r>
        <w:rPr>
          <w:color w:val="000000"/>
          <w:sz w:val="20"/>
          <w:szCs w:val="20"/>
        </w:rPr>
        <w:t>使训练更专注于难分类的少数类样本。</w:t>
      </w:r>
    </w:p>
    <w:p w14:paraId="31380A26">
      <w:pPr>
        <w:pStyle w:val="7"/>
        <w:tabs>
          <w:tab w:val="center" w:pos="4393"/>
          <w:tab w:val="right" w:pos="8306"/>
        </w:tabs>
        <w:spacing w:line="240" w:lineRule="auto"/>
        <w:ind w:firstLine="400"/>
        <w:jc w:val="right"/>
        <w:rPr>
          <w:color w:val="000000"/>
          <w:sz w:val="20"/>
          <w:szCs w:val="20"/>
        </w:rPr>
      </w:pPr>
      <w:r>
        <w:rPr>
          <w:color w:val="000000"/>
          <w:position w:val="-34"/>
          <w:sz w:val="20"/>
          <w:szCs w:val="20"/>
        </w:rPr>
        <w:drawing>
          <wp:inline distT="0" distB="0" distL="0" distR="0">
            <wp:extent cx="2134870" cy="363220"/>
            <wp:effectExtent l="0" t="0" r="11430" b="5080"/>
            <wp:docPr id="9" name="Picture 1" descr="{&quot;mathml&quot;:&quot;&lt;math style=\&quot;font-family:stix;font-size:16px;\&quot; xmlns=\&quot;http://www.w3.org/1998/Math/MathML\&quot;&gt;&lt;mi&gt;L&lt;/mi&gt;&lt;mo&gt;=&lt;/mo&gt;&lt;mo&gt;-&lt;/mo&gt;&lt;mfrac&gt;&lt;mn&gt;1&lt;/mn&gt;&lt;mi&gt;N&lt;/mi&gt;&lt;/mfrac&gt;&lt;munderover&gt;&lt;mo&gt;&amp;#x2211;&lt;/mo&gt;&lt;mrow&gt;&lt;mi&gt;i&lt;/mi&gt;&lt;mo&gt;=&lt;/mo&gt;&lt;mn&gt;1&lt;/mn&gt;&lt;/mrow&gt;&lt;mi&gt;N&lt;/mi&gt;&lt;/munderover&gt;&lt;msub&gt;&lt;mi&gt;w&lt;/mi&gt;&lt;msub&gt;&lt;mi&gt;y&lt;/mi&gt;&lt;mi&gt;i&lt;/mi&gt;&lt;/msub&gt;&lt;/msub&gt;&lt;mo&gt;&amp;#xB7;&lt;/mo&gt;&lt;mo&gt;(&lt;/mo&gt;&lt;mn&gt;1&lt;/mn&gt;&lt;mo&gt;-&lt;/mo&gt;&lt;msub&gt;&lt;mover&gt;&lt;mi&gt;p&lt;/mi&gt;&lt;mo&gt;^&lt;/mo&gt;&lt;/mover&gt;&lt;mrow&gt;&lt;mi&gt;i&lt;/mi&gt;&lt;mo&gt;,&lt;/mo&gt;&lt;msub&gt;&lt;mi&gt;y&lt;/mi&gt;&lt;mi&gt;i&lt;/mi&gt;&lt;/msub&gt;&lt;/mrow&gt;&lt;/msub&gt;&lt;msup&gt;&lt;mo&gt;)&lt;/mo&gt;&lt;mi&gt;&amp;#x3B3;&lt;/mi&gt;&lt;/msup&gt;&lt;mi&gt;log&lt;/mi&gt;&lt;mo&gt;(&lt;/mo&gt;&lt;msub&gt;&lt;mover&gt;&lt;mi&gt;p&lt;/mi&gt;&lt;mo&gt;^&lt;/mo&gt;&lt;/mover&gt;&lt;mrow&gt;&lt;mi&gt;i&lt;/mi&gt;&lt;mo&gt;,&lt;/mo&gt;&lt;msub&gt;&lt;mi&gt;y&lt;/mi&gt;&lt;mi&gt;i&lt;/mi&gt;&lt;/msub&gt;&lt;/mrow&gt;&lt;/msub&gt;&lt;mo&gt;)&lt;/mo&gt;&lt;/math&gt;&quot;,&quot;origin&quot;:&quot;MathType Legacy&quot;,&quot;version&quot;:&quot;v3.23.0&quot;}" title="L 等于 负 分数 N 分之 1 加总 从 i 等于 1 到 N 对 w 下标 y 下标 i 结束下标 乘 左括号 1 减 p 有 插入号 在上方 下标 i 逗号 y 下标 i 结束下标 右括号 的 gamma （ 小写 ） 次方 log 左括号 p 有 插入号 在上方 下标 i 逗号 y 下标 i 结束下标 右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descr="{&quot;mathml&quot;:&quot;&lt;math style=\&quot;font-family:stix;font-size:16px;\&quot; xmlns=\&quot;http://www.w3.org/1998/Math/MathML\&quot;&gt;&lt;mi&gt;L&lt;/mi&gt;&lt;mo&gt;=&lt;/mo&gt;&lt;mo&gt;-&lt;/mo&gt;&lt;mfrac&gt;&lt;mn&gt;1&lt;/mn&gt;&lt;mi&gt;N&lt;/mi&gt;&lt;/mfrac&gt;&lt;munderover&gt;&lt;mo&gt;&amp;#x2211;&lt;/mo&gt;&lt;mrow&gt;&lt;mi&gt;i&lt;/mi&gt;&lt;mo&gt;=&lt;/mo&gt;&lt;mn&gt;1&lt;/mn&gt;&lt;/mrow&gt;&lt;mi&gt;N&lt;/mi&gt;&lt;/munderover&gt;&lt;msub&gt;&lt;mi&gt;w&lt;/mi&gt;&lt;msub&gt;&lt;mi&gt;y&lt;/mi&gt;&lt;mi&gt;i&lt;/mi&gt;&lt;/msub&gt;&lt;/msub&gt;&lt;mo&gt;&amp;#xB7;&lt;/mo&gt;&lt;mo&gt;(&lt;/mo&gt;&lt;mn&gt;1&lt;/mn&gt;&lt;mo&gt;-&lt;/mo&gt;&lt;msub&gt;&lt;mover&gt;&lt;mi&gt;p&lt;/mi&gt;&lt;mo&gt;^&lt;/mo&gt;&lt;/mover&gt;&lt;mrow&gt;&lt;mi&gt;i&lt;/mi&gt;&lt;mo&gt;,&lt;/mo&gt;&lt;msub&gt;&lt;mi&gt;y&lt;/mi&gt;&lt;mi&gt;i&lt;/mi&gt;&lt;/msub&gt;&lt;/mrow&gt;&lt;/msub&gt;&lt;msup&gt;&lt;mo&gt;)&lt;/mo&gt;&lt;mi&gt;&amp;#x3B3;&lt;/mi&gt;&lt;/msup&gt;&lt;mi&gt;log&lt;/mi&gt;&lt;mo&gt;(&lt;/mo&gt;&lt;msub&gt;&lt;mover&gt;&lt;mi&gt;p&lt;/mi&gt;&lt;mo&gt;^&lt;/mo&gt;&lt;/mover&gt;&lt;mrow&gt;&lt;mi&gt;i&lt;/mi&gt;&lt;mo&gt;,&lt;/mo&gt;&lt;msub&gt;&lt;mi&gt;y&lt;/mi&gt;&lt;mi&gt;i&lt;/mi&gt;&lt;/msub&gt;&lt;/mrow&gt;&lt;/msub&gt;&lt;mo&gt;)&lt;/mo&gt;&lt;/math&gt;&quot;,&quot;origin&quot;:&quot;MathType Legacy&quot;,&quot;version&quot;:&quot;v3.23.0&quot;}" title="L 等于 负 分数 N 分之 1 加总 从 i 等于 1 到 N 对 w 下标 y 下标 i 结束下标 乘 左括号 1 减 p 有 插入号 在上方 下标 i 逗号 y 下标 i 结束下标 右括号 的 gamma （ 小写 ） 次方 log 左括号 p 有 插入号 在上方 下标 i 逗号 y 下标 i 结束下标 右括号"/>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2134870" cy="363220"/>
                    </a:xfrm>
                    <a:prstGeom prst="rect">
                      <a:avLst/>
                    </a:prstGeom>
                  </pic:spPr>
                </pic:pic>
              </a:graphicData>
            </a:graphic>
          </wp:inline>
        </w:drawing>
      </w:r>
      <w:r>
        <w:rPr>
          <w:rFonts w:hint="eastAsia"/>
          <w:color w:val="000000"/>
          <w:sz w:val="20"/>
          <w:szCs w:val="20"/>
        </w:rPr>
        <w:t xml:space="preserve">                    </w:t>
      </w:r>
      <w:r>
        <w:rPr>
          <w:color w:val="000000"/>
          <w:sz w:val="20"/>
          <w:szCs w:val="20"/>
        </w:rPr>
        <w:t>(2</w:t>
      </w:r>
      <w:r>
        <w:rPr>
          <w:rFonts w:hint="eastAsia"/>
          <w:color w:val="000000"/>
          <w:sz w:val="20"/>
          <w:szCs w:val="20"/>
        </w:rPr>
        <w:t>3</w:t>
      </w:r>
      <w:r>
        <w:rPr>
          <w:color w:val="000000"/>
          <w:sz w:val="20"/>
          <w:szCs w:val="20"/>
        </w:rPr>
        <w:t>)</w:t>
      </w:r>
    </w:p>
    <w:p w14:paraId="6538A583">
      <w:pPr>
        <w:pStyle w:val="4"/>
        <w:keepNext/>
        <w:spacing w:before="360" w:beforeLines="0" w:after="120" w:afterLines="0"/>
        <w:jc w:val="both"/>
        <w:rPr>
          <w:sz w:val="21"/>
          <w:szCs w:val="21"/>
        </w:rPr>
      </w:pPr>
      <w:r>
        <w:rPr>
          <w:rFonts w:hint="eastAsia"/>
          <w:sz w:val="21"/>
          <w:szCs w:val="21"/>
          <w:lang w:eastAsia="zh"/>
        </w:rPr>
        <w:t>3.3.2</w:t>
      </w:r>
      <w:r>
        <w:rPr>
          <w:rFonts w:hint="eastAsia"/>
          <w:sz w:val="21"/>
          <w:szCs w:val="21"/>
        </w:rPr>
        <w:t xml:space="preserve"> 自适应融合驱动的图级表示学习与归因决策</w:t>
      </w:r>
    </w:p>
    <w:p w14:paraId="65179052">
      <w:pPr>
        <w:ind w:firstLine="400" w:firstLineChars="200"/>
        <w:rPr>
          <w:color w:val="000000"/>
          <w:sz w:val="20"/>
          <w:szCs w:val="20"/>
        </w:rPr>
      </w:pPr>
      <w:r>
        <w:rPr>
          <w:rFonts w:hint="eastAsia"/>
          <w:color w:val="000000"/>
          <w:sz w:val="20"/>
          <w:szCs w:val="20"/>
        </w:rPr>
        <w:t>针对现有方法在多源信息融合中因采用固定权重策略而难以根据样本特性动态调整语义信息与结构信息贡献比例的问题[36]，本文在节点级门控融合的基础上进一步构建图级表示学习与归因决策机制。该过程由全局注意力池化、分类预测与置信度校准三部分组成。</w:t>
      </w:r>
    </w:p>
    <w:p w14:paraId="6A84C99B">
      <w:pPr>
        <w:pStyle w:val="7"/>
        <w:spacing w:after="60" w:line="240" w:lineRule="auto"/>
        <w:ind w:firstLine="402"/>
        <w:rPr>
          <w:b/>
          <w:bCs/>
          <w:color w:val="000000"/>
          <w:sz w:val="20"/>
          <w:szCs w:val="20"/>
        </w:rPr>
      </w:pPr>
      <w:r>
        <w:rPr>
          <w:rFonts w:hint="eastAsia"/>
          <w:b/>
          <w:bCs/>
          <w:color w:val="000000"/>
          <w:sz w:val="20"/>
          <w:szCs w:val="20"/>
        </w:rPr>
        <w:t>（1）全局注意力池化</w:t>
      </w:r>
    </w:p>
    <w:p w14:paraId="6711CF11">
      <w:pPr>
        <w:pStyle w:val="7"/>
        <w:spacing w:after="60" w:line="240" w:lineRule="auto"/>
        <w:ind w:firstLine="400"/>
        <w:rPr>
          <w:color w:val="000000"/>
          <w:sz w:val="20"/>
          <w:szCs w:val="20"/>
        </w:rPr>
      </w:pPr>
      <w:r>
        <w:rPr>
          <w:color w:val="000000"/>
          <w:sz w:val="20"/>
          <w:szCs w:val="20"/>
        </w:rPr>
        <w:t>融合后的节点表示经第二层GATv2进一步精炼，得到节点表示</w:t>
      </w:r>
      <w:r>
        <w:rPr>
          <w:rFonts w:hint="eastAsia"/>
          <w:i/>
          <w:iCs/>
          <w:color w:val="000000"/>
          <w:sz w:val="20"/>
          <w:szCs w:val="20"/>
        </w:rPr>
        <w:t>x</w:t>
      </w:r>
      <w:r>
        <w:rPr>
          <w:i/>
          <w:iCs/>
          <w:color w:val="000000"/>
          <w:sz w:val="20"/>
          <w:szCs w:val="20"/>
          <w:vertAlign w:val="subscript"/>
        </w:rPr>
        <w:t>i</w:t>
      </w:r>
      <w:r>
        <w:rPr>
          <w:color w:val="000000"/>
          <w:sz w:val="20"/>
          <w:szCs w:val="20"/>
          <w:vertAlign w:val="superscript"/>
        </w:rPr>
        <w:t>(2)</w:t>
      </w:r>
      <w:r>
        <w:rPr>
          <w:rFonts w:hint="eastAsia"/>
          <w:color w:val="000000"/>
          <w:sz w:val="20"/>
          <w:szCs w:val="20"/>
        </w:rPr>
        <w:t>。然后，通过全局注意力池化聚合为如公式（24）所示的图级表示</w:t>
      </w:r>
      <w:r>
        <w:rPr>
          <w:rFonts w:hint="eastAsia"/>
          <w:i/>
          <w:iCs/>
          <w:color w:val="000000"/>
          <w:sz w:val="20"/>
          <w:szCs w:val="20"/>
        </w:rPr>
        <w:t>g</w:t>
      </w:r>
      <w:r>
        <w:rPr>
          <w:rFonts w:hint="eastAsia"/>
          <w:color w:val="000000"/>
          <w:sz w:val="20"/>
          <w:szCs w:val="20"/>
        </w:rPr>
        <w:t>。其中，</w:t>
      </w:r>
      <w:r>
        <w:rPr>
          <w:color w:val="000000"/>
          <w:sz w:val="20"/>
          <w:szCs w:val="20"/>
        </w:rPr>
        <w:t>注意力权重</w:t>
      </w:r>
      <w:r>
        <w:rPr>
          <w:i/>
          <w:iCs/>
          <w:color w:val="000000"/>
          <w:sz w:val="20"/>
          <w:szCs w:val="20"/>
        </w:rPr>
        <w:t>β</w:t>
      </w:r>
      <w:r>
        <w:rPr>
          <w:i/>
          <w:iCs/>
          <w:color w:val="000000"/>
          <w:sz w:val="20"/>
          <w:szCs w:val="20"/>
          <w:vertAlign w:val="subscript"/>
        </w:rPr>
        <w:t>i</w:t>
      </w:r>
      <w:r>
        <w:rPr>
          <w:rFonts w:hint="eastAsia"/>
          <w:color w:val="000000"/>
          <w:sz w:val="20"/>
          <w:szCs w:val="20"/>
        </w:rPr>
        <w:t>由节点特征经MLP映射后通过Softmax归一化得到，用于刻画节点对最终归因决策的贡献程度。</w:t>
      </w:r>
    </w:p>
    <w:p w14:paraId="35D2D4A4">
      <w:pPr>
        <w:pStyle w:val="7"/>
        <w:tabs>
          <w:tab w:val="center" w:pos="4153"/>
          <w:tab w:val="right" w:pos="8306"/>
        </w:tabs>
        <w:spacing w:after="60" w:line="240" w:lineRule="auto"/>
        <w:ind w:firstLine="0" w:firstLineChars="0"/>
        <w:jc w:val="right"/>
        <w:rPr>
          <w:color w:val="000000"/>
          <w:sz w:val="20"/>
          <w:szCs w:val="20"/>
        </w:rPr>
      </w:pPr>
      <w:r>
        <w:rPr>
          <w:color w:val="000000"/>
          <w:position w:val="-59"/>
          <w:sz w:val="20"/>
          <w:szCs w:val="20"/>
        </w:rPr>
        <w:drawing>
          <wp:inline distT="0" distB="0" distL="0" distR="0">
            <wp:extent cx="2708275" cy="533400"/>
            <wp:effectExtent l="0" t="0" r="9525" b="0"/>
            <wp:docPr id="10" name="Picture 1" descr="{&quot;mathml&quot;:&quot;&lt;math style=\&quot;font-family:stix;font-size:16px;\&quot; xmlns=\&quot;http://www.w3.org/1998/Math/MathML\&quot;&gt;&lt;mi&gt;g&lt;/mi&gt;&lt;mo&gt;=&lt;/mo&gt;&lt;munder&gt;&lt;mo&gt;&amp;#x2211;&lt;/mo&gt;&lt;mi&gt;i&lt;/mi&gt;&lt;/munder&gt;&lt;msub&gt;&lt;mi&gt;&amp;#x3B2;&lt;/mi&gt;&lt;mi&gt;i&lt;/mi&gt;&lt;/msub&gt;&lt;msubsup&gt;&lt;mi&gt;x&lt;/mi&gt;&lt;mi&gt;i&lt;/mi&gt;&lt;mrow&gt;&lt;mo&gt;(&lt;/mo&gt;&lt;mn&gt;2&lt;/mn&gt;&lt;mo&gt;)&lt;/mo&gt;&lt;/mrow&gt;&lt;/msubsup&gt;&lt;mo&gt;,&lt;/mo&gt;&lt;msub&gt;&lt;mi&gt;&amp;#x3B2;&lt;/mi&gt;&lt;mi&gt;i&lt;/mi&gt;&lt;/msub&gt;&lt;mo&gt;=&lt;/mo&gt;&lt;mfrac&gt;&lt;mrow&gt;&lt;mi&gt;exp&lt;/mi&gt;&lt;mo&gt;(&lt;/mo&gt;&lt;msub&gt;&lt;mtext&gt;MLP&lt;/mtext&gt;&lt;mtext&gt;attn&lt;/mtext&gt;&lt;/msub&gt;&lt;mo&gt;(&lt;/mo&gt;&lt;msubsup&gt;&lt;mi&gt;x&lt;/mi&gt;&lt;mi&gt;i&lt;/mi&gt;&lt;mrow&gt;&lt;mo&gt;(&lt;/mo&gt;&lt;mn&gt;2&lt;/mn&gt;&lt;mo&gt;)&lt;/mo&gt;&lt;/mrow&gt;&lt;/msubsup&gt;&lt;mo&gt;)&lt;/mo&gt;&lt;mo&gt;)&lt;/mo&gt;&lt;/mrow&gt;&lt;mrow&gt;&lt;munder&gt;&lt;mo&gt;&amp;#x2211;&lt;/mo&gt;&lt;mi&gt;j&lt;/mi&gt;&lt;/munder&gt;&lt;mrow&gt;&lt;mi&gt;exp&lt;/mi&gt;&lt;mo&gt;(&lt;/mo&gt;&lt;msub&gt;&lt;mtext&gt;MLP&lt;/mtext&gt;&lt;mi&gt;attn&lt;/mi&gt;&lt;/msub&gt;&lt;mo&gt;(&lt;/mo&gt;&lt;msubsup&gt;&lt;mi&gt;x&lt;/mi&gt;&lt;mi&gt;j&lt;/mi&gt;&lt;mrow&gt;&lt;mo&gt;(&lt;/mo&gt;&lt;mn&gt;2&lt;/mn&gt;&lt;mo&gt;)&lt;/mo&gt;&lt;/mrow&gt;&lt;/msubsup&gt;&lt;mo&gt;)&lt;/mo&gt;&lt;mo&gt;)&lt;/mo&gt;&lt;/mrow&gt;&lt;/mrow&gt;&lt;/mfrac&gt;&lt;/math&gt;&quot;,&quot;origin&quot;:&quot;MathType Legacy&quot;,&quot;version&quot;:&quot;v3.23.0&quot;}" title="g 等于 加总 从 i 对 beta （ 小写 ） 下标 i x 下标 i 上标 左括号 2 右括号 结束上标 逗号 beta （ 小写 ） 下标 i 等于 分数 加总 从 j 对 exp 左括号 开始文本 MLP 结束文本 下标 attn 左括号 x 下标 j 上标 左括号 2 右括号 结束上标 右括号 右括号 分之 exp 左括号 开始文本 MLP 结束文本 下标 开始文本 attn 结束文本 结束下标 左括号 x 下标 i 上标 左括号 2 右括号 结束上标 右括号 右括号 结束分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descr="{&quot;mathml&quot;:&quot;&lt;math style=\&quot;font-family:stix;font-size:16px;\&quot; xmlns=\&quot;http://www.w3.org/1998/Math/MathML\&quot;&gt;&lt;mi&gt;g&lt;/mi&gt;&lt;mo&gt;=&lt;/mo&gt;&lt;munder&gt;&lt;mo&gt;&amp;#x2211;&lt;/mo&gt;&lt;mi&gt;i&lt;/mi&gt;&lt;/munder&gt;&lt;msub&gt;&lt;mi&gt;&amp;#x3B2;&lt;/mi&gt;&lt;mi&gt;i&lt;/mi&gt;&lt;/msub&gt;&lt;msubsup&gt;&lt;mi&gt;x&lt;/mi&gt;&lt;mi&gt;i&lt;/mi&gt;&lt;mrow&gt;&lt;mo&gt;(&lt;/mo&gt;&lt;mn&gt;2&lt;/mn&gt;&lt;mo&gt;)&lt;/mo&gt;&lt;/mrow&gt;&lt;/msubsup&gt;&lt;mo&gt;,&lt;/mo&gt;&lt;msub&gt;&lt;mi&gt;&amp;#x3B2;&lt;/mi&gt;&lt;mi&gt;i&lt;/mi&gt;&lt;/msub&gt;&lt;mo&gt;=&lt;/mo&gt;&lt;mfrac&gt;&lt;mrow&gt;&lt;mi&gt;exp&lt;/mi&gt;&lt;mo&gt;(&lt;/mo&gt;&lt;msub&gt;&lt;mtext&gt;MLP&lt;/mtext&gt;&lt;mtext&gt;attn&lt;/mtext&gt;&lt;/msub&gt;&lt;mo&gt;(&lt;/mo&gt;&lt;msubsup&gt;&lt;mi&gt;x&lt;/mi&gt;&lt;mi&gt;i&lt;/mi&gt;&lt;mrow&gt;&lt;mo&gt;(&lt;/mo&gt;&lt;mn&gt;2&lt;/mn&gt;&lt;mo&gt;)&lt;/mo&gt;&lt;/mrow&gt;&lt;/msubsup&gt;&lt;mo&gt;)&lt;/mo&gt;&lt;mo&gt;)&lt;/mo&gt;&lt;/mrow&gt;&lt;mrow&gt;&lt;munder&gt;&lt;mo&gt;&amp;#x2211;&lt;/mo&gt;&lt;mi&gt;j&lt;/mi&gt;&lt;/munder&gt;&lt;mrow&gt;&lt;mi&gt;exp&lt;/mi&gt;&lt;mo&gt;(&lt;/mo&gt;&lt;msub&gt;&lt;mtext&gt;MLP&lt;/mtext&gt;&lt;mi&gt;attn&lt;/mi&gt;&lt;/msub&gt;&lt;mo&gt;(&lt;/mo&gt;&lt;msubsup&gt;&lt;mi&gt;x&lt;/mi&gt;&lt;mi&gt;j&lt;/mi&gt;&lt;mrow&gt;&lt;mo&gt;(&lt;/mo&gt;&lt;mn&gt;2&lt;/mn&gt;&lt;mo&gt;)&lt;/mo&gt;&lt;/mrow&gt;&lt;/msubsup&gt;&lt;mo&gt;)&lt;/mo&gt;&lt;mo&gt;)&lt;/mo&gt;&lt;/mrow&gt;&lt;/mrow&gt;&lt;/mfrac&gt;&lt;/math&gt;&quot;,&quot;origin&quot;:&quot;MathType Legacy&quot;,&quot;version&quot;:&quot;v3.23.0&quot;}" title="g 等于 加总 从 i 对 beta （ 小写 ） 下标 i x 下标 i 上标 左括号 2 右括号 结束上标 逗号 beta （ 小写 ） 下标 i 等于 分数 加总 从 j 对 exp 左括号 开始文本 MLP 结束文本 下标 attn 左括号 x 下标 j 上标 左括号 2 右括号 结束上标 右括号 右括号 分之 exp 左括号 开始文本 MLP 结束文本 下标 开始文本 attn 结束文本 结束下标 左括号 x 下标 i 上标 左括号 2 右括号 结束上标 右括号 右括号 结束分数"/>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0" y="0"/>
                      <a:ext cx="2708275" cy="533400"/>
                    </a:xfrm>
                    <a:prstGeom prst="rect">
                      <a:avLst/>
                    </a:prstGeom>
                  </pic:spPr>
                </pic:pic>
              </a:graphicData>
            </a:graphic>
          </wp:inline>
        </w:drawing>
      </w:r>
      <w:r>
        <w:rPr>
          <w:rFonts w:hint="eastAsia"/>
          <w:color w:val="000000"/>
          <w:sz w:val="20"/>
          <w:szCs w:val="20"/>
        </w:rPr>
        <w:t xml:space="preserve">          （24）</w:t>
      </w:r>
    </w:p>
    <w:p w14:paraId="5E522EDD">
      <w:pPr>
        <w:pStyle w:val="7"/>
        <w:spacing w:after="60" w:line="240" w:lineRule="auto"/>
        <w:ind w:firstLine="400"/>
        <w:rPr>
          <w:color w:val="000000"/>
          <w:sz w:val="20"/>
          <w:szCs w:val="20"/>
        </w:rPr>
      </w:pPr>
      <w:r>
        <w:rPr>
          <w:rFonts w:hint="eastAsia"/>
          <w:color w:val="000000"/>
          <w:sz w:val="20"/>
          <w:szCs w:val="20"/>
        </w:rPr>
        <w:t>相较于均值池化（如GraphSAGE）对所有节点等权处理，注意力池化能够自适应突出关键实体（如C2服务器、核心恶意软件）、抑制噪声节点干扰并提供显式可解释性信号（通过</w:t>
      </w:r>
      <w:r>
        <w:rPr>
          <w:i/>
          <w:iCs/>
          <w:color w:val="000000"/>
          <w:sz w:val="20"/>
          <w:szCs w:val="20"/>
        </w:rPr>
        <w:t>β</w:t>
      </w:r>
      <w:r>
        <w:rPr>
          <w:i/>
          <w:iCs/>
          <w:color w:val="000000"/>
          <w:sz w:val="20"/>
          <w:szCs w:val="20"/>
          <w:vertAlign w:val="subscript"/>
        </w:rPr>
        <w:t>i</w:t>
      </w:r>
      <w:r>
        <w:rPr>
          <w:rFonts w:hint="eastAsia"/>
          <w:color w:val="000000"/>
          <w:sz w:val="20"/>
          <w:szCs w:val="20"/>
        </w:rPr>
        <w:t>分析关键归因证据），该机制使图级表示更加聚焦于具有判别力的攻击行为与关键实体。</w:t>
      </w:r>
    </w:p>
    <w:p w14:paraId="37EBE2FF">
      <w:pPr>
        <w:pStyle w:val="7"/>
        <w:spacing w:after="60" w:line="240" w:lineRule="auto"/>
        <w:ind w:firstLine="402"/>
        <w:rPr>
          <w:b/>
          <w:bCs/>
          <w:color w:val="000000"/>
          <w:sz w:val="20"/>
          <w:szCs w:val="20"/>
        </w:rPr>
      </w:pPr>
      <w:bookmarkStart w:id="9" w:name="_Toc20782"/>
      <w:r>
        <w:rPr>
          <w:rFonts w:hint="eastAsia"/>
          <w:b/>
          <w:bCs/>
          <w:color w:val="000000"/>
          <w:sz w:val="20"/>
          <w:szCs w:val="20"/>
        </w:rPr>
        <w:t>（2）归因分类器</w:t>
      </w:r>
    </w:p>
    <w:p w14:paraId="689C6365">
      <w:pPr>
        <w:pStyle w:val="7"/>
        <w:spacing w:after="60" w:line="240" w:lineRule="auto"/>
        <w:ind w:firstLine="400"/>
        <w:rPr>
          <w:color w:val="000000"/>
          <w:sz w:val="20"/>
          <w:szCs w:val="20"/>
        </w:rPr>
      </w:pPr>
      <w:r>
        <w:rPr>
          <w:color w:val="000000"/>
          <w:sz w:val="20"/>
          <w:szCs w:val="20"/>
        </w:rPr>
        <w:t>图级表示</w:t>
      </w:r>
      <w:r>
        <w:rPr>
          <w:rFonts w:hint="eastAsia"/>
          <w:i/>
          <w:iCs/>
          <w:color w:val="000000"/>
          <w:sz w:val="20"/>
          <w:szCs w:val="20"/>
        </w:rPr>
        <w:t>g</w:t>
      </w:r>
      <w:r>
        <w:rPr>
          <w:color w:val="000000"/>
          <w:sz w:val="20"/>
          <w:szCs w:val="20"/>
        </w:rPr>
        <w:t>输入两层前馈网络进行归因预测。第一层将表示映射至隐空间并施加ReLU激活，第二层映射至类别空间，最终通过LogSoftmax输出</w:t>
      </w:r>
      <w:r>
        <w:rPr>
          <w:rFonts w:hint="eastAsia"/>
          <w:color w:val="000000"/>
          <w:sz w:val="20"/>
          <w:szCs w:val="20"/>
        </w:rPr>
        <w:t>如公式（25）所示的</w:t>
      </w:r>
      <w:r>
        <w:rPr>
          <w:color w:val="000000"/>
          <w:sz w:val="20"/>
          <w:szCs w:val="20"/>
        </w:rPr>
        <w:t>类别对数概率</w:t>
      </w:r>
      <w:r>
        <w:rPr>
          <w:rFonts w:hint="eastAsia"/>
          <w:i/>
          <w:iCs/>
          <w:color w:val="000000"/>
          <w:sz w:val="20"/>
          <w:szCs w:val="20"/>
        </w:rPr>
        <w:t>z</w:t>
      </w:r>
      <w:r>
        <w:rPr>
          <w:rFonts w:hint="eastAsia"/>
          <w:i/>
          <w:iCs/>
          <w:color w:val="000000"/>
          <w:sz w:val="20"/>
          <w:szCs w:val="20"/>
          <w:vertAlign w:val="subscript"/>
        </w:rPr>
        <w:t>i</w:t>
      </w:r>
      <w:r>
        <w:rPr>
          <w:rFonts w:hint="eastAsia"/>
          <w:color w:val="000000"/>
          <w:sz w:val="20"/>
          <w:szCs w:val="20"/>
        </w:rPr>
        <w:t>。</w:t>
      </w:r>
    </w:p>
    <w:p w14:paraId="7701A3DB">
      <w:pPr>
        <w:pStyle w:val="7"/>
        <w:tabs>
          <w:tab w:val="center" w:pos="4153"/>
          <w:tab w:val="right" w:pos="8306"/>
        </w:tabs>
        <w:spacing w:after="60" w:line="240" w:lineRule="auto"/>
        <w:ind w:firstLine="0" w:firstLineChars="0"/>
        <w:jc w:val="right"/>
        <w:rPr>
          <w:color w:val="000000"/>
          <w:sz w:val="20"/>
          <w:szCs w:val="20"/>
        </w:rPr>
      </w:pPr>
      <w:r>
        <w:rPr>
          <w:color w:val="000000"/>
          <w:position w:val="-19"/>
          <w:sz w:val="20"/>
          <w:szCs w:val="20"/>
        </w:rPr>
        <w:drawing>
          <wp:inline distT="0" distB="0" distL="0" distR="0">
            <wp:extent cx="2856230" cy="212725"/>
            <wp:effectExtent l="0" t="0" r="0" b="3175"/>
            <wp:docPr id="11" name="Picture 1" descr="{&quot;mathml&quot;:&quot;&lt;math style=\&quot;font-family:stix;font-size:16px;\&quot; xmlns=\&quot;http://www.w3.org/1998/Math/MathML\&quot;&gt;&lt;msub&gt;&lt;mi&gt;z&lt;/mi&gt;&lt;mi&gt;i&lt;/mi&gt;&lt;/msub&gt;&lt;mo&gt;=&lt;/mo&gt;&lt;mtext&gt;LogSoftmax&lt;/mtext&gt;&lt;mfenced&gt;&lt;mrow&gt;&lt;msubsup&gt;&lt;mi&gt;W&lt;/mi&gt;&lt;mn&gt;2&lt;/mn&gt;&lt;mo&gt;&amp;#x22A4;&lt;/mo&gt;&lt;/msubsup&gt;&lt;mo&gt;&amp;#xB7;&lt;/mo&gt;&lt;mtext&gt;ReLU&lt;/mtext&gt;&lt;mo&gt;(&lt;/mo&gt;&lt;msub&gt;&lt;mi&gt;W&lt;/mi&gt;&lt;mn&gt;1&lt;/mn&gt;&lt;/msub&gt;&lt;msub&gt;&lt;mi&gt;g&lt;/mi&gt;&lt;mi&gt;i&lt;/mi&gt;&lt;/msub&gt;&lt;mo&gt;+&lt;/mo&gt;&lt;msub&gt;&lt;mi&gt;b&lt;/mi&gt;&lt;mn&gt;1&lt;/mn&gt;&lt;/msub&gt;&lt;mo&gt;)&lt;/mo&gt;&lt;mo&gt;+&lt;/mo&gt;&lt;msub&gt;&lt;mi&gt;b&lt;/mi&gt;&lt;mn&gt;2&lt;/mn&gt;&lt;/msub&gt;&lt;/mrow&gt;&lt;/mfenced&gt;&lt;/math&gt;&quot;,&quot;origin&quot;:&quot;MathType Legacy&quot;,&quot;version&quot;:&quot;v3.23.0&quot;}" title="z 下标 i 等于 开始文本 LogSoftmax 结束文本 左小括号 W 下标 2 上标 ⊤ 乘 开始文本 ReLU 结束文本 左括号 W 下标 1 g 下标 i 加 b 下标 1 右括号 加 b 下标 2 右小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descr="{&quot;mathml&quot;:&quot;&lt;math style=\&quot;font-family:stix;font-size:16px;\&quot; xmlns=\&quot;http://www.w3.org/1998/Math/MathML\&quot;&gt;&lt;msub&gt;&lt;mi&gt;z&lt;/mi&gt;&lt;mi&gt;i&lt;/mi&gt;&lt;/msub&gt;&lt;mo&gt;=&lt;/mo&gt;&lt;mtext&gt;LogSoftmax&lt;/mtext&gt;&lt;mfenced&gt;&lt;mrow&gt;&lt;msubsup&gt;&lt;mi&gt;W&lt;/mi&gt;&lt;mn&gt;2&lt;/mn&gt;&lt;mo&gt;&amp;#x22A4;&lt;/mo&gt;&lt;/msubsup&gt;&lt;mo&gt;&amp;#xB7;&lt;/mo&gt;&lt;mtext&gt;ReLU&lt;/mtext&gt;&lt;mo&gt;(&lt;/mo&gt;&lt;msub&gt;&lt;mi&gt;W&lt;/mi&gt;&lt;mn&gt;1&lt;/mn&gt;&lt;/msub&gt;&lt;msub&gt;&lt;mi&gt;g&lt;/mi&gt;&lt;mi&gt;i&lt;/mi&gt;&lt;/msub&gt;&lt;mo&gt;+&lt;/mo&gt;&lt;msub&gt;&lt;mi&gt;b&lt;/mi&gt;&lt;mn&gt;1&lt;/mn&gt;&lt;/msub&gt;&lt;mo&gt;)&lt;/mo&gt;&lt;mo&gt;+&lt;/mo&gt;&lt;msub&gt;&lt;mi&gt;b&lt;/mi&gt;&lt;mn&gt;2&lt;/mn&gt;&lt;/msub&gt;&lt;/mrow&gt;&lt;/mfenced&gt;&lt;/math&gt;&quot;,&quot;origin&quot;:&quot;MathType Legacy&quot;,&quot;version&quot;:&quot;v3.23.0&quot;}" title="z 下标 i 等于 开始文本 LogSoftmax 结束文本 左小括号 W 下标 2 上标 ⊤ 乘 开始文本 ReLU 结束文本 左括号 W 下标 1 g 下标 i 加 b 下标 1 右括号 加 b 下标 2 右小括号"/>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0" y="0"/>
                      <a:ext cx="2856230" cy="212725"/>
                    </a:xfrm>
                    <a:prstGeom prst="rect">
                      <a:avLst/>
                    </a:prstGeom>
                  </pic:spPr>
                </pic:pic>
              </a:graphicData>
            </a:graphic>
          </wp:inline>
        </w:drawing>
      </w:r>
      <w:r>
        <w:rPr>
          <w:rFonts w:hint="eastAsia"/>
          <w:color w:val="000000"/>
          <w:position w:val="-19"/>
          <w:sz w:val="20"/>
          <w:szCs w:val="20"/>
        </w:rPr>
        <w:t xml:space="preserve">         </w:t>
      </w:r>
      <w:r>
        <w:rPr>
          <w:rFonts w:hint="eastAsia"/>
          <w:color w:val="000000"/>
          <w:sz w:val="20"/>
          <w:szCs w:val="20"/>
        </w:rPr>
        <w:t>（25）</w:t>
      </w:r>
    </w:p>
    <w:p w14:paraId="4CF6BCD0">
      <w:pPr>
        <w:pStyle w:val="7"/>
        <w:spacing w:after="60" w:line="240" w:lineRule="auto"/>
        <w:ind w:firstLine="400"/>
        <w:rPr>
          <w:color w:val="000000"/>
          <w:sz w:val="20"/>
          <w:szCs w:val="20"/>
        </w:rPr>
      </w:pPr>
      <w:r>
        <w:rPr>
          <w:color w:val="000000"/>
          <w:sz w:val="20"/>
          <w:szCs w:val="20"/>
        </w:rPr>
        <w:t>其中，</w:t>
      </w:r>
      <w:r>
        <w:rPr>
          <w:i/>
          <w:iCs/>
          <w:color w:val="000000"/>
          <w:sz w:val="20"/>
          <w:szCs w:val="20"/>
        </w:rPr>
        <w:t>W</w:t>
      </w:r>
      <w:r>
        <w:rPr>
          <w:color w:val="000000"/>
          <w:sz w:val="20"/>
          <w:szCs w:val="20"/>
          <w:vertAlign w:val="subscript"/>
        </w:rPr>
        <w:t>1</w:t>
      </w:r>
      <w:r>
        <w:rPr>
          <w:color w:val="000000"/>
          <w:sz w:val="20"/>
          <w:szCs w:val="20"/>
        </w:rPr>
        <w:t>和</w:t>
      </w:r>
      <w:r>
        <w:rPr>
          <w:i/>
          <w:iCs/>
          <w:color w:val="000000"/>
          <w:sz w:val="20"/>
          <w:szCs w:val="20"/>
        </w:rPr>
        <w:t>b</w:t>
      </w:r>
      <w:r>
        <w:rPr>
          <w:rFonts w:hint="eastAsia"/>
          <w:color w:val="000000"/>
          <w:sz w:val="20"/>
          <w:szCs w:val="20"/>
          <w:vertAlign w:val="subscript"/>
        </w:rPr>
        <w:t>1</w:t>
      </w:r>
      <w:r>
        <w:rPr>
          <w:color w:val="000000"/>
          <w:sz w:val="20"/>
          <w:szCs w:val="20"/>
        </w:rPr>
        <w:t>为第一层线性变换的权重矩阵与偏置</w:t>
      </w:r>
      <w:r>
        <w:rPr>
          <w:rFonts w:hint="eastAsia"/>
          <w:color w:val="000000"/>
          <w:sz w:val="20"/>
          <w:szCs w:val="20"/>
        </w:rPr>
        <w:t>，</w:t>
      </w:r>
      <w:r>
        <w:rPr>
          <w:i/>
          <w:iCs/>
          <w:color w:val="000000"/>
          <w:sz w:val="20"/>
          <w:szCs w:val="20"/>
        </w:rPr>
        <w:t>W</w:t>
      </w:r>
      <w:r>
        <w:rPr>
          <w:color w:val="000000"/>
          <w:sz w:val="20"/>
          <w:szCs w:val="20"/>
          <w:vertAlign w:val="subscript"/>
        </w:rPr>
        <w:t>2</w:t>
      </w:r>
      <w:r>
        <w:rPr>
          <w:color w:val="000000"/>
          <w:sz w:val="20"/>
          <w:szCs w:val="20"/>
        </w:rPr>
        <w:t>和</w:t>
      </w:r>
      <w:r>
        <w:rPr>
          <w:i/>
          <w:iCs/>
          <w:color w:val="000000"/>
          <w:sz w:val="20"/>
          <w:szCs w:val="20"/>
        </w:rPr>
        <w:t>b</w:t>
      </w:r>
      <w:r>
        <w:rPr>
          <w:color w:val="000000"/>
          <w:sz w:val="20"/>
          <w:szCs w:val="20"/>
          <w:vertAlign w:val="subscript"/>
        </w:rPr>
        <w:t>2</w:t>
      </w:r>
      <w:r>
        <w:rPr>
          <w:color w:val="000000"/>
          <w:sz w:val="20"/>
          <w:szCs w:val="20"/>
        </w:rPr>
        <w:t>为第二层线性变换的权重矩阵与偏置，</w:t>
      </w:r>
      <w:r>
        <w:rPr>
          <w:i/>
          <w:iCs/>
          <w:color w:val="000000"/>
          <w:sz w:val="20"/>
          <w:szCs w:val="20"/>
        </w:rPr>
        <w:t>C</w:t>
      </w:r>
      <w:r>
        <w:rPr>
          <w:color w:val="000000"/>
          <w:sz w:val="20"/>
          <w:szCs w:val="20"/>
        </w:rPr>
        <w:t>为APT组织类别总数</w:t>
      </w:r>
      <w:r>
        <w:rPr>
          <w:rFonts w:hint="eastAsia"/>
          <w:color w:val="000000"/>
          <w:sz w:val="20"/>
          <w:szCs w:val="20"/>
        </w:rPr>
        <w:t>，</w:t>
      </w:r>
      <w:r>
        <w:rPr>
          <w:rFonts w:hint="eastAsia"/>
          <w:i/>
          <w:iCs/>
          <w:color w:val="000000"/>
          <w:sz w:val="20"/>
          <w:szCs w:val="20"/>
        </w:rPr>
        <w:t>z</w:t>
      </w:r>
      <w:r>
        <w:rPr>
          <w:rFonts w:hint="eastAsia"/>
          <w:i/>
          <w:iCs/>
          <w:color w:val="000000"/>
          <w:sz w:val="20"/>
          <w:szCs w:val="20"/>
          <w:vertAlign w:val="subscript"/>
        </w:rPr>
        <w:t>i</w:t>
      </w:r>
      <w:r>
        <w:rPr>
          <w:rFonts w:cs="Cambria Math"/>
          <w:color w:val="000000"/>
          <w:sz w:val="20"/>
          <w:szCs w:val="20"/>
        </w:rPr>
        <w:t>∈</w:t>
      </w:r>
      <w:r>
        <w:rPr>
          <w:color w:val="000000"/>
          <w:sz w:val="20"/>
          <w:szCs w:val="20"/>
        </w:rPr>
        <w:t>ℝ</w:t>
      </w:r>
      <w:r>
        <w:rPr>
          <w:i/>
          <w:iCs/>
          <w:color w:val="000000"/>
          <w:sz w:val="20"/>
          <w:szCs w:val="20"/>
          <w:vertAlign w:val="superscript"/>
        </w:rPr>
        <w:t>C</w:t>
      </w:r>
      <w:r>
        <w:rPr>
          <w:color w:val="000000"/>
          <w:sz w:val="20"/>
          <w:szCs w:val="20"/>
        </w:rPr>
        <w:t>为预测的类别对数概率分布。</w:t>
      </w:r>
    </w:p>
    <w:p w14:paraId="172297AC">
      <w:pPr>
        <w:pStyle w:val="7"/>
        <w:spacing w:after="60" w:line="240" w:lineRule="auto"/>
        <w:ind w:firstLine="402"/>
        <w:rPr>
          <w:b/>
          <w:bCs/>
          <w:color w:val="000000"/>
          <w:sz w:val="20"/>
          <w:szCs w:val="20"/>
        </w:rPr>
      </w:pPr>
      <w:r>
        <w:rPr>
          <w:rFonts w:hint="eastAsia"/>
          <w:b/>
          <w:bCs/>
          <w:color w:val="000000"/>
          <w:sz w:val="20"/>
          <w:szCs w:val="20"/>
        </w:rPr>
        <w:t>（3）置信度校准</w:t>
      </w:r>
    </w:p>
    <w:p w14:paraId="2C0DFBC4">
      <w:pPr>
        <w:pStyle w:val="7"/>
        <w:spacing w:after="60" w:line="240" w:lineRule="auto"/>
        <w:ind w:firstLine="400"/>
        <w:rPr>
          <w:color w:val="000000"/>
          <w:sz w:val="20"/>
          <w:szCs w:val="20"/>
        </w:rPr>
      </w:pPr>
      <w:r>
        <w:rPr>
          <w:rFonts w:hint="eastAsia"/>
          <w:color w:val="000000"/>
          <w:sz w:val="20"/>
          <w:szCs w:val="20"/>
        </w:rPr>
        <w:t>为提升模型预测概率的可靠性，本文引入如公式（26）所示的温度标定（Temperature Scaling）对分类输出进行后处理，其中，温度参数</w:t>
      </w:r>
      <w:r>
        <w:rPr>
          <w:rFonts w:hint="eastAsia"/>
          <w:i/>
          <w:iCs/>
          <w:color w:val="000000"/>
          <w:sz w:val="20"/>
          <w:szCs w:val="20"/>
        </w:rPr>
        <w:t>T</w:t>
      </w:r>
      <w:r>
        <w:rPr>
          <w:rFonts w:hint="eastAsia"/>
          <w:color w:val="000000"/>
          <w:sz w:val="20"/>
          <w:szCs w:val="20"/>
        </w:rPr>
        <w:t>&gt;0在验证集上通过最小化负对数似然进行优化。</w:t>
      </w:r>
    </w:p>
    <w:p w14:paraId="76ED4ADF">
      <w:pPr>
        <w:pStyle w:val="7"/>
        <w:tabs>
          <w:tab w:val="center" w:pos="4393"/>
          <w:tab w:val="right" w:pos="8306"/>
        </w:tabs>
        <w:spacing w:after="60" w:line="240" w:lineRule="auto"/>
        <w:ind w:firstLine="400"/>
        <w:jc w:val="right"/>
        <w:rPr>
          <w:color w:val="000000"/>
          <w:sz w:val="20"/>
          <w:szCs w:val="20"/>
        </w:rPr>
      </w:pPr>
      <w:r>
        <w:rPr>
          <w:color w:val="000000"/>
          <w:position w:val="-59"/>
          <w:sz w:val="20"/>
          <w:szCs w:val="20"/>
        </w:rPr>
        <w:drawing>
          <wp:inline distT="0" distB="0" distL="0" distR="0">
            <wp:extent cx="2544445" cy="525780"/>
            <wp:effectExtent l="0" t="0" r="8255" b="7620"/>
            <wp:docPr id="12" name="Picture 1" descr="{&quot;mathml&quot;:&quot;&lt;math style=\&quot;font-family:stix;font-size:16px;\&quot; xmlns=\&quot;http://www.w3.org/1998/Math/MathML\&quot;&gt;&lt;msub&gt;&lt;mi&gt;p&lt;/mi&gt;&lt;mi&gt;i&lt;/mi&gt;&lt;/msub&gt;&lt;mo&gt;=&lt;/mo&gt;&lt;mo&gt;Softmax&lt;/mo&gt;&lt;mo&gt;(&lt;/mo&gt;&lt;msub&gt;&lt;mi mathvariant=\&quot;bold\&quot;&gt;z&lt;/mi&gt;&lt;mi&gt;i&lt;/mi&gt;&lt;/msub&gt;&lt;mo&gt;/&lt;/mo&gt;&lt;mi&gt;T&lt;/mi&gt;&lt;mo&gt;)&lt;/mo&gt;&lt;mo&gt;=&lt;/mo&gt;&lt;mfrac&gt;&lt;mrow&gt;&lt;mi&gt;exp&lt;/mi&gt;&lt;mo&gt;(&lt;/mo&gt;&lt;msub&gt;&lt;mi&gt;z&lt;/mi&gt;&lt;mi&gt;i&lt;/mi&gt;&lt;/msub&gt;&lt;mo&gt;/&lt;/mo&gt;&lt;mi&gt;T&lt;/mi&gt;&lt;mo&gt;)&lt;/mo&gt;&lt;/mrow&gt;&lt;mrow&gt;&lt;msubsup&gt;&lt;mo&gt;&amp;#x2211;&lt;/mo&gt;&lt;mrow&gt;&lt;mi&gt;j&lt;/mi&gt;&lt;mo&gt;=&lt;/mo&gt;&lt;mn&gt;1&lt;/mn&gt;&lt;/mrow&gt;&lt;mi&gt;C&lt;/mi&gt;&lt;/msubsup&gt;&lt;mi&gt;exp&lt;/mi&gt;&lt;mo&gt;(&lt;/mo&gt;&lt;msub&gt;&lt;mi&gt;z&lt;/mi&gt;&lt;mi&gt;j&lt;/mi&gt;&lt;/msub&gt;&lt;mo&gt;/&lt;/mo&gt;&lt;mi&gt;T&lt;/mi&gt;&lt;mo&gt;)&lt;/mo&gt;&lt;/mrow&gt;&lt;/mfrac&gt;&lt;/math&gt;&quot;,&quot;origin&quot;:&quot;MathType Legacy&quot;,&quot;version&quot;:&quot;v3.23.0&quot;}" title="p 下标 i 等于 Softmax 左括号 粗体字 z 下标 i 除以 T 右括号 等于 分数 加总 下标 j 等于 1 结束下标 上标 C exp 左括号 z 下标 j 除以 T 右括号 分之 exp 左括号 z 下标 i 除以 T 右括号 结束分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descr="{&quot;mathml&quot;:&quot;&lt;math style=\&quot;font-family:stix;font-size:16px;\&quot; xmlns=\&quot;http://www.w3.org/1998/Math/MathML\&quot;&gt;&lt;msub&gt;&lt;mi&gt;p&lt;/mi&gt;&lt;mi&gt;i&lt;/mi&gt;&lt;/msub&gt;&lt;mo&gt;=&lt;/mo&gt;&lt;mo&gt;Softmax&lt;/mo&gt;&lt;mo&gt;(&lt;/mo&gt;&lt;msub&gt;&lt;mi mathvariant=\&quot;bold\&quot;&gt;z&lt;/mi&gt;&lt;mi&gt;i&lt;/mi&gt;&lt;/msub&gt;&lt;mo&gt;/&lt;/mo&gt;&lt;mi&gt;T&lt;/mi&gt;&lt;mo&gt;)&lt;/mo&gt;&lt;mo&gt;=&lt;/mo&gt;&lt;mfrac&gt;&lt;mrow&gt;&lt;mi&gt;exp&lt;/mi&gt;&lt;mo&gt;(&lt;/mo&gt;&lt;msub&gt;&lt;mi&gt;z&lt;/mi&gt;&lt;mi&gt;i&lt;/mi&gt;&lt;/msub&gt;&lt;mo&gt;/&lt;/mo&gt;&lt;mi&gt;T&lt;/mi&gt;&lt;mo&gt;)&lt;/mo&gt;&lt;/mrow&gt;&lt;mrow&gt;&lt;msubsup&gt;&lt;mo&gt;&amp;#x2211;&lt;/mo&gt;&lt;mrow&gt;&lt;mi&gt;j&lt;/mi&gt;&lt;mo&gt;=&lt;/mo&gt;&lt;mn&gt;1&lt;/mn&gt;&lt;/mrow&gt;&lt;mi&gt;C&lt;/mi&gt;&lt;/msubsup&gt;&lt;mi&gt;exp&lt;/mi&gt;&lt;mo&gt;(&lt;/mo&gt;&lt;msub&gt;&lt;mi&gt;z&lt;/mi&gt;&lt;mi&gt;j&lt;/mi&gt;&lt;/msub&gt;&lt;mo&gt;/&lt;/mo&gt;&lt;mi&gt;T&lt;/mi&gt;&lt;mo&gt;)&lt;/mo&gt;&lt;/mrow&gt;&lt;/mfrac&gt;&lt;/math&gt;&quot;,&quot;origin&quot;:&quot;MathType Legacy&quot;,&quot;version&quot;:&quot;v3.23.0&quot;}" title="p 下标 i 等于 Softmax 左括号 粗体字 z 下标 i 除以 T 右括号 等于 分数 加总 下标 j 等于 1 结束下标 上标 C exp 左括号 z 下标 j 除以 T 右括号 分之 exp 左括号 z 下标 i 除以 T 右括号 结束分数"/>
                    <pic:cNvPicPr>
                      <a:picLocks noChangeAspect="1"/>
                    </pic:cNvPicPr>
                  </pic:nvPicPr>
                  <pic:blipFill>
                    <a:blip r:embed="rId42">
                      <a:extLst>
                        <a:ext uri="{28A0092B-C50C-407E-A947-70E740481C1C}">
                          <a14:useLocalDpi xmlns:a14="http://schemas.microsoft.com/office/drawing/2010/main" val="0"/>
                        </a:ext>
                      </a:extLst>
                    </a:blip>
                    <a:stretch>
                      <a:fillRect/>
                    </a:stretch>
                  </pic:blipFill>
                  <pic:spPr>
                    <a:xfrm>
                      <a:off x="0" y="0"/>
                      <a:ext cx="2544445" cy="525780"/>
                    </a:xfrm>
                    <a:prstGeom prst="rect">
                      <a:avLst/>
                    </a:prstGeom>
                  </pic:spPr>
                </pic:pic>
              </a:graphicData>
            </a:graphic>
          </wp:inline>
        </w:drawing>
      </w:r>
      <w:r>
        <w:rPr>
          <w:color w:val="000000"/>
          <w:sz w:val="20"/>
          <w:szCs w:val="20"/>
        </w:rPr>
        <w:t>​</w:t>
      </w:r>
      <w:r>
        <w:rPr>
          <w:rFonts w:hint="eastAsia"/>
          <w:color w:val="000000"/>
          <w:sz w:val="20"/>
          <w:szCs w:val="20"/>
        </w:rPr>
        <w:t xml:space="preserve">             </w:t>
      </w:r>
      <w:r>
        <w:rPr>
          <w:color w:val="000000"/>
          <w:sz w:val="20"/>
          <w:szCs w:val="20"/>
        </w:rPr>
        <w:t>(2</w:t>
      </w:r>
      <w:r>
        <w:rPr>
          <w:rFonts w:hint="eastAsia"/>
          <w:color w:val="000000"/>
          <w:sz w:val="20"/>
          <w:szCs w:val="20"/>
        </w:rPr>
        <w:t>6</w:t>
      </w:r>
      <w:r>
        <w:rPr>
          <w:color w:val="000000"/>
          <w:sz w:val="20"/>
          <w:szCs w:val="20"/>
        </w:rPr>
        <w:t>)</w:t>
      </w:r>
    </w:p>
    <w:p w14:paraId="6B7E1E51">
      <w:pPr>
        <w:pStyle w:val="7"/>
        <w:spacing w:after="60" w:line="240" w:lineRule="auto"/>
        <w:ind w:firstLine="400"/>
        <w:rPr>
          <w:sz w:val="20"/>
          <w:szCs w:val="20"/>
        </w:rPr>
      </w:pPr>
      <w:r>
        <w:rPr>
          <w:rFonts w:hint="eastAsia"/>
          <w:color w:val="000000"/>
          <w:sz w:val="20"/>
          <w:szCs w:val="20"/>
        </w:rPr>
        <w:t>该过程不改变类别排序而仅对概率分布进行重标定，能够缓解深度模型普遍存在的过置信问题[</w:t>
      </w:r>
      <w:r>
        <w:rPr>
          <w:rFonts w:hint="eastAsia"/>
          <w:color w:val="000000"/>
          <w:sz w:val="20"/>
          <w:szCs w:val="20"/>
          <w:lang w:eastAsia="zh"/>
        </w:rPr>
        <w:t>46</w:t>
      </w:r>
      <w:r>
        <w:rPr>
          <w:rFonts w:hint="eastAsia"/>
          <w:color w:val="000000"/>
          <w:sz w:val="20"/>
          <w:szCs w:val="20"/>
        </w:rPr>
        <w:t>]。因此本文将其引入APT归因场景以提升模型在实际安全分析中的可用性与决策可信度。</w:t>
      </w:r>
    </w:p>
    <w:p w14:paraId="117FBA2B">
      <w:pPr>
        <w:pStyle w:val="3"/>
        <w:keepNext/>
        <w:spacing w:before="360" w:after="120" w:afterLines="0"/>
        <w:jc w:val="both"/>
        <w:rPr>
          <w:sz w:val="24"/>
          <w:szCs w:val="24"/>
          <w:lang w:eastAsia="zh"/>
        </w:rPr>
      </w:pPr>
      <w:r>
        <w:rPr>
          <w:rFonts w:hint="eastAsia"/>
          <w:sz w:val="24"/>
          <w:szCs w:val="24"/>
          <w:lang w:eastAsia="zh"/>
        </w:rPr>
        <w:t xml:space="preserve">3.4 </w:t>
      </w:r>
      <w:bookmarkEnd w:id="9"/>
      <w:r>
        <w:rPr>
          <w:rFonts w:hint="eastAsia"/>
          <w:sz w:val="24"/>
          <w:szCs w:val="24"/>
          <w:lang w:eastAsia="zh"/>
        </w:rPr>
        <w:t>APT归因推理流程</w:t>
      </w:r>
    </w:p>
    <w:p w14:paraId="37E56275">
      <w:pPr>
        <w:pStyle w:val="7"/>
        <w:spacing w:after="60" w:line="240" w:lineRule="auto"/>
        <w:ind w:firstLine="400"/>
        <w:rPr>
          <w:color w:val="000000"/>
          <w:sz w:val="20"/>
          <w:szCs w:val="20"/>
        </w:rPr>
      </w:pPr>
      <w:r>
        <w:rPr>
          <w:rFonts w:hint="eastAsia"/>
          <w:color w:val="000000"/>
          <w:sz w:val="20"/>
          <w:szCs w:val="20"/>
        </w:rPr>
        <w:t>为实现从原始威胁情报到APT组织归因的统一建模，本文构建了一个端到端推理框架APT-CTIA，将文档预处理、实体建模、异构图构建、双流图推理与置信度校准整合为如算法1所示的统一流程。</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17"/>
      </w:tblGrid>
      <w:tr w14:paraId="5BCAA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17" w:type="dxa"/>
          </w:tcPr>
          <w:p w14:paraId="1B712BFB">
            <w:pPr>
              <w:pStyle w:val="7"/>
              <w:spacing w:after="60" w:line="240" w:lineRule="auto"/>
              <w:ind w:firstLine="0" w:firstLineChars="0"/>
              <w:rPr>
                <w:sz w:val="21"/>
                <w:szCs w:val="21"/>
              </w:rPr>
            </w:pPr>
            <w:r>
              <w:rPr>
                <w:rFonts w:hint="eastAsia"/>
                <w:sz w:val="21"/>
                <w:szCs w:val="21"/>
              </w:rPr>
              <w:t>算法1：APT-CTIA</w:t>
            </w:r>
          </w:p>
        </w:tc>
      </w:tr>
      <w:tr w14:paraId="04BAF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17" w:type="dxa"/>
          </w:tcPr>
          <w:p w14:paraId="00C8677A">
            <w:pPr>
              <w:pStyle w:val="7"/>
              <w:spacing w:after="60" w:line="240" w:lineRule="auto"/>
              <w:ind w:firstLine="0" w:firstLineChars="0"/>
              <w:rPr>
                <w:sz w:val="21"/>
                <w:szCs w:val="21"/>
              </w:rPr>
            </w:pPr>
            <w:r>
              <w:rPr>
                <w:rFonts w:hint="eastAsia"/>
                <w:sz w:val="21"/>
                <w:szCs w:val="21"/>
              </w:rPr>
              <w:t>输入：</w:t>
            </w:r>
            <w:r>
              <w:rPr>
                <w:sz w:val="21"/>
                <w:szCs w:val="21"/>
              </w:rPr>
              <w:t>威胁情报报告集合</w:t>
            </w:r>
            <w:r>
              <w:rPr>
                <w:rFonts w:hint="eastAsia"/>
                <w:i/>
                <w:iCs/>
                <w:sz w:val="21"/>
                <w:szCs w:val="21"/>
              </w:rPr>
              <w:t>r</w:t>
            </w:r>
            <w:r>
              <w:rPr>
                <w:rFonts w:hint="eastAsia"/>
                <w:i/>
                <w:iCs/>
                <w:sz w:val="21"/>
                <w:szCs w:val="21"/>
                <w:vertAlign w:val="subscript"/>
              </w:rPr>
              <w:t>i</w:t>
            </w:r>
            <w:r>
              <w:rPr>
                <w:sz w:val="21"/>
                <w:szCs w:val="21"/>
              </w:rPr>
              <w:t>, APT组织标签</w:t>
            </w:r>
            <w:r>
              <w:rPr>
                <w:rFonts w:hint="eastAsia"/>
                <w:i/>
                <w:iCs/>
                <w:sz w:val="21"/>
                <w:szCs w:val="21"/>
              </w:rPr>
              <w:t>y</w:t>
            </w:r>
            <w:r>
              <w:rPr>
                <w:rFonts w:hint="eastAsia"/>
                <w:i/>
                <w:iCs/>
                <w:sz w:val="21"/>
                <w:szCs w:val="21"/>
                <w:vertAlign w:val="subscript"/>
              </w:rPr>
              <w:t>i</w:t>
            </w:r>
            <w:r>
              <w:rPr>
                <w:sz w:val="21"/>
                <w:szCs w:val="21"/>
              </w:rPr>
              <w:t>, 验证集val_set</w:t>
            </w:r>
          </w:p>
          <w:p w14:paraId="49BE11EF">
            <w:pPr>
              <w:pStyle w:val="7"/>
              <w:spacing w:after="60" w:line="240" w:lineRule="auto"/>
              <w:ind w:firstLine="0" w:firstLineChars="0"/>
              <w:rPr>
                <w:sz w:val="21"/>
                <w:szCs w:val="21"/>
              </w:rPr>
            </w:pPr>
            <w:r>
              <w:rPr>
                <w:rFonts w:hint="eastAsia"/>
                <w:sz w:val="21"/>
                <w:szCs w:val="21"/>
              </w:rPr>
              <w:t>输出：</w:t>
            </w:r>
            <w:r>
              <w:rPr>
                <w:sz w:val="21"/>
                <w:szCs w:val="21"/>
              </w:rPr>
              <w:t>APT归因结果及置信度</w:t>
            </w:r>
            <m:oMath>
              <m:d>
                <m:dPr>
                  <m:ctrlPr>
                    <w:rPr>
                      <w:rFonts w:ascii="Cambria Math" w:hAnsi="Cambria Math"/>
                      <w:i/>
                      <w:sz w:val="21"/>
                      <w:szCs w:val="21"/>
                    </w:rPr>
                  </m:ctrlPr>
                </m:dPr>
                <m:e>
                  <m:sSub>
                    <m:sSubPr>
                      <m:ctrlPr>
                        <w:rPr>
                          <w:rFonts w:ascii="Cambria Math" w:hAnsi="Cambria Math"/>
                          <w:i/>
                          <w:sz w:val="21"/>
                          <w:szCs w:val="21"/>
                        </w:rPr>
                      </m:ctrlPr>
                    </m:sSubPr>
                    <m:e>
                      <m:r>
                        <m:rPr/>
                        <w:rPr>
                          <w:rFonts w:ascii="Cambria Math" w:hAnsi="Cambria Math"/>
                          <w:sz w:val="21"/>
                          <w:szCs w:val="21"/>
                        </w:rPr>
                        <m:t>ŷ</m:t>
                      </m:r>
                      <m:ctrlPr>
                        <w:rPr>
                          <w:rFonts w:ascii="Cambria Math" w:hAnsi="Cambria Math"/>
                          <w:i/>
                          <w:sz w:val="21"/>
                          <w:szCs w:val="21"/>
                        </w:rPr>
                      </m:ctrlPr>
                    </m:e>
                    <m:sub>
                      <m:r>
                        <m:rPr/>
                        <w:rPr>
                          <w:rFonts w:ascii="Cambria Math" w:hAnsi="Cambria Math"/>
                          <w:sz w:val="21"/>
                          <w:szCs w:val="21"/>
                        </w:rPr>
                        <m:t>j</m:t>
                      </m:r>
                      <m:ctrlPr>
                        <w:rPr>
                          <w:rFonts w:ascii="Cambria Math" w:hAnsi="Cambria Math"/>
                          <w:i/>
                          <w:sz w:val="21"/>
                          <w:szCs w:val="21"/>
                        </w:rPr>
                      </m:ctrlPr>
                    </m:sub>
                  </m:sSub>
                  <m:r>
                    <m:rPr/>
                    <w:rPr>
                      <w:rFonts w:ascii="Cambria Math" w:hAnsi="Cambria Math"/>
                      <w:sz w:val="21"/>
                      <w:szCs w:val="21"/>
                    </w:rPr>
                    <m:t>,</m:t>
                  </m:r>
                  <m:sSub>
                    <m:sSubPr>
                      <m:ctrlPr>
                        <w:rPr>
                          <w:rFonts w:ascii="Cambria Math" w:hAnsi="Cambria Math"/>
                          <w:i/>
                          <w:sz w:val="21"/>
                          <w:szCs w:val="21"/>
                        </w:rPr>
                      </m:ctrlPr>
                    </m:sSubPr>
                    <m:e>
                      <m:r>
                        <m:rPr/>
                        <w:rPr>
                          <w:rFonts w:ascii="Cambria Math" w:hAnsi="Cambria Math"/>
                          <w:sz w:val="21"/>
                          <w:szCs w:val="21"/>
                        </w:rPr>
                        <m:t>p</m:t>
                      </m:r>
                      <m:ctrlPr>
                        <w:rPr>
                          <w:rFonts w:ascii="Cambria Math" w:hAnsi="Cambria Math"/>
                          <w:i/>
                          <w:sz w:val="21"/>
                          <w:szCs w:val="21"/>
                        </w:rPr>
                      </m:ctrlPr>
                    </m:e>
                    <m:sub>
                      <m:r>
                        <m:rPr/>
                        <w:rPr>
                          <w:rFonts w:ascii="Cambria Math" w:hAnsi="Cambria Math"/>
                          <w:sz w:val="21"/>
                          <w:szCs w:val="21"/>
                        </w:rPr>
                        <m:t>j</m:t>
                      </m:r>
                      <m:ctrlPr>
                        <w:rPr>
                          <w:rFonts w:ascii="Cambria Math" w:hAnsi="Cambria Math"/>
                          <w:i/>
                          <w:sz w:val="21"/>
                          <w:szCs w:val="21"/>
                        </w:rPr>
                      </m:ctrlPr>
                    </m:sub>
                  </m:sSub>
                  <m:ctrlPr>
                    <w:rPr>
                      <w:rFonts w:ascii="Cambria Math" w:hAnsi="Cambria Math"/>
                      <w:i/>
                      <w:sz w:val="21"/>
                      <w:szCs w:val="21"/>
                    </w:rPr>
                  </m:ctrlPr>
                </m:e>
              </m:d>
            </m:oMath>
          </w:p>
        </w:tc>
      </w:tr>
      <w:tr w14:paraId="149BD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17" w:type="dxa"/>
          </w:tcPr>
          <w:p w14:paraId="54866AEF">
            <w:pPr>
              <w:pStyle w:val="7"/>
              <w:spacing w:line="240" w:lineRule="auto"/>
              <w:ind w:firstLine="0" w:firstLineChars="0"/>
              <w:jc w:val="left"/>
              <w:rPr>
                <w:sz w:val="21"/>
                <w:szCs w:val="21"/>
              </w:rPr>
            </w:pPr>
            <w:r>
              <w:rPr>
                <w:rFonts w:hint="eastAsia"/>
                <w:sz w:val="21"/>
                <w:szCs w:val="21"/>
              </w:rPr>
              <w:t>//</w:t>
            </w:r>
            <w:r>
              <w:rPr>
                <w:sz w:val="21"/>
                <w:szCs w:val="21"/>
              </w:rPr>
              <w:t>训练阶段</w:t>
            </w:r>
          </w:p>
          <w:p w14:paraId="392C8342">
            <w:pPr>
              <w:pStyle w:val="7"/>
              <w:tabs>
                <w:tab w:val="left" w:pos="4760"/>
              </w:tabs>
              <w:spacing w:line="240" w:lineRule="auto"/>
              <w:ind w:firstLine="0" w:firstLineChars="0"/>
              <w:rPr>
                <w:sz w:val="21"/>
                <w:szCs w:val="21"/>
              </w:rPr>
            </w:pPr>
            <w:r>
              <w:rPr>
                <w:rFonts w:hint="eastAsia"/>
                <w:sz w:val="21"/>
                <w:szCs w:val="21"/>
              </w:rPr>
              <w:t xml:space="preserve">01.  </w:t>
            </w:r>
            <w:r>
              <w:rPr>
                <w:sz w:val="21"/>
                <w:szCs w:val="21"/>
              </w:rPr>
              <w:t>Initialize model parameters </w:t>
            </w:r>
            <w:r>
              <w:rPr>
                <w:i/>
                <w:iCs/>
                <w:sz w:val="21"/>
                <w:szCs w:val="21"/>
              </w:rPr>
              <w:t>θ</w:t>
            </w:r>
            <w:r>
              <w:rPr>
                <w:i/>
                <w:iCs/>
                <w:sz w:val="21"/>
                <w:szCs w:val="21"/>
              </w:rPr>
              <w:tab/>
            </w:r>
            <w:r>
              <w:rPr>
                <w:rFonts w:cs="Cambria Math"/>
                <w:sz w:val="21"/>
                <w:szCs w:val="21"/>
              </w:rPr>
              <w:t>▷</w:t>
            </w:r>
            <w:r>
              <w:rPr>
                <w:rFonts w:hint="eastAsia" w:cs="Cambria Math"/>
                <w:sz w:val="21"/>
                <w:szCs w:val="21"/>
              </w:rPr>
              <w:t>初始化模型参数</w:t>
            </w:r>
          </w:p>
          <w:p w14:paraId="4D5DBC2B">
            <w:pPr>
              <w:pStyle w:val="7"/>
              <w:spacing w:line="240" w:lineRule="auto"/>
              <w:ind w:firstLine="0" w:firstLineChars="0"/>
              <w:rPr>
                <w:sz w:val="21"/>
                <w:szCs w:val="21"/>
              </w:rPr>
            </w:pPr>
            <w:r>
              <w:rPr>
                <w:rFonts w:hint="eastAsia"/>
                <w:sz w:val="21"/>
                <w:szCs w:val="21"/>
              </w:rPr>
              <w:t xml:space="preserve">02.  </w:t>
            </w:r>
            <w:r>
              <w:rPr>
                <w:b/>
                <w:bCs/>
                <w:sz w:val="21"/>
                <w:szCs w:val="21"/>
              </w:rPr>
              <w:t>for</w:t>
            </w:r>
            <w:r>
              <w:rPr>
                <w:sz w:val="21"/>
                <w:szCs w:val="21"/>
              </w:rPr>
              <w:t> each epoch </w:t>
            </w:r>
            <w:r>
              <w:rPr>
                <w:b/>
                <w:bCs/>
                <w:sz w:val="21"/>
                <w:szCs w:val="21"/>
              </w:rPr>
              <w:t>do</w:t>
            </w:r>
          </w:p>
          <w:p w14:paraId="51ABFC60">
            <w:pPr>
              <w:pStyle w:val="7"/>
              <w:spacing w:line="240" w:lineRule="auto"/>
              <w:ind w:firstLine="0" w:firstLineChars="0"/>
              <w:jc w:val="left"/>
              <w:rPr>
                <w:sz w:val="21"/>
                <w:szCs w:val="21"/>
              </w:rPr>
            </w:pPr>
            <w:r>
              <w:rPr>
                <w:rFonts w:hint="eastAsia"/>
                <w:sz w:val="21"/>
                <w:szCs w:val="21"/>
              </w:rPr>
              <w:t xml:space="preserve">03.  </w:t>
            </w:r>
            <w:r>
              <w:rPr>
                <w:rFonts w:hint="eastAsia"/>
                <w:sz w:val="21"/>
                <w:szCs w:val="21"/>
                <w:lang w:eastAsia="zh"/>
              </w:rPr>
              <w:t xml:space="preserve">  </w:t>
            </w:r>
            <w:r>
              <w:rPr>
                <w:b/>
                <w:bCs/>
                <w:sz w:val="21"/>
                <w:szCs w:val="21"/>
              </w:rPr>
              <w:t>for</w:t>
            </w:r>
            <w:r>
              <w:rPr>
                <w:sz w:val="21"/>
                <w:szCs w:val="21"/>
              </w:rPr>
              <w:t xml:space="preserve"> each training sample</w:t>
            </w:r>
            <w:r>
              <w:rPr>
                <w:rFonts w:hint="eastAsia"/>
                <w:sz w:val="21"/>
                <w:szCs w:val="21"/>
              </w:rPr>
              <w:t xml:space="preserve"> </w:t>
            </w:r>
            <w:r>
              <w:rPr>
                <w:rFonts w:hint="eastAsia"/>
                <w:i/>
                <w:iCs/>
                <w:sz w:val="21"/>
                <w:szCs w:val="21"/>
              </w:rPr>
              <w:t>r</w:t>
            </w:r>
            <w:r>
              <w:rPr>
                <w:rFonts w:hint="eastAsia"/>
                <w:i/>
                <w:iCs/>
                <w:sz w:val="21"/>
                <w:szCs w:val="21"/>
                <w:vertAlign w:val="subscript"/>
              </w:rPr>
              <w:t xml:space="preserve">i </w:t>
            </w:r>
            <w:r>
              <w:rPr>
                <w:rFonts w:hint="eastAsia"/>
                <w:b/>
                <w:bCs/>
                <w:sz w:val="21"/>
                <w:szCs w:val="21"/>
              </w:rPr>
              <w:t>do</w:t>
            </w:r>
          </w:p>
          <w:p w14:paraId="4BDB629C">
            <w:pPr>
              <w:pStyle w:val="7"/>
              <w:spacing w:line="240" w:lineRule="auto"/>
              <w:ind w:firstLine="0" w:firstLineChars="0"/>
              <w:jc w:val="left"/>
              <w:rPr>
                <w:sz w:val="21"/>
                <w:szCs w:val="21"/>
              </w:rPr>
            </w:pPr>
            <w:r>
              <w:rPr>
                <w:rFonts w:hint="eastAsia"/>
                <w:sz w:val="21"/>
                <w:szCs w:val="21"/>
              </w:rPr>
              <w:t xml:space="preserve">04.  </w:t>
            </w:r>
            <w:r>
              <w:rPr>
                <w:rFonts w:hint="eastAsia"/>
                <w:sz w:val="21"/>
                <w:szCs w:val="21"/>
                <w:lang w:eastAsia="zh"/>
              </w:rPr>
              <w:t xml:space="preserve">    </w:t>
            </w:r>
            <w:r>
              <w:rPr>
                <w:rFonts w:hint="eastAsia"/>
                <w:i/>
                <w:iCs/>
                <w:sz w:val="21"/>
                <w:szCs w:val="21"/>
              </w:rPr>
              <w:t>P</w:t>
            </w:r>
            <w:r>
              <w:rPr>
                <w:rFonts w:hint="eastAsia"/>
                <w:i/>
                <w:iCs/>
                <w:sz w:val="21"/>
                <w:szCs w:val="21"/>
                <w:vertAlign w:val="subscript"/>
              </w:rPr>
              <w:t>i</w:t>
            </w:r>
            <w:r>
              <w:rPr>
                <w:rFonts w:cs="Arial"/>
                <w:sz w:val="21"/>
                <w:szCs w:val="21"/>
              </w:rPr>
              <w:t>←</w:t>
            </w:r>
            <w:r>
              <w:rPr>
                <w:rFonts w:hint="eastAsia"/>
                <w:sz w:val="21"/>
                <w:szCs w:val="21"/>
              </w:rPr>
              <w:t>SemSplit(</w:t>
            </w:r>
            <w:r>
              <w:rPr>
                <w:rFonts w:hint="eastAsia"/>
                <w:i/>
                <w:iCs/>
                <w:sz w:val="21"/>
                <w:szCs w:val="21"/>
              </w:rPr>
              <w:t>r</w:t>
            </w:r>
            <w:r>
              <w:rPr>
                <w:rFonts w:hint="eastAsia"/>
                <w:i/>
                <w:iCs/>
                <w:sz w:val="21"/>
                <w:szCs w:val="21"/>
                <w:vertAlign w:val="subscript"/>
              </w:rPr>
              <w:t>i</w:t>
            </w:r>
            <w:r>
              <w:rPr>
                <w:rFonts w:hint="eastAsia"/>
                <w:sz w:val="21"/>
                <w:szCs w:val="21"/>
              </w:rPr>
              <w:t>)</w:t>
            </w:r>
            <w:r>
              <w:rPr>
                <w:sz w:val="21"/>
                <w:szCs w:val="21"/>
              </w:rPr>
              <w:t xml:space="preserve">                  </w:t>
            </w:r>
            <w:r>
              <w:rPr>
                <w:rFonts w:hint="eastAsia"/>
                <w:sz w:val="21"/>
                <w:szCs w:val="21"/>
              </w:rPr>
              <w:t xml:space="preserve">   </w:t>
            </w:r>
            <w:r>
              <w:rPr>
                <w:sz w:val="21"/>
                <w:szCs w:val="21"/>
              </w:rPr>
              <w:t xml:space="preserve">  ▷ 文档解析与段落分割（</w:t>
            </w:r>
            <w:r>
              <w:rPr>
                <w:rFonts w:hint="eastAsia"/>
                <w:sz w:val="21"/>
                <w:szCs w:val="21"/>
              </w:rPr>
              <w:t>公式（1）</w:t>
            </w:r>
            <w:r>
              <w:rPr>
                <w:sz w:val="21"/>
                <w:szCs w:val="21"/>
              </w:rPr>
              <w:t>）</w:t>
            </w:r>
          </w:p>
          <w:p w14:paraId="4A64E465">
            <w:pPr>
              <w:pStyle w:val="7"/>
              <w:spacing w:line="240" w:lineRule="auto"/>
              <w:ind w:firstLine="0" w:firstLineChars="0"/>
              <w:jc w:val="left"/>
              <w:rPr>
                <w:sz w:val="21"/>
                <w:szCs w:val="21"/>
              </w:rPr>
            </w:pPr>
            <w:r>
              <w:rPr>
                <w:rFonts w:hint="eastAsia"/>
                <w:sz w:val="21"/>
                <w:szCs w:val="21"/>
              </w:rPr>
              <w:t xml:space="preserve">05.  </w:t>
            </w:r>
            <w:r>
              <w:rPr>
                <w:rFonts w:hint="eastAsia"/>
                <w:sz w:val="21"/>
                <w:szCs w:val="21"/>
                <w:lang w:eastAsia="zh"/>
              </w:rPr>
              <w:t xml:space="preserve">    </w:t>
            </w:r>
            <w:r>
              <w:rPr>
                <w:rFonts w:hint="eastAsia"/>
                <w:i/>
                <w:iCs/>
                <w:sz w:val="21"/>
                <w:szCs w:val="21"/>
              </w:rPr>
              <w:t>V</w:t>
            </w:r>
            <w:r>
              <w:rPr>
                <w:rFonts w:hint="eastAsia"/>
                <w:i/>
                <w:iCs/>
                <w:sz w:val="21"/>
                <w:szCs w:val="21"/>
                <w:vertAlign w:val="subscript"/>
              </w:rPr>
              <w:t>i</w:t>
            </w:r>
            <w:r>
              <w:rPr>
                <w:rFonts w:hint="eastAsia"/>
                <w:sz w:val="21"/>
                <w:szCs w:val="21"/>
              </w:rPr>
              <w:t>,</w:t>
            </w:r>
            <w:r>
              <w:rPr>
                <w:rFonts w:hint="eastAsia"/>
                <w:i/>
                <w:iCs/>
                <w:sz w:val="21"/>
                <w:szCs w:val="21"/>
              </w:rPr>
              <w:t>X</w:t>
            </w:r>
            <w:r>
              <w:rPr>
                <w:rFonts w:hint="eastAsia"/>
                <w:i/>
                <w:iCs/>
                <w:sz w:val="21"/>
                <w:szCs w:val="21"/>
                <w:vertAlign w:val="subscript"/>
              </w:rPr>
              <w:t>i</w:t>
            </w:r>
            <w:r>
              <w:rPr>
                <w:rFonts w:cs="Arial"/>
                <w:sz w:val="21"/>
                <w:szCs w:val="21"/>
              </w:rPr>
              <w:t>←</w:t>
            </w:r>
            <w:r>
              <w:rPr>
                <w:sz w:val="21"/>
                <w:szCs w:val="21"/>
              </w:rPr>
              <w:t>E</w:t>
            </w:r>
            <w:r>
              <w:rPr>
                <w:rFonts w:hint="eastAsia"/>
                <w:sz w:val="21"/>
                <w:szCs w:val="21"/>
              </w:rPr>
              <w:t>ntityExtract(</w:t>
            </w:r>
            <w:r>
              <w:rPr>
                <w:rFonts w:hint="eastAsia"/>
                <w:i/>
                <w:iCs/>
                <w:sz w:val="21"/>
                <w:szCs w:val="21"/>
              </w:rPr>
              <w:t>P</w:t>
            </w:r>
            <w:r>
              <w:rPr>
                <w:rFonts w:hint="eastAsia"/>
                <w:i/>
                <w:iCs/>
                <w:sz w:val="21"/>
                <w:szCs w:val="21"/>
                <w:vertAlign w:val="subscript"/>
              </w:rPr>
              <w:t>i</w:t>
            </w:r>
            <w:r>
              <w:rPr>
                <w:rFonts w:hint="eastAsia"/>
                <w:sz w:val="21"/>
                <w:szCs w:val="21"/>
              </w:rPr>
              <w:t>)</w:t>
            </w:r>
            <w:r>
              <w:rPr>
                <w:sz w:val="21"/>
                <w:szCs w:val="21"/>
              </w:rPr>
              <w:t xml:space="preserve">         ▷ 三级实体识别与特征构建（</w:t>
            </w:r>
            <w:r>
              <w:rPr>
                <w:rFonts w:hint="eastAsia"/>
                <w:sz w:val="21"/>
                <w:szCs w:val="21"/>
              </w:rPr>
              <w:t>公式（2）-（10）</w:t>
            </w:r>
            <w:r>
              <w:rPr>
                <w:sz w:val="21"/>
                <w:szCs w:val="21"/>
              </w:rPr>
              <w:t>）</w:t>
            </w:r>
          </w:p>
          <w:p w14:paraId="3C1BF9D2">
            <w:pPr>
              <w:pStyle w:val="7"/>
              <w:spacing w:line="240" w:lineRule="auto"/>
              <w:ind w:firstLine="0" w:firstLineChars="0"/>
              <w:jc w:val="left"/>
              <w:rPr>
                <w:sz w:val="21"/>
                <w:szCs w:val="21"/>
              </w:rPr>
            </w:pPr>
            <w:r>
              <w:rPr>
                <w:rFonts w:hint="eastAsia"/>
                <w:sz w:val="21"/>
                <w:szCs w:val="21"/>
              </w:rPr>
              <w:t xml:space="preserve">06.  </w:t>
            </w:r>
            <w:r>
              <w:rPr>
                <w:rFonts w:hint="eastAsia"/>
                <w:sz w:val="21"/>
                <w:szCs w:val="21"/>
                <w:lang w:eastAsia="zh"/>
              </w:rPr>
              <w:t xml:space="preserve">    </w:t>
            </w:r>
            <w:r>
              <w:rPr>
                <w:rFonts w:hint="eastAsia"/>
                <w:i/>
                <w:iCs/>
                <w:sz w:val="21"/>
                <w:szCs w:val="21"/>
              </w:rPr>
              <w:t>G</w:t>
            </w:r>
            <w:r>
              <w:rPr>
                <w:rFonts w:hint="eastAsia"/>
                <w:i/>
                <w:iCs/>
                <w:sz w:val="21"/>
                <w:szCs w:val="21"/>
                <w:vertAlign w:val="subscript"/>
              </w:rPr>
              <w:t>i</w:t>
            </w:r>
            <w:r>
              <w:rPr>
                <w:rFonts w:cs="Arial"/>
                <w:sz w:val="21"/>
                <w:szCs w:val="21"/>
              </w:rPr>
              <w:t>←</w:t>
            </w:r>
            <w:r>
              <w:rPr>
                <w:sz w:val="21"/>
                <w:szCs w:val="21"/>
              </w:rPr>
              <w:t>BuildGraph(</w:t>
            </w:r>
            <w:r>
              <w:rPr>
                <w:i/>
                <w:iCs/>
                <w:sz w:val="21"/>
                <w:szCs w:val="21"/>
              </w:rPr>
              <w:t>V</w:t>
            </w:r>
            <w:r>
              <w:rPr>
                <w:i/>
                <w:iCs/>
                <w:sz w:val="21"/>
                <w:szCs w:val="21"/>
                <w:vertAlign w:val="subscript"/>
              </w:rPr>
              <w:t>i</w:t>
            </w:r>
            <w:r>
              <w:rPr>
                <w:sz w:val="21"/>
                <w:szCs w:val="21"/>
              </w:rPr>
              <w:t>,</w:t>
            </w:r>
            <w:r>
              <w:rPr>
                <w:i/>
                <w:iCs/>
                <w:sz w:val="21"/>
                <w:szCs w:val="21"/>
              </w:rPr>
              <w:t>X</w:t>
            </w:r>
            <w:r>
              <w:rPr>
                <w:i/>
                <w:iCs/>
                <w:sz w:val="21"/>
                <w:szCs w:val="21"/>
                <w:vertAlign w:val="subscript"/>
              </w:rPr>
              <w:t>i</w:t>
            </w:r>
            <w:r>
              <w:rPr>
                <w:sz w:val="21"/>
                <w:szCs w:val="21"/>
              </w:rPr>
              <w:t>,</w:t>
            </w:r>
            <w:r>
              <w:rPr>
                <w:i/>
                <w:iCs/>
                <w:sz w:val="21"/>
                <w:szCs w:val="21"/>
              </w:rPr>
              <w:t>P</w:t>
            </w:r>
            <w:r>
              <w:rPr>
                <w:i/>
                <w:iCs/>
                <w:sz w:val="21"/>
                <w:szCs w:val="21"/>
                <w:vertAlign w:val="subscript"/>
              </w:rPr>
              <w:t>i</w:t>
            </w:r>
            <w:r>
              <w:rPr>
                <w:sz w:val="21"/>
                <w:szCs w:val="21"/>
              </w:rPr>
              <w:t xml:space="preserve">)          </w:t>
            </w:r>
            <w:r>
              <w:rPr>
                <w:rFonts w:hint="eastAsia"/>
                <w:sz w:val="21"/>
                <w:szCs w:val="21"/>
              </w:rPr>
              <w:t xml:space="preserve"> </w:t>
            </w:r>
            <w:r>
              <w:rPr>
                <w:sz w:val="21"/>
                <w:szCs w:val="21"/>
              </w:rPr>
              <w:t>▷ 五层异构图构建（</w:t>
            </w:r>
            <w:r>
              <w:rPr>
                <w:rFonts w:hint="eastAsia"/>
                <w:sz w:val="21"/>
                <w:szCs w:val="21"/>
              </w:rPr>
              <w:t>公式（11）-（15）</w:t>
            </w:r>
            <w:r>
              <w:rPr>
                <w:sz w:val="21"/>
                <w:szCs w:val="21"/>
              </w:rPr>
              <w:t>）</w:t>
            </w:r>
          </w:p>
          <w:p w14:paraId="7E843569">
            <w:pPr>
              <w:pStyle w:val="7"/>
              <w:spacing w:line="240" w:lineRule="auto"/>
              <w:ind w:firstLine="0" w:firstLineChars="0"/>
              <w:jc w:val="left"/>
              <w:rPr>
                <w:sz w:val="21"/>
                <w:szCs w:val="21"/>
              </w:rPr>
            </w:pPr>
            <w:r>
              <w:rPr>
                <w:rFonts w:hint="eastAsia"/>
                <w:sz w:val="21"/>
                <w:szCs w:val="21"/>
              </w:rPr>
              <w:t xml:space="preserve">07.  </w:t>
            </w:r>
            <w:r>
              <w:rPr>
                <w:rFonts w:hint="eastAsia"/>
                <w:sz w:val="21"/>
                <w:szCs w:val="21"/>
                <w:lang w:eastAsia="zh"/>
              </w:rPr>
              <w:t xml:space="preserve">    </w:t>
            </w:r>
            <w:r>
              <w:rPr>
                <w:rFonts w:hint="eastAsia"/>
                <w:sz w:val="21"/>
                <w:szCs w:val="21"/>
              </w:rPr>
              <w:t>g</w:t>
            </w:r>
            <w:r>
              <w:rPr>
                <w:rFonts w:hint="eastAsia"/>
                <w:sz w:val="21"/>
                <w:szCs w:val="21"/>
                <w:vertAlign w:val="subscript"/>
              </w:rPr>
              <w:t>i</w:t>
            </w:r>
            <w:r>
              <w:rPr>
                <w:rFonts w:cs="Arial"/>
                <w:sz w:val="21"/>
                <w:szCs w:val="21"/>
              </w:rPr>
              <w:t>←</w:t>
            </w:r>
            <w:r>
              <w:rPr>
                <w:sz w:val="21"/>
                <w:szCs w:val="21"/>
              </w:rPr>
              <w:t>DualStreamGNN</w:t>
            </w:r>
            <w:r>
              <w:rPr>
                <w:i/>
                <w:iCs/>
                <w:sz w:val="21"/>
                <w:szCs w:val="21"/>
                <w:vertAlign w:val="subscript"/>
              </w:rPr>
              <w:t>θ</w:t>
            </w:r>
            <w:r>
              <w:rPr>
                <w:sz w:val="21"/>
                <w:szCs w:val="21"/>
              </w:rPr>
              <w:t>(</w:t>
            </w:r>
            <w:r>
              <w:rPr>
                <w:i/>
                <w:iCs/>
                <w:sz w:val="21"/>
                <w:szCs w:val="21"/>
              </w:rPr>
              <w:t>G</w:t>
            </w:r>
            <w:r>
              <w:rPr>
                <w:i/>
                <w:iCs/>
                <w:sz w:val="21"/>
                <w:szCs w:val="21"/>
                <w:vertAlign w:val="subscript"/>
              </w:rPr>
              <w:t>i</w:t>
            </w:r>
            <w:r>
              <w:rPr>
                <w:sz w:val="21"/>
                <w:szCs w:val="21"/>
              </w:rPr>
              <w:t>)          ▷ 双流GNN前向传播（</w:t>
            </w:r>
            <w:r>
              <w:rPr>
                <w:rFonts w:hint="eastAsia"/>
                <w:sz w:val="21"/>
                <w:szCs w:val="21"/>
              </w:rPr>
              <w:t>公式（16）-（22</w:t>
            </w:r>
            <w:r>
              <w:rPr>
                <w:sz w:val="21"/>
                <w:szCs w:val="21"/>
              </w:rPr>
              <w:t>）</w:t>
            </w:r>
            <w:r>
              <w:rPr>
                <w:rFonts w:hint="eastAsia"/>
                <w:sz w:val="21"/>
                <w:szCs w:val="21"/>
              </w:rPr>
              <w:t>）</w:t>
            </w:r>
          </w:p>
          <w:p w14:paraId="6AA171E4">
            <w:pPr>
              <w:pStyle w:val="7"/>
              <w:tabs>
                <w:tab w:val="right" w:pos="8080"/>
              </w:tabs>
              <w:spacing w:line="240" w:lineRule="auto"/>
              <w:ind w:firstLine="0" w:firstLineChars="0"/>
              <w:rPr>
                <w:sz w:val="21"/>
                <w:szCs w:val="21"/>
              </w:rPr>
            </w:pPr>
            <w:r>
              <w:rPr>
                <w:sz w:val="21"/>
                <w:szCs w:val="21"/>
              </w:rPr>
              <w:t>0</w:t>
            </w:r>
            <w:r>
              <w:rPr>
                <w:rFonts w:hint="eastAsia"/>
                <w:sz w:val="21"/>
                <w:szCs w:val="21"/>
              </w:rPr>
              <w:t>8</w:t>
            </w:r>
            <w:r>
              <w:rPr>
                <w:sz w:val="21"/>
                <w:szCs w:val="21"/>
              </w:rPr>
              <w:t xml:space="preserve">. </w:t>
            </w:r>
            <w:r>
              <w:rPr>
                <w:rFonts w:hint="eastAsia"/>
                <w:sz w:val="21"/>
                <w:szCs w:val="21"/>
                <w:lang w:eastAsia="zh"/>
              </w:rPr>
              <w:t xml:space="preserve">    </w:t>
            </w:r>
            <w:r>
              <w:rPr>
                <w:sz w:val="21"/>
                <w:szCs w:val="21"/>
              </w:rPr>
              <w:t xml:space="preserve"> </w:t>
            </w:r>
            <w:r>
              <w:rPr>
                <w:rFonts w:hint="eastAsia"/>
                <w:sz w:val="21"/>
                <w:szCs w:val="21"/>
              </w:rPr>
              <w:t>z</w:t>
            </w:r>
            <w:r>
              <w:rPr>
                <w:rFonts w:hint="eastAsia"/>
                <w:sz w:val="21"/>
                <w:szCs w:val="21"/>
                <w:vertAlign w:val="subscript"/>
              </w:rPr>
              <w:t>i</w:t>
            </w:r>
            <w:r>
              <w:rPr>
                <w:rFonts w:cs="Arial"/>
                <w:sz w:val="21"/>
                <w:szCs w:val="21"/>
              </w:rPr>
              <w:t>←</w:t>
            </w:r>
            <w:r>
              <w:rPr>
                <w:sz w:val="21"/>
                <w:szCs w:val="21"/>
              </w:rPr>
              <w:t>MLP</w:t>
            </w:r>
            <w:r>
              <w:rPr>
                <w:rFonts w:hint="eastAsia"/>
                <w:sz w:val="21"/>
                <w:szCs w:val="21"/>
                <w:vertAlign w:val="subscript"/>
              </w:rPr>
              <w:t>classifer</w:t>
            </w:r>
            <w:r>
              <w:rPr>
                <w:rFonts w:hint="eastAsia"/>
                <w:sz w:val="21"/>
                <w:szCs w:val="21"/>
              </w:rPr>
              <w:t>(g</w:t>
            </w:r>
            <w:r>
              <w:rPr>
                <w:rFonts w:hint="eastAsia"/>
                <w:sz w:val="21"/>
                <w:szCs w:val="21"/>
                <w:vertAlign w:val="subscript"/>
              </w:rPr>
              <w:t>i</w:t>
            </w:r>
            <w:r>
              <w:rPr>
                <w:rFonts w:hint="eastAsia"/>
                <w:sz w:val="21"/>
                <w:szCs w:val="21"/>
              </w:rPr>
              <w:t>)</w:t>
            </w:r>
            <w:r>
              <w:rPr>
                <w:rFonts w:cs="Cambria Math"/>
                <w:sz w:val="21"/>
                <w:szCs w:val="21"/>
              </w:rPr>
              <w:t xml:space="preserve"> </w:t>
            </w:r>
            <w:r>
              <w:rPr>
                <w:rFonts w:hint="eastAsia" w:cs="Cambria Math"/>
                <w:sz w:val="21"/>
                <w:szCs w:val="21"/>
              </w:rPr>
              <w:t xml:space="preserve">                </w:t>
            </w:r>
            <w:r>
              <w:rPr>
                <w:rFonts w:cs="Cambria Math"/>
                <w:sz w:val="21"/>
                <w:szCs w:val="21"/>
              </w:rPr>
              <w:t>▷</w:t>
            </w:r>
            <w:r>
              <w:rPr>
                <w:sz w:val="21"/>
                <w:szCs w:val="21"/>
              </w:rPr>
              <w:t xml:space="preserve"> 分类器输出对数概率（公式（2</w:t>
            </w:r>
            <w:r>
              <w:rPr>
                <w:rFonts w:hint="eastAsia"/>
                <w:sz w:val="21"/>
                <w:szCs w:val="21"/>
              </w:rPr>
              <w:t>5</w:t>
            </w:r>
            <w:r>
              <w:rPr>
                <w:sz w:val="21"/>
                <w:szCs w:val="21"/>
              </w:rPr>
              <w:t>））</w:t>
            </w:r>
          </w:p>
          <w:p w14:paraId="723D6C7B">
            <w:pPr>
              <w:pStyle w:val="7"/>
              <w:tabs>
                <w:tab w:val="left" w:pos="3800"/>
                <w:tab w:val="right" w:pos="8080"/>
              </w:tabs>
              <w:spacing w:line="240" w:lineRule="auto"/>
              <w:ind w:firstLine="0" w:firstLineChars="0"/>
              <w:rPr>
                <w:sz w:val="21"/>
                <w:szCs w:val="21"/>
              </w:rPr>
            </w:pPr>
            <w:r>
              <w:rPr>
                <w:rFonts w:hint="eastAsia"/>
                <w:sz w:val="21"/>
                <w:szCs w:val="21"/>
              </w:rPr>
              <w:t xml:space="preserve">09.  </w:t>
            </w:r>
            <w:r>
              <w:rPr>
                <w:rFonts w:hint="eastAsia"/>
                <w:sz w:val="21"/>
                <w:szCs w:val="21"/>
                <w:lang w:eastAsia="zh"/>
              </w:rPr>
              <w:t xml:space="preserve">    </w:t>
            </w:r>
            <w:r>
              <w:rPr>
                <w:i/>
                <w:iCs/>
                <w:sz w:val="21"/>
                <w:szCs w:val="21"/>
              </w:rPr>
              <w:t>p̂ᵢ</w:t>
            </w:r>
            <w:r>
              <w:rPr>
                <w:rFonts w:cs="Arial"/>
                <w:i/>
                <w:iCs/>
                <w:sz w:val="21"/>
                <w:szCs w:val="21"/>
              </w:rPr>
              <w:t>←</w:t>
            </w:r>
            <w:r>
              <w:rPr>
                <w:sz w:val="21"/>
                <w:szCs w:val="21"/>
              </w:rPr>
              <w:t>Softmax(z</w:t>
            </w:r>
            <w:r>
              <w:rPr>
                <w:sz w:val="21"/>
                <w:szCs w:val="21"/>
                <w:vertAlign w:val="subscript"/>
              </w:rPr>
              <w:t>i</w:t>
            </w:r>
            <w:r>
              <w:rPr>
                <w:sz w:val="21"/>
                <w:szCs w:val="21"/>
              </w:rPr>
              <w:t xml:space="preserve">)  </w:t>
            </w:r>
            <w:r>
              <w:rPr>
                <w:rFonts w:hint="eastAsia" w:cs="Arial"/>
                <w:sz w:val="21"/>
                <w:szCs w:val="21"/>
              </w:rPr>
              <w:t xml:space="preserve">         </w:t>
            </w:r>
            <w:r>
              <w:rPr>
                <w:sz w:val="21"/>
                <w:szCs w:val="21"/>
              </w:rPr>
              <w:tab/>
            </w:r>
            <w:r>
              <w:rPr>
                <w:rFonts w:cs="Cambria Math"/>
                <w:sz w:val="21"/>
                <w:szCs w:val="21"/>
              </w:rPr>
              <w:t>▷</w:t>
            </w:r>
            <w:r>
              <w:rPr>
                <w:sz w:val="21"/>
                <w:szCs w:val="21"/>
              </w:rPr>
              <w:t xml:space="preserve"> 预测概率分布（公式（2</w:t>
            </w:r>
            <w:r>
              <w:rPr>
                <w:rFonts w:hint="eastAsia"/>
                <w:sz w:val="21"/>
                <w:szCs w:val="21"/>
              </w:rPr>
              <w:t>6</w:t>
            </w:r>
            <w:r>
              <w:rPr>
                <w:sz w:val="21"/>
                <w:szCs w:val="21"/>
              </w:rPr>
              <w:t>），</w:t>
            </w:r>
            <w:r>
              <w:rPr>
                <w:i/>
                <w:iCs/>
                <w:sz w:val="21"/>
                <w:szCs w:val="21"/>
              </w:rPr>
              <w:t>T</w:t>
            </w:r>
            <w:r>
              <w:rPr>
                <w:sz w:val="21"/>
                <w:szCs w:val="21"/>
              </w:rPr>
              <w:t>=1）</w:t>
            </w:r>
          </w:p>
          <w:p w14:paraId="2F1072AD">
            <w:pPr>
              <w:pStyle w:val="7"/>
              <w:spacing w:line="240" w:lineRule="auto"/>
              <w:ind w:firstLine="0" w:firstLineChars="0"/>
              <w:jc w:val="left"/>
              <w:rPr>
                <w:sz w:val="21"/>
                <w:szCs w:val="21"/>
              </w:rPr>
            </w:pPr>
            <w:r>
              <w:rPr>
                <w:rFonts w:hint="eastAsia"/>
                <w:sz w:val="21"/>
                <w:szCs w:val="21"/>
              </w:rPr>
              <w:t xml:space="preserve">10.  </w:t>
            </w:r>
            <w:r>
              <w:rPr>
                <w:rFonts w:hint="eastAsia"/>
                <w:sz w:val="21"/>
                <w:szCs w:val="21"/>
                <w:lang w:eastAsia="zh"/>
              </w:rPr>
              <w:t xml:space="preserve">    </w:t>
            </w:r>
            <w:r>
              <w:rPr>
                <w:rFonts w:hint="eastAsia"/>
                <w:i/>
                <w:iCs/>
                <w:sz w:val="21"/>
                <w:szCs w:val="21"/>
              </w:rPr>
              <w:t>L</w:t>
            </w:r>
            <w:r>
              <w:rPr>
                <w:rFonts w:cs="Arial"/>
                <w:i/>
                <w:iCs/>
                <w:sz w:val="21"/>
                <w:szCs w:val="21"/>
              </w:rPr>
              <w:t>←</w:t>
            </w:r>
            <w:r>
              <w:rPr>
                <w:rFonts w:hint="eastAsia"/>
                <w:sz w:val="21"/>
                <w:szCs w:val="21"/>
              </w:rPr>
              <w:t>FocalLoss(</w:t>
            </w:r>
            <w:r>
              <w:rPr>
                <w:i/>
                <w:iCs/>
                <w:sz w:val="21"/>
                <w:szCs w:val="21"/>
              </w:rPr>
              <w:t>p̂ᵢ</w:t>
            </w:r>
            <w:r>
              <w:rPr>
                <w:rFonts w:hint="eastAsia"/>
                <w:i/>
                <w:iCs/>
                <w:sz w:val="21"/>
                <w:szCs w:val="21"/>
              </w:rPr>
              <w:t xml:space="preserve"> ,y</w:t>
            </w:r>
            <w:r>
              <w:rPr>
                <w:rFonts w:hint="eastAsia"/>
                <w:i/>
                <w:iCs/>
                <w:sz w:val="21"/>
                <w:szCs w:val="21"/>
                <w:vertAlign w:val="subscript"/>
              </w:rPr>
              <w:t>i</w:t>
            </w:r>
            <w:r>
              <w:rPr>
                <w:rFonts w:hint="eastAsia"/>
                <w:sz w:val="21"/>
                <w:szCs w:val="21"/>
              </w:rPr>
              <w:t>,</w:t>
            </w:r>
            <w:r>
              <w:rPr>
                <w:rFonts w:hint="eastAsia"/>
                <w:i/>
                <w:iCs/>
                <w:sz w:val="21"/>
                <w:szCs w:val="21"/>
              </w:rPr>
              <w:t>w</w:t>
            </w:r>
            <w:r>
              <w:rPr>
                <w:rFonts w:hint="eastAsia"/>
                <w:i/>
                <w:iCs/>
                <w:sz w:val="21"/>
                <w:szCs w:val="21"/>
                <w:vertAlign w:val="subscript"/>
              </w:rPr>
              <w:t>yi</w:t>
            </w:r>
            <w:r>
              <w:rPr>
                <w:rFonts w:hint="eastAsia"/>
                <w:sz w:val="21"/>
                <w:szCs w:val="21"/>
              </w:rPr>
              <w:t>)</w:t>
            </w:r>
            <w:r>
              <w:rPr>
                <w:sz w:val="21"/>
                <w:szCs w:val="21"/>
              </w:rPr>
              <w:t xml:space="preserve">            </w:t>
            </w:r>
            <w:r>
              <w:rPr>
                <w:rFonts w:hint="eastAsia"/>
                <w:sz w:val="21"/>
                <w:szCs w:val="21"/>
              </w:rPr>
              <w:t xml:space="preserve">     </w:t>
            </w:r>
            <w:r>
              <w:rPr>
                <w:sz w:val="21"/>
                <w:szCs w:val="21"/>
              </w:rPr>
              <w:t>▷ 加权Focal Loss（</w:t>
            </w:r>
            <w:r>
              <w:rPr>
                <w:rFonts w:hint="eastAsia"/>
                <w:sz w:val="21"/>
                <w:szCs w:val="21"/>
              </w:rPr>
              <w:t>公式（23）</w:t>
            </w:r>
            <w:r>
              <w:rPr>
                <w:sz w:val="21"/>
                <w:szCs w:val="21"/>
              </w:rPr>
              <w:t>）</w:t>
            </w:r>
          </w:p>
          <w:p w14:paraId="2EE4A38C">
            <w:pPr>
              <w:pStyle w:val="7"/>
              <w:spacing w:line="240" w:lineRule="auto"/>
              <w:ind w:firstLine="0" w:firstLineChars="0"/>
              <w:jc w:val="left"/>
              <w:rPr>
                <w:sz w:val="21"/>
                <w:szCs w:val="21"/>
              </w:rPr>
            </w:pPr>
            <w:r>
              <w:rPr>
                <w:rFonts w:hint="eastAsia"/>
                <w:sz w:val="21"/>
                <w:szCs w:val="21"/>
              </w:rPr>
              <w:t xml:space="preserve">11.  </w:t>
            </w:r>
            <w:r>
              <w:rPr>
                <w:rFonts w:hint="eastAsia"/>
                <w:sz w:val="21"/>
                <w:szCs w:val="21"/>
                <w:lang w:eastAsia="zh"/>
              </w:rPr>
              <w:t xml:space="preserve">    </w:t>
            </w:r>
            <w:r>
              <w:rPr>
                <w:i/>
                <w:iCs/>
                <w:sz w:val="21"/>
                <w:szCs w:val="21"/>
              </w:rPr>
              <w:t>θ</w:t>
            </w:r>
            <w:r>
              <w:rPr>
                <w:rFonts w:hint="eastAsia"/>
                <w:i/>
                <w:iCs/>
                <w:sz w:val="21"/>
                <w:szCs w:val="21"/>
                <w:vertAlign w:val="superscript"/>
              </w:rPr>
              <w:t>*</w:t>
            </w:r>
            <w:r>
              <w:rPr>
                <w:rFonts w:cs="Arial"/>
                <w:sz w:val="21"/>
                <w:szCs w:val="21"/>
              </w:rPr>
              <w:t>←</w:t>
            </w:r>
            <w:r>
              <w:rPr>
                <w:i/>
                <w:iCs/>
                <w:sz w:val="21"/>
                <w:szCs w:val="21"/>
              </w:rPr>
              <w:t>θ</w:t>
            </w:r>
            <w:r>
              <w:rPr>
                <w:rFonts w:hint="eastAsia" w:cs="Arial"/>
                <w:sz w:val="21"/>
                <w:szCs w:val="21"/>
              </w:rPr>
              <w:t>-</w:t>
            </w:r>
            <w:r>
              <w:rPr>
                <w:i/>
                <w:iCs/>
                <w:sz w:val="21"/>
                <w:szCs w:val="21"/>
              </w:rPr>
              <w:t>η</w:t>
            </w:r>
            <w:r>
              <w:rPr>
                <w:sz w:val="21"/>
                <w:szCs w:val="21"/>
              </w:rPr>
              <w:t>·</w:t>
            </w:r>
            <w:r>
              <w:rPr>
                <w:rFonts w:hint="eastAsia"/>
                <w:i/>
                <w:iCs/>
                <w:sz w:val="21"/>
                <w:szCs w:val="21"/>
              </w:rPr>
              <w:t>∇</w:t>
            </w:r>
            <w:r>
              <w:rPr>
                <w:i/>
                <w:iCs/>
                <w:sz w:val="21"/>
                <w:szCs w:val="21"/>
                <w:vertAlign w:val="subscript"/>
              </w:rPr>
              <w:t>θ</w:t>
            </w:r>
            <w:r>
              <w:rPr>
                <w:rFonts w:hint="eastAsia"/>
                <w:i/>
                <w:iCs/>
                <w:sz w:val="21"/>
                <w:szCs w:val="21"/>
              </w:rPr>
              <w:t>L</w:t>
            </w:r>
            <w:r>
              <w:rPr>
                <w:rFonts w:hint="eastAsia"/>
                <w:sz w:val="21"/>
                <w:szCs w:val="21"/>
              </w:rPr>
              <w:t xml:space="preserve">                             </w:t>
            </w:r>
            <w:r>
              <w:rPr>
                <w:sz w:val="21"/>
                <w:szCs w:val="21"/>
              </w:rPr>
              <w:t>▷</w:t>
            </w:r>
            <w:r>
              <w:rPr>
                <w:rFonts w:hint="eastAsia"/>
                <w:sz w:val="21"/>
                <w:szCs w:val="21"/>
              </w:rPr>
              <w:t xml:space="preserve"> 通过反向传播更新模型参数</w:t>
            </w:r>
          </w:p>
          <w:p w14:paraId="48460E18">
            <w:pPr>
              <w:pStyle w:val="7"/>
              <w:spacing w:line="240" w:lineRule="auto"/>
              <w:ind w:firstLine="0" w:firstLineChars="0"/>
              <w:jc w:val="left"/>
              <w:rPr>
                <w:b/>
                <w:bCs/>
                <w:sz w:val="21"/>
                <w:szCs w:val="21"/>
              </w:rPr>
            </w:pPr>
            <w:r>
              <w:rPr>
                <w:rFonts w:hint="eastAsia"/>
                <w:sz w:val="21"/>
                <w:szCs w:val="21"/>
              </w:rPr>
              <w:t xml:space="preserve">12.  </w:t>
            </w:r>
            <w:r>
              <w:rPr>
                <w:rFonts w:hint="eastAsia"/>
                <w:sz w:val="21"/>
                <w:szCs w:val="21"/>
                <w:lang w:eastAsia="zh"/>
              </w:rPr>
              <w:t xml:space="preserve">  </w:t>
            </w:r>
            <w:r>
              <w:rPr>
                <w:b/>
                <w:bCs/>
                <w:sz w:val="21"/>
                <w:szCs w:val="21"/>
              </w:rPr>
              <w:t>end for</w:t>
            </w:r>
          </w:p>
          <w:p w14:paraId="1C6DCB44">
            <w:pPr>
              <w:pStyle w:val="7"/>
              <w:spacing w:line="240" w:lineRule="auto"/>
              <w:ind w:firstLine="0" w:firstLineChars="0"/>
              <w:jc w:val="left"/>
              <w:rPr>
                <w:b/>
                <w:bCs/>
                <w:sz w:val="21"/>
                <w:szCs w:val="21"/>
              </w:rPr>
            </w:pPr>
            <w:r>
              <w:rPr>
                <w:rFonts w:hint="eastAsia"/>
                <w:sz w:val="21"/>
                <w:szCs w:val="21"/>
              </w:rPr>
              <w:t>13</w:t>
            </w:r>
            <w:r>
              <w:rPr>
                <w:rFonts w:hint="eastAsia"/>
                <w:b/>
                <w:bCs/>
                <w:sz w:val="21"/>
                <w:szCs w:val="21"/>
              </w:rPr>
              <w:t>.  end for</w:t>
            </w:r>
          </w:p>
          <w:p w14:paraId="7B9ED010">
            <w:pPr>
              <w:pStyle w:val="7"/>
              <w:tabs>
                <w:tab w:val="left" w:pos="5010"/>
              </w:tabs>
              <w:spacing w:line="240" w:lineRule="auto"/>
              <w:ind w:firstLine="0" w:firstLineChars="0"/>
              <w:rPr>
                <w:b/>
                <w:bCs/>
                <w:sz w:val="21"/>
                <w:szCs w:val="21"/>
              </w:rPr>
            </w:pPr>
            <w:r>
              <w:rPr>
                <w:rFonts w:hint="eastAsia"/>
                <w:sz w:val="21"/>
                <w:szCs w:val="21"/>
              </w:rPr>
              <w:t>14.</w:t>
            </w:r>
            <w:r>
              <w:rPr>
                <w:rFonts w:hint="eastAsia"/>
                <w:b/>
                <w:bCs/>
                <w:sz w:val="21"/>
                <w:szCs w:val="21"/>
              </w:rPr>
              <w:t xml:space="preserve">  </w:t>
            </w:r>
            <w:r>
              <w:rPr>
                <w:b/>
                <w:bCs/>
                <w:sz w:val="21"/>
                <w:szCs w:val="21"/>
              </w:rPr>
              <w:t>Save</w:t>
            </w:r>
            <w:r>
              <w:rPr>
                <w:rFonts w:hint="eastAsia"/>
                <w:b/>
                <w:bCs/>
                <w:sz w:val="21"/>
                <w:szCs w:val="21"/>
              </w:rPr>
              <w:t xml:space="preserve"> </w:t>
            </w:r>
            <w:r>
              <w:rPr>
                <w:b/>
                <w:bCs/>
                <w:sz w:val="21"/>
                <w:szCs w:val="21"/>
              </w:rPr>
              <w:t>trained model parameters</w:t>
            </w:r>
            <w:r>
              <w:rPr>
                <w:rFonts w:hint="eastAsia"/>
                <w:b/>
                <w:bCs/>
                <w:sz w:val="21"/>
                <w:szCs w:val="21"/>
              </w:rPr>
              <w:t xml:space="preserve"> </w:t>
            </w:r>
            <w:r>
              <w:rPr>
                <w:b/>
                <w:bCs/>
                <w:i/>
                <w:iCs/>
                <w:sz w:val="21"/>
                <w:szCs w:val="21"/>
              </w:rPr>
              <w:t>θ</w:t>
            </w:r>
            <w:r>
              <w:rPr>
                <w:rFonts w:cs="Cambria Math"/>
                <w:b/>
                <w:bCs/>
                <w:sz w:val="21"/>
                <w:szCs w:val="21"/>
                <w:vertAlign w:val="superscript"/>
              </w:rPr>
              <w:t>∗</w:t>
            </w:r>
            <w:r>
              <w:rPr>
                <w:rFonts w:hint="eastAsia" w:cs="Cambria Math"/>
                <w:b/>
                <w:bCs/>
                <w:sz w:val="21"/>
                <w:szCs w:val="21"/>
              </w:rPr>
              <w:t xml:space="preserve">  </w:t>
            </w:r>
            <w:r>
              <w:rPr>
                <w:rFonts w:cs="Cambria Math"/>
                <w:b/>
                <w:bCs/>
                <w:sz w:val="21"/>
                <w:szCs w:val="21"/>
              </w:rPr>
              <w:tab/>
            </w:r>
            <w:r>
              <w:rPr>
                <w:rFonts w:cs="Cambria Math"/>
                <w:sz w:val="21"/>
                <w:szCs w:val="21"/>
              </w:rPr>
              <w:t>▷</w:t>
            </w:r>
            <w:r>
              <w:rPr>
                <w:rFonts w:hint="eastAsia" w:cs="Cambria Math"/>
                <w:sz w:val="21"/>
                <w:szCs w:val="21"/>
              </w:rPr>
              <w:t>保存模型参数</w:t>
            </w:r>
          </w:p>
          <w:p w14:paraId="7EECC372">
            <w:pPr>
              <w:pStyle w:val="7"/>
              <w:spacing w:line="240" w:lineRule="auto"/>
              <w:ind w:firstLine="0" w:firstLineChars="0"/>
              <w:jc w:val="left"/>
              <w:rPr>
                <w:sz w:val="21"/>
                <w:szCs w:val="21"/>
              </w:rPr>
            </w:pPr>
            <w:r>
              <w:rPr>
                <w:sz w:val="21"/>
                <w:szCs w:val="21"/>
              </w:rPr>
              <w:t>// 推理阶段</w:t>
            </w:r>
          </w:p>
          <w:p w14:paraId="7225D001">
            <w:pPr>
              <w:pStyle w:val="7"/>
              <w:tabs>
                <w:tab w:val="left" w:pos="4919"/>
              </w:tabs>
              <w:ind w:firstLine="0" w:firstLineChars="0"/>
              <w:rPr>
                <w:sz w:val="21"/>
                <w:szCs w:val="21"/>
              </w:rPr>
            </w:pPr>
            <w:r>
              <w:rPr>
                <w:rFonts w:hint="eastAsia"/>
                <w:sz w:val="21"/>
                <w:szCs w:val="21"/>
              </w:rPr>
              <w:t>15</w:t>
            </w:r>
            <w:r>
              <w:rPr>
                <w:rFonts w:hint="eastAsia"/>
                <w:b/>
                <w:bCs/>
                <w:sz w:val="21"/>
                <w:szCs w:val="21"/>
              </w:rPr>
              <w:t xml:space="preserve">.  </w:t>
            </w:r>
            <w:r>
              <w:rPr>
                <w:b/>
                <w:bCs/>
                <w:sz w:val="21"/>
                <w:szCs w:val="21"/>
              </w:rPr>
              <w:t>Load</w:t>
            </w:r>
            <w:r>
              <w:rPr>
                <w:sz w:val="21"/>
                <w:szCs w:val="21"/>
              </w:rPr>
              <w:t> trained model parameters </w:t>
            </w:r>
            <w:r>
              <w:rPr>
                <w:i/>
                <w:iCs/>
                <w:sz w:val="21"/>
                <w:szCs w:val="21"/>
              </w:rPr>
              <w:t>θ</w:t>
            </w:r>
            <w:r>
              <w:rPr>
                <w:rFonts w:cs="Cambria Math"/>
                <w:sz w:val="21"/>
                <w:szCs w:val="21"/>
              </w:rPr>
              <w:t>∗</w:t>
            </w:r>
            <w:r>
              <w:rPr>
                <w:rFonts w:cs="Cambria Math"/>
                <w:sz w:val="21"/>
                <w:szCs w:val="21"/>
              </w:rPr>
              <w:tab/>
            </w:r>
            <w:r>
              <w:rPr>
                <w:rFonts w:cs="Cambria Math"/>
                <w:sz w:val="21"/>
                <w:szCs w:val="21"/>
              </w:rPr>
              <w:t>▷</w:t>
            </w:r>
            <w:r>
              <w:rPr>
                <w:rFonts w:hint="eastAsia" w:cs="Cambria Math"/>
                <w:sz w:val="21"/>
                <w:szCs w:val="21"/>
              </w:rPr>
              <w:t>加载模型参数</w:t>
            </w:r>
          </w:p>
          <w:p w14:paraId="6EC664C8">
            <w:pPr>
              <w:pStyle w:val="7"/>
              <w:spacing w:line="240" w:lineRule="auto"/>
              <w:ind w:firstLine="0" w:firstLineChars="0"/>
              <w:jc w:val="left"/>
              <w:rPr>
                <w:sz w:val="21"/>
                <w:szCs w:val="21"/>
              </w:rPr>
            </w:pPr>
            <w:r>
              <w:rPr>
                <w:rFonts w:hint="eastAsia"/>
                <w:sz w:val="21"/>
                <w:szCs w:val="21"/>
              </w:rPr>
              <w:t xml:space="preserve">16.  </w:t>
            </w:r>
            <w:r>
              <w:rPr>
                <w:i/>
                <w:iCs/>
                <w:sz w:val="21"/>
                <w:szCs w:val="21"/>
              </w:rPr>
              <w:t>T*</w:t>
            </w:r>
            <w:r>
              <w:rPr>
                <w:sz w:val="21"/>
                <w:szCs w:val="21"/>
              </w:rPr>
              <w:t xml:space="preserve">←TemperatureCalibrate(val_set)              </w:t>
            </w:r>
            <w:r>
              <w:rPr>
                <w:rFonts w:hint="eastAsia"/>
                <w:sz w:val="21"/>
                <w:szCs w:val="21"/>
              </w:rPr>
              <w:t xml:space="preserve"> </w:t>
            </w:r>
            <w:r>
              <w:rPr>
                <w:sz w:val="21"/>
                <w:szCs w:val="21"/>
              </w:rPr>
              <w:t>▷ 验证集温度标定（</w:t>
            </w:r>
            <w:r>
              <w:rPr>
                <w:rFonts w:hint="eastAsia"/>
                <w:sz w:val="21"/>
                <w:szCs w:val="21"/>
              </w:rPr>
              <w:t>公式（2</w:t>
            </w:r>
            <w:r>
              <w:rPr>
                <w:rFonts w:hint="eastAsia"/>
                <w:sz w:val="21"/>
                <w:szCs w:val="21"/>
                <w:lang w:eastAsia="zh"/>
              </w:rPr>
              <w:t>6</w:t>
            </w:r>
            <w:r>
              <w:rPr>
                <w:rFonts w:hint="eastAsia"/>
                <w:sz w:val="21"/>
                <w:szCs w:val="21"/>
              </w:rPr>
              <w:t>）</w:t>
            </w:r>
            <w:r>
              <w:rPr>
                <w:sz w:val="21"/>
                <w:szCs w:val="21"/>
              </w:rPr>
              <w:t>）</w:t>
            </w:r>
          </w:p>
          <w:p w14:paraId="6EFAFEEA">
            <w:pPr>
              <w:pStyle w:val="7"/>
              <w:spacing w:line="240" w:lineRule="auto"/>
              <w:ind w:firstLine="0" w:firstLineChars="0"/>
              <w:jc w:val="left"/>
              <w:rPr>
                <w:sz w:val="21"/>
                <w:szCs w:val="21"/>
              </w:rPr>
            </w:pPr>
            <w:r>
              <w:rPr>
                <w:rFonts w:hint="eastAsia"/>
                <w:sz w:val="21"/>
                <w:szCs w:val="21"/>
              </w:rPr>
              <w:t xml:space="preserve">17.  </w:t>
            </w:r>
            <w:r>
              <w:rPr>
                <w:b/>
                <w:bCs/>
                <w:sz w:val="21"/>
                <w:szCs w:val="21"/>
              </w:rPr>
              <w:t>for</w:t>
            </w:r>
            <w:r>
              <w:rPr>
                <w:sz w:val="21"/>
                <w:szCs w:val="21"/>
              </w:rPr>
              <w:t xml:space="preserve"> each </w:t>
            </w:r>
            <w:r>
              <w:rPr>
                <w:rFonts w:hint="eastAsia"/>
                <w:sz w:val="21"/>
                <w:szCs w:val="21"/>
              </w:rPr>
              <w:t xml:space="preserve">testing data </w:t>
            </w:r>
            <w:r>
              <w:rPr>
                <w:rFonts w:hint="eastAsia"/>
                <w:i/>
                <w:iCs/>
                <w:sz w:val="21"/>
                <w:szCs w:val="21"/>
              </w:rPr>
              <w:t>r</w:t>
            </w:r>
            <w:r>
              <w:rPr>
                <w:rFonts w:hint="eastAsia"/>
                <w:i/>
                <w:iCs/>
                <w:sz w:val="21"/>
                <w:szCs w:val="21"/>
                <w:vertAlign w:val="subscript"/>
              </w:rPr>
              <w:t>i</w:t>
            </w:r>
            <w:r>
              <w:rPr>
                <w:rFonts w:hint="eastAsia"/>
                <w:sz w:val="21"/>
                <w:szCs w:val="21"/>
              </w:rPr>
              <w:t xml:space="preserve"> </w:t>
            </w:r>
            <w:r>
              <w:rPr>
                <w:rFonts w:hint="eastAsia"/>
                <w:b/>
                <w:bCs/>
                <w:sz w:val="21"/>
                <w:szCs w:val="21"/>
              </w:rPr>
              <w:t>do</w:t>
            </w:r>
          </w:p>
          <w:p w14:paraId="7EB648B9">
            <w:pPr>
              <w:pStyle w:val="7"/>
              <w:tabs>
                <w:tab w:val="left" w:pos="4940"/>
              </w:tabs>
              <w:spacing w:line="240" w:lineRule="auto"/>
              <w:ind w:firstLine="0" w:firstLineChars="0"/>
              <w:jc w:val="left"/>
              <w:rPr>
                <w:sz w:val="21"/>
                <w:szCs w:val="21"/>
              </w:rPr>
            </w:pPr>
            <w:r>
              <w:rPr>
                <w:rFonts w:hint="eastAsia"/>
                <w:sz w:val="21"/>
                <w:szCs w:val="21"/>
              </w:rPr>
              <w:t xml:space="preserve">18.  </w:t>
            </w:r>
            <w:r>
              <w:rPr>
                <w:rFonts w:hint="eastAsia"/>
                <w:sz w:val="21"/>
                <w:szCs w:val="21"/>
                <w:lang w:eastAsia="zh"/>
              </w:rPr>
              <w:t xml:space="preserve">  </w:t>
            </w:r>
            <w:r>
              <w:rPr>
                <w:rFonts w:hint="eastAsia"/>
                <w:i/>
                <w:iCs/>
                <w:sz w:val="21"/>
                <w:szCs w:val="21"/>
              </w:rPr>
              <w:t>G</w:t>
            </w:r>
            <w:r>
              <w:rPr>
                <w:rFonts w:hint="eastAsia"/>
                <w:i/>
                <w:iCs/>
                <w:sz w:val="21"/>
                <w:szCs w:val="21"/>
                <w:vertAlign w:val="subscript"/>
              </w:rPr>
              <w:t>i</w:t>
            </w:r>
            <w:r>
              <w:rPr>
                <w:rFonts w:cs="Arial"/>
                <w:sz w:val="21"/>
                <w:szCs w:val="21"/>
              </w:rPr>
              <w:t>←</w:t>
            </w:r>
            <w:r>
              <w:rPr>
                <w:rFonts w:hint="eastAsia" w:cs="Arial"/>
                <w:sz w:val="21"/>
                <w:szCs w:val="21"/>
              </w:rPr>
              <w:t>r</w:t>
            </w:r>
            <w:r>
              <w:rPr>
                <w:rFonts w:hint="eastAsia"/>
                <w:sz w:val="21"/>
                <w:szCs w:val="21"/>
              </w:rPr>
              <w:t>epeat Steps 04-06</w:t>
            </w:r>
            <w:r>
              <w:rPr>
                <w:sz w:val="21"/>
                <w:szCs w:val="21"/>
              </w:rPr>
              <w:tab/>
            </w:r>
            <w:r>
              <w:rPr>
                <w:rFonts w:cs="Cambria Math"/>
                <w:sz w:val="21"/>
                <w:szCs w:val="21"/>
              </w:rPr>
              <w:t>▷</w:t>
            </w:r>
            <w:r>
              <w:rPr>
                <w:sz w:val="21"/>
                <w:szCs w:val="21"/>
              </w:rPr>
              <w:t xml:space="preserve"> 图构建（公式（1）-（15））</w:t>
            </w:r>
          </w:p>
          <w:p w14:paraId="233E3D2B">
            <w:pPr>
              <w:pStyle w:val="7"/>
              <w:tabs>
                <w:tab w:val="left" w:pos="4940"/>
              </w:tabs>
              <w:spacing w:line="240" w:lineRule="auto"/>
              <w:ind w:firstLine="0" w:firstLineChars="0"/>
              <w:jc w:val="left"/>
              <w:rPr>
                <w:sz w:val="21"/>
                <w:szCs w:val="21"/>
              </w:rPr>
            </w:pPr>
            <w:r>
              <w:rPr>
                <w:rFonts w:hint="eastAsia"/>
                <w:sz w:val="21"/>
                <w:szCs w:val="21"/>
              </w:rPr>
              <w:t xml:space="preserve">19. </w:t>
            </w:r>
            <w:r>
              <w:rPr>
                <w:rFonts w:hint="eastAsia"/>
                <w:i/>
                <w:iCs/>
                <w:sz w:val="21"/>
                <w:szCs w:val="21"/>
              </w:rPr>
              <w:t xml:space="preserve"> </w:t>
            </w:r>
            <w:r>
              <w:rPr>
                <w:rFonts w:hint="eastAsia"/>
                <w:i/>
                <w:iCs/>
                <w:sz w:val="21"/>
                <w:szCs w:val="21"/>
                <w:lang w:eastAsia="zh"/>
              </w:rPr>
              <w:t xml:space="preserve">  </w:t>
            </w:r>
            <w:r>
              <w:rPr>
                <w:rFonts w:hint="eastAsia"/>
                <w:i/>
                <w:iCs/>
                <w:sz w:val="21"/>
                <w:szCs w:val="21"/>
              </w:rPr>
              <w:t>z</w:t>
            </w:r>
            <w:r>
              <w:rPr>
                <w:rFonts w:hint="eastAsia"/>
                <w:i/>
                <w:iCs/>
                <w:sz w:val="21"/>
                <w:szCs w:val="21"/>
                <w:vertAlign w:val="subscript"/>
              </w:rPr>
              <w:t>i</w:t>
            </w:r>
            <w:r>
              <w:rPr>
                <w:rFonts w:cs="Arial"/>
                <w:sz w:val="21"/>
                <w:szCs w:val="21"/>
              </w:rPr>
              <w:t>←</w:t>
            </w:r>
            <w:r>
              <w:rPr>
                <w:rFonts w:hint="eastAsia" w:cs="Arial"/>
                <w:sz w:val="21"/>
                <w:szCs w:val="21"/>
              </w:rPr>
              <w:t>r</w:t>
            </w:r>
            <w:r>
              <w:rPr>
                <w:rFonts w:hint="eastAsia"/>
                <w:sz w:val="21"/>
                <w:szCs w:val="21"/>
              </w:rPr>
              <w:t>epeat Steps 07-0</w:t>
            </w:r>
            <w:r>
              <w:rPr>
                <w:rFonts w:hint="eastAsia"/>
                <w:sz w:val="21"/>
                <w:szCs w:val="21"/>
                <w:lang w:eastAsia="zh"/>
              </w:rPr>
              <w:t>8</w:t>
            </w:r>
            <w:r>
              <w:rPr>
                <w:rFonts w:hint="eastAsia"/>
                <w:sz w:val="21"/>
                <w:szCs w:val="21"/>
              </w:rPr>
              <w:t xml:space="preserve">            </w:t>
            </w:r>
            <w:r>
              <w:rPr>
                <w:rFonts w:cs="Cambria Math"/>
                <w:sz w:val="21"/>
                <w:szCs w:val="21"/>
              </w:rPr>
              <w:t>▷</w:t>
            </w:r>
            <w:r>
              <w:rPr>
                <w:rFonts w:hint="eastAsia" w:cs="Cambria Math"/>
                <w:sz w:val="21"/>
                <w:szCs w:val="21"/>
              </w:rPr>
              <w:t>模型输出概率分布</w:t>
            </w:r>
            <w:r>
              <w:rPr>
                <w:sz w:val="21"/>
                <w:szCs w:val="21"/>
              </w:rPr>
              <w:t>（公式（16）-（2</w:t>
            </w:r>
            <w:r>
              <w:rPr>
                <w:rFonts w:hint="eastAsia"/>
                <w:sz w:val="21"/>
                <w:szCs w:val="21"/>
              </w:rPr>
              <w:t>2</w:t>
            </w:r>
            <w:r>
              <w:rPr>
                <w:sz w:val="21"/>
                <w:szCs w:val="21"/>
              </w:rPr>
              <w:t>））</w:t>
            </w:r>
          </w:p>
          <w:p w14:paraId="7775E176">
            <w:pPr>
              <w:pStyle w:val="7"/>
              <w:spacing w:line="240" w:lineRule="auto"/>
              <w:ind w:firstLine="0" w:firstLineChars="0"/>
              <w:jc w:val="left"/>
              <w:rPr>
                <w:sz w:val="21"/>
                <w:szCs w:val="21"/>
              </w:rPr>
            </w:pPr>
            <w:r>
              <w:rPr>
                <w:rFonts w:hint="eastAsia"/>
                <w:sz w:val="21"/>
                <w:szCs w:val="21"/>
              </w:rPr>
              <w:t xml:space="preserve">20.  </w:t>
            </w:r>
            <w:r>
              <w:rPr>
                <w:rFonts w:hint="eastAsia"/>
                <w:sz w:val="21"/>
                <w:szCs w:val="21"/>
                <w:lang w:eastAsia="zh"/>
              </w:rPr>
              <w:t xml:space="preserve">  </w:t>
            </w:r>
            <w:r>
              <w:rPr>
                <w:rFonts w:hint="eastAsia"/>
                <w:i/>
                <w:iCs/>
                <w:sz w:val="21"/>
                <w:szCs w:val="21"/>
              </w:rPr>
              <w:t>p</w:t>
            </w:r>
            <w:r>
              <w:rPr>
                <w:rFonts w:hint="eastAsia"/>
                <w:i/>
                <w:iCs/>
                <w:sz w:val="21"/>
                <w:szCs w:val="21"/>
                <w:vertAlign w:val="subscript"/>
              </w:rPr>
              <w:t>i</w:t>
            </w:r>
            <w:r>
              <w:rPr>
                <w:rFonts w:cs="Arial"/>
                <w:sz w:val="21"/>
                <w:szCs w:val="21"/>
              </w:rPr>
              <w:t>←</w:t>
            </w:r>
            <w:r>
              <w:rPr>
                <w:sz w:val="21"/>
                <w:szCs w:val="21"/>
              </w:rPr>
              <w:t>softmax(</w:t>
            </w:r>
            <w:r>
              <w:rPr>
                <w:rFonts w:hint="eastAsia"/>
                <w:i/>
                <w:iCs/>
                <w:sz w:val="21"/>
                <w:szCs w:val="21"/>
              </w:rPr>
              <w:t>z</w:t>
            </w:r>
            <w:r>
              <w:rPr>
                <w:rFonts w:hint="eastAsia"/>
                <w:i/>
                <w:iCs/>
                <w:sz w:val="21"/>
                <w:szCs w:val="21"/>
                <w:vertAlign w:val="subscript"/>
              </w:rPr>
              <w:t>i</w:t>
            </w:r>
            <w:r>
              <w:rPr>
                <w:i/>
                <w:iCs/>
                <w:sz w:val="21"/>
                <w:szCs w:val="21"/>
              </w:rPr>
              <w:t>/T*</w:t>
            </w:r>
            <w:r>
              <w:rPr>
                <w:sz w:val="21"/>
                <w:szCs w:val="21"/>
              </w:rPr>
              <w:t xml:space="preserve">)                    </w:t>
            </w:r>
            <w:r>
              <w:rPr>
                <w:rFonts w:hint="eastAsia"/>
                <w:sz w:val="21"/>
                <w:szCs w:val="21"/>
              </w:rPr>
              <w:t xml:space="preserve">     </w:t>
            </w:r>
            <w:r>
              <w:rPr>
                <w:sz w:val="21"/>
                <w:szCs w:val="21"/>
              </w:rPr>
              <w:t xml:space="preserve"> ▷ 温度校准概率（</w:t>
            </w:r>
            <w:r>
              <w:rPr>
                <w:rFonts w:hint="eastAsia"/>
                <w:sz w:val="21"/>
                <w:szCs w:val="21"/>
              </w:rPr>
              <w:t>公式（26）</w:t>
            </w:r>
            <w:r>
              <w:rPr>
                <w:sz w:val="21"/>
                <w:szCs w:val="21"/>
              </w:rPr>
              <w:t>）</w:t>
            </w:r>
          </w:p>
          <w:p w14:paraId="6D82E22E">
            <w:pPr>
              <w:pStyle w:val="7"/>
              <w:spacing w:line="240" w:lineRule="auto"/>
              <w:ind w:firstLine="0" w:firstLineChars="0"/>
              <w:jc w:val="left"/>
              <w:rPr>
                <w:sz w:val="21"/>
                <w:szCs w:val="21"/>
              </w:rPr>
            </w:pPr>
            <w:r>
              <w:rPr>
                <w:rFonts w:hint="eastAsia"/>
                <w:sz w:val="21"/>
                <w:szCs w:val="21"/>
              </w:rPr>
              <w:t xml:space="preserve">21.  </w:t>
            </w:r>
            <w:r>
              <w:rPr>
                <w:rFonts w:hint="eastAsia"/>
                <w:sz w:val="21"/>
                <w:szCs w:val="21"/>
                <w:lang w:eastAsia="zh"/>
              </w:rPr>
              <w:t xml:space="preserve">  </w:t>
            </w:r>
            <w:r>
              <w:rPr>
                <w:sz w:val="21"/>
                <w:szCs w:val="21"/>
              </w:rPr>
              <w:t>Top-K(</w:t>
            </w:r>
            <w:r>
              <w:rPr>
                <w:rFonts w:hint="eastAsia"/>
                <w:i/>
                <w:iCs/>
                <w:sz w:val="21"/>
                <w:szCs w:val="21"/>
              </w:rPr>
              <w:t>p</w:t>
            </w:r>
            <w:r>
              <w:rPr>
                <w:rFonts w:hint="eastAsia"/>
                <w:i/>
                <w:iCs/>
                <w:sz w:val="21"/>
                <w:szCs w:val="21"/>
                <w:vertAlign w:val="subscript"/>
              </w:rPr>
              <w:t>j</w:t>
            </w:r>
            <w:r>
              <w:rPr>
                <w:sz w:val="21"/>
                <w:szCs w:val="21"/>
              </w:rPr>
              <w:t xml:space="preserve">)            </w:t>
            </w:r>
            <w:r>
              <w:rPr>
                <w:rFonts w:hint="eastAsia"/>
                <w:sz w:val="21"/>
                <w:szCs w:val="21"/>
              </w:rPr>
              <w:t xml:space="preserve">    </w:t>
            </w:r>
            <w:r>
              <w:rPr>
                <w:sz w:val="21"/>
                <w:szCs w:val="21"/>
              </w:rPr>
              <w:t xml:space="preserve">        ▷ K=3，按概率降序取前K个作为归因候选</w:t>
            </w:r>
          </w:p>
          <w:p w14:paraId="4CCD0D99">
            <w:pPr>
              <w:pStyle w:val="7"/>
              <w:spacing w:line="240" w:lineRule="auto"/>
              <w:ind w:firstLine="0" w:firstLineChars="0"/>
              <w:jc w:val="left"/>
              <w:rPr>
                <w:b/>
                <w:bCs/>
                <w:sz w:val="21"/>
                <w:szCs w:val="21"/>
              </w:rPr>
            </w:pPr>
            <w:r>
              <w:rPr>
                <w:rFonts w:hint="eastAsia"/>
                <w:sz w:val="21"/>
                <w:szCs w:val="21"/>
              </w:rPr>
              <w:t xml:space="preserve">22.  </w:t>
            </w:r>
            <w:r>
              <w:rPr>
                <w:b/>
                <w:bCs/>
                <w:sz w:val="21"/>
                <w:szCs w:val="21"/>
              </w:rPr>
              <w:t>end for</w:t>
            </w:r>
          </w:p>
          <w:p w14:paraId="22179242">
            <w:pPr>
              <w:pStyle w:val="7"/>
              <w:spacing w:line="240" w:lineRule="auto"/>
              <w:ind w:firstLine="0" w:firstLineChars="0"/>
              <w:jc w:val="left"/>
              <w:rPr>
                <w:sz w:val="21"/>
                <w:szCs w:val="21"/>
              </w:rPr>
            </w:pPr>
            <w:r>
              <w:rPr>
                <w:rFonts w:hint="eastAsia"/>
                <w:sz w:val="21"/>
                <w:szCs w:val="21"/>
              </w:rPr>
              <w:t xml:space="preserve">23.  </w:t>
            </w:r>
            <w:r>
              <w:rPr>
                <w:rFonts w:hint="eastAsia"/>
                <w:b/>
                <w:bCs/>
                <w:sz w:val="21"/>
                <w:szCs w:val="21"/>
              </w:rPr>
              <w:t>return</w:t>
            </w:r>
            <w:r>
              <w:rPr>
                <w:sz w:val="21"/>
                <w:szCs w:val="21"/>
              </w:rPr>
              <w:t xml:space="preserve"> Top-K(</w:t>
            </w:r>
            <w:r>
              <w:rPr>
                <w:rFonts w:hint="eastAsia"/>
                <w:i/>
                <w:iCs/>
                <w:sz w:val="21"/>
                <w:szCs w:val="21"/>
              </w:rPr>
              <w:t>p</w:t>
            </w:r>
            <w:r>
              <w:rPr>
                <w:rFonts w:hint="eastAsia"/>
                <w:i/>
                <w:iCs/>
                <w:sz w:val="21"/>
                <w:szCs w:val="21"/>
                <w:vertAlign w:val="subscript"/>
              </w:rPr>
              <w:t>j</w:t>
            </w:r>
            <w:r>
              <w:rPr>
                <w:sz w:val="21"/>
                <w:szCs w:val="21"/>
              </w:rPr>
              <w:t>)</w:t>
            </w:r>
          </w:p>
        </w:tc>
      </w:tr>
    </w:tbl>
    <w:p w14:paraId="037EF2BD">
      <w:pPr>
        <w:pStyle w:val="7"/>
        <w:spacing w:line="180" w:lineRule="auto"/>
        <w:ind w:firstLine="400"/>
        <w:rPr>
          <w:strike/>
          <w:color w:val="000000"/>
          <w:sz w:val="20"/>
          <w:szCs w:val="20"/>
        </w:rPr>
      </w:pPr>
      <w:bookmarkStart w:id="10" w:name="_Toc24940"/>
      <w:r>
        <w:rPr>
          <w:rFonts w:hint="eastAsia"/>
          <w:color w:val="000000"/>
          <w:sz w:val="20"/>
          <w:szCs w:val="20"/>
        </w:rPr>
        <w:t>在训练阶段，对于每一份威胁情报报告</w:t>
      </w:r>
      <w:r>
        <w:rPr>
          <w:rFonts w:hint="eastAsia"/>
          <w:i/>
          <w:iCs/>
          <w:color w:val="000000"/>
          <w:sz w:val="20"/>
          <w:szCs w:val="20"/>
        </w:rPr>
        <w:t>r</w:t>
      </w:r>
      <w:r>
        <w:rPr>
          <w:rFonts w:hint="eastAsia"/>
          <w:i/>
          <w:iCs/>
          <w:color w:val="000000"/>
          <w:sz w:val="20"/>
          <w:szCs w:val="20"/>
          <w:vertAlign w:val="subscript"/>
        </w:rPr>
        <w:t>i</w:t>
      </w:r>
      <w:r>
        <w:rPr>
          <w:rFonts w:hint="eastAsia"/>
          <w:color w:val="000000"/>
          <w:sz w:val="20"/>
          <w:szCs w:val="20"/>
        </w:rPr>
        <w:t>，模型依次执行以下过程：首先，将原始报告通过语义感知段落分割模块划分为语义一致的文本单元</w:t>
      </w:r>
      <w:r>
        <w:rPr>
          <w:rFonts w:hint="eastAsia"/>
          <w:i/>
          <w:iCs/>
          <w:color w:val="000000"/>
          <w:sz w:val="20"/>
          <w:szCs w:val="20"/>
        </w:rPr>
        <w:t>P</w:t>
      </w:r>
      <w:r>
        <w:rPr>
          <w:rFonts w:hint="eastAsia"/>
          <w:i/>
          <w:iCs/>
          <w:color w:val="000000"/>
          <w:sz w:val="20"/>
          <w:szCs w:val="20"/>
          <w:vertAlign w:val="subscript"/>
        </w:rPr>
        <w:t>i</w:t>
      </w:r>
      <w:r>
        <w:rPr>
          <w:rFonts w:hint="eastAsia"/>
          <w:color w:val="000000"/>
          <w:sz w:val="20"/>
          <w:szCs w:val="20"/>
        </w:rPr>
        <w:t>（第4行），该步骤保证攻击描述在结构层面保持连贯性，为后续实体建模提供稳定上下文基础。然后，通过三级级联实体识别框架从段落集合中提取实体集合</w:t>
      </w:r>
      <w:r>
        <w:rPr>
          <w:rFonts w:hint="eastAsia"/>
          <w:i/>
          <w:iCs/>
          <w:color w:val="000000"/>
          <w:sz w:val="20"/>
          <w:szCs w:val="20"/>
        </w:rPr>
        <w:t>V</w:t>
      </w:r>
      <w:r>
        <w:rPr>
          <w:rFonts w:hint="eastAsia"/>
          <w:i/>
          <w:iCs/>
          <w:color w:val="000000"/>
          <w:sz w:val="20"/>
          <w:szCs w:val="20"/>
          <w:vertAlign w:val="subscript"/>
        </w:rPr>
        <w:t>i</w:t>
      </w:r>
      <w:r>
        <w:rPr>
          <w:rFonts w:hint="eastAsia"/>
          <w:color w:val="000000"/>
          <w:sz w:val="20"/>
          <w:szCs w:val="20"/>
        </w:rPr>
        <w:t>，并生成多粒度节点特征表示</w:t>
      </w:r>
      <w:r>
        <w:rPr>
          <w:rFonts w:hint="eastAsia"/>
          <w:i/>
          <w:iCs/>
          <w:color w:val="000000"/>
          <w:sz w:val="20"/>
          <w:szCs w:val="20"/>
        </w:rPr>
        <w:t>X</w:t>
      </w:r>
      <w:r>
        <w:rPr>
          <w:rFonts w:hint="eastAsia"/>
          <w:i/>
          <w:iCs/>
          <w:color w:val="000000"/>
          <w:sz w:val="20"/>
          <w:szCs w:val="20"/>
          <w:vertAlign w:val="subscript"/>
        </w:rPr>
        <w:t>i</w:t>
      </w:r>
      <w:r>
        <w:rPr>
          <w:rFonts w:hint="eastAsia"/>
          <w:color w:val="000000"/>
          <w:sz w:val="20"/>
          <w:szCs w:val="20"/>
        </w:rPr>
        <w:t>（第5行），该过程同时完成结构化指标解析、上下文约束实体识别以及实体规范化与消歧处理，从而提升实体表示的一致性与可比性。在此基础上，根据五层边构建策略将实体组织为异构图</w:t>
      </w:r>
      <w:r>
        <w:rPr>
          <w:rFonts w:hint="eastAsia"/>
          <w:i/>
          <w:iCs/>
          <w:color w:val="000000"/>
          <w:sz w:val="20"/>
          <w:szCs w:val="20"/>
        </w:rPr>
        <w:t>G</w:t>
      </w:r>
      <w:r>
        <w:rPr>
          <w:rFonts w:hint="eastAsia"/>
          <w:i/>
          <w:iCs/>
          <w:color w:val="000000"/>
          <w:sz w:val="20"/>
          <w:szCs w:val="20"/>
          <w:vertAlign w:val="subscript"/>
        </w:rPr>
        <w:t>i</w:t>
      </w:r>
      <w:r>
        <w:rPr>
          <w:rFonts w:hint="eastAsia"/>
          <w:color w:val="000000"/>
          <w:sz w:val="20"/>
          <w:szCs w:val="20"/>
        </w:rPr>
        <w:t>（第6行），该图联合编码段落内共现关系、跨段落桥接关系、语义类型关系、全局依赖关系以及稀疏图补全关系，从而增强跨阶段攻击语义传播能力。构建完成的图</w:t>
      </w:r>
      <w:r>
        <w:rPr>
          <w:rFonts w:hint="eastAsia"/>
          <w:i/>
          <w:iCs/>
          <w:color w:val="000000"/>
          <w:sz w:val="20"/>
          <w:szCs w:val="20"/>
        </w:rPr>
        <w:t>G</w:t>
      </w:r>
      <w:r>
        <w:rPr>
          <w:rFonts w:hint="eastAsia"/>
          <w:i/>
          <w:iCs/>
          <w:color w:val="000000"/>
          <w:sz w:val="20"/>
          <w:szCs w:val="20"/>
          <w:vertAlign w:val="subscript"/>
        </w:rPr>
        <w:t>i</w:t>
      </w:r>
      <w:r>
        <w:rPr>
          <w:rFonts w:hint="eastAsia"/>
          <w:color w:val="000000"/>
          <w:sz w:val="20"/>
          <w:szCs w:val="20"/>
        </w:rPr>
        <w:t>输入双流图神经网络进行表示学习。语义流采用GATv2建模上下文语义相似性，结构流采用RGCN建模多关系拓扑约束。两路表示通过节点级门控机制进行自适应融合，生成统一节点表示，进一步通过图级分类器输出归因预测结果（第7-9行）。模型训练目标采用加权Focal Loss，以缓解APT组织样本分布长尾问题。模型参数通过梯度下降方式进行优化，并在多轮迭代后得到最优参数</w:t>
      </w:r>
      <w:r>
        <w:rPr>
          <w:i/>
          <w:iCs/>
          <w:color w:val="000000"/>
          <w:sz w:val="20"/>
          <w:szCs w:val="20"/>
        </w:rPr>
        <w:t>θ</w:t>
      </w:r>
      <w:r>
        <w:rPr>
          <w:rFonts w:hint="eastAsia"/>
          <w:i/>
          <w:iCs/>
          <w:color w:val="000000"/>
          <w:sz w:val="20"/>
          <w:szCs w:val="20"/>
          <w:vertAlign w:val="superscript"/>
        </w:rPr>
        <w:t>*</w:t>
      </w:r>
      <w:r>
        <w:rPr>
          <w:rFonts w:hint="eastAsia"/>
          <w:color w:val="000000"/>
          <w:sz w:val="20"/>
          <w:szCs w:val="20"/>
        </w:rPr>
        <w:t>（第10-11）。</w:t>
      </w:r>
    </w:p>
    <w:p w14:paraId="3A70700B">
      <w:pPr>
        <w:pStyle w:val="7"/>
        <w:spacing w:line="180" w:lineRule="auto"/>
        <w:ind w:firstLine="400"/>
        <w:rPr>
          <w:color w:val="000000"/>
          <w:sz w:val="20"/>
          <w:szCs w:val="20"/>
        </w:rPr>
      </w:pPr>
      <w:r>
        <w:rPr>
          <w:rFonts w:hint="eastAsia"/>
          <w:color w:val="000000"/>
          <w:sz w:val="20"/>
          <w:szCs w:val="20"/>
        </w:rPr>
        <w:t>在推理阶段，加载训练完成的模型参数</w:t>
      </w:r>
      <w:r>
        <w:rPr>
          <w:i/>
          <w:iCs/>
          <w:color w:val="000000"/>
          <w:sz w:val="20"/>
          <w:szCs w:val="20"/>
        </w:rPr>
        <w:t>θ</w:t>
      </w:r>
      <w:r>
        <w:rPr>
          <w:rFonts w:hint="eastAsia"/>
          <w:i/>
          <w:iCs/>
          <w:color w:val="000000"/>
          <w:sz w:val="20"/>
          <w:szCs w:val="20"/>
          <w:vertAlign w:val="superscript"/>
        </w:rPr>
        <w:t>*</w:t>
      </w:r>
      <w:r>
        <w:rPr>
          <w:rFonts w:hint="eastAsia"/>
          <w:color w:val="000000"/>
          <w:sz w:val="20"/>
          <w:szCs w:val="20"/>
        </w:rPr>
        <w:t>（第15行），并在独立验证集上估计温度校准参数</w:t>
      </w:r>
      <w:r>
        <w:rPr>
          <w:rFonts w:hint="eastAsia"/>
          <w:i/>
          <w:iCs/>
          <w:color w:val="000000"/>
          <w:sz w:val="20"/>
          <w:szCs w:val="20"/>
        </w:rPr>
        <w:t>T</w:t>
      </w:r>
      <w:r>
        <w:rPr>
          <w:rFonts w:hint="eastAsia"/>
          <w:i/>
          <w:iCs/>
          <w:color w:val="000000"/>
          <w:sz w:val="20"/>
          <w:szCs w:val="20"/>
          <w:vertAlign w:val="superscript"/>
        </w:rPr>
        <w:t>*</w:t>
      </w:r>
      <w:r>
        <w:rPr>
          <w:rFonts w:hint="eastAsia"/>
          <w:color w:val="000000"/>
          <w:sz w:val="20"/>
          <w:szCs w:val="20"/>
        </w:rPr>
        <w:t>（第16行）用于后验置信度重标定。对于每一份测试报告，模型以与训练阶段一致的方式执行预处理、实体抽取与图构建过程（第18行），并进行前向传播得到分类logits（第19行）。然后，通过温度缩放对输出概率进行校准（第20行），温度参数仅影响概率分布尺度而不改变类别排序，能够提升预测置信度的可解释性与可靠性。最终，系统按照校准后的概率分布选择Top-K（默认K=3）APT组织作为归因结果（第21行），供安全分析人员进一步验证与分析。同时，模型在推理阶段输出节点级注意力权重，该权重可用于定位对归因决策贡献最大的关键实体，从而提供细粒度证据级解释。</w:t>
      </w:r>
    </w:p>
    <w:p w14:paraId="2BCC2CD6">
      <w:pPr>
        <w:pStyle w:val="7"/>
        <w:spacing w:line="180" w:lineRule="auto"/>
        <w:ind w:firstLine="400"/>
        <w:rPr>
          <w:color w:val="000000"/>
          <w:sz w:val="20"/>
          <w:szCs w:val="20"/>
        </w:rPr>
      </w:pPr>
      <w:r>
        <w:rPr>
          <w:rFonts w:hint="eastAsia"/>
          <w:color w:val="000000"/>
          <w:sz w:val="20"/>
          <w:szCs w:val="20"/>
        </w:rPr>
        <w:t>整体而言，提出的APT-CTIA构建了一个统一的端到端图推理框架，将“文本结构化表示—异构图建模—双流关系推理—置信度校准”四个阶段有机融合，实现从非结构化威胁情报到APT归因的完整建模路径。该设计在保证表达能力的同时，增强了模型在复杂攻击场景下的鲁棒性与决策可信度。</w:t>
      </w:r>
    </w:p>
    <w:p w14:paraId="5C57AB7D">
      <w:pPr>
        <w:pStyle w:val="2"/>
        <w:keepNext/>
        <w:spacing w:before="360" w:after="120"/>
        <w:jc w:val="both"/>
        <w:rPr>
          <w:sz w:val="24"/>
          <w:szCs w:val="24"/>
          <w:lang w:eastAsia="zh"/>
        </w:rPr>
      </w:pPr>
      <w:r>
        <w:rPr>
          <w:rFonts w:hint="eastAsia"/>
          <w:sz w:val="24"/>
          <w:szCs w:val="24"/>
          <w:lang w:eastAsia="zh"/>
        </w:rPr>
        <w:t>4.</w:t>
      </w:r>
      <w:r>
        <w:rPr>
          <w:rFonts w:hint="eastAsia"/>
          <w:sz w:val="24"/>
          <w:szCs w:val="24"/>
        </w:rPr>
        <w:t xml:space="preserve"> </w:t>
      </w:r>
      <w:r>
        <w:rPr>
          <w:rFonts w:hint="eastAsia"/>
          <w:sz w:val="24"/>
          <w:szCs w:val="24"/>
          <w:lang w:eastAsia="zh"/>
        </w:rPr>
        <w:t>实验设计</w:t>
      </w:r>
    </w:p>
    <w:p w14:paraId="036E9A0F">
      <w:pPr>
        <w:pStyle w:val="7"/>
        <w:spacing w:line="180" w:lineRule="auto"/>
        <w:ind w:firstLine="400"/>
        <w:rPr>
          <w:color w:val="000000" w:themeColor="text1"/>
          <w:sz w:val="20"/>
          <w:szCs w:val="20"/>
          <w:lang w:eastAsia="zh"/>
          <w14:textFill>
            <w14:solidFill>
              <w14:schemeClr w14:val="tx1"/>
            </w14:solidFill>
          </w14:textFill>
        </w:rPr>
      </w:pPr>
      <w:r>
        <w:rPr>
          <w:rFonts w:hint="eastAsia"/>
          <w:color w:val="000000" w:themeColor="text1"/>
          <w:sz w:val="20"/>
          <w:szCs w:val="20"/>
          <w:lang w:eastAsia="zh"/>
          <w14:textFill>
            <w14:solidFill>
              <w14:schemeClr w14:val="tx1"/>
            </w14:solidFill>
          </w14:textFill>
        </w:rPr>
        <w:t>为系统评估所提出的APT-CTIA模型，本文在</w:t>
      </w:r>
      <w:r>
        <w:rPr>
          <w:rFonts w:hint="eastAsia"/>
          <w:color w:val="000000" w:themeColor="text1"/>
          <w:sz w:val="20"/>
          <w:szCs w:val="20"/>
          <w:highlight w:val="cyan"/>
          <w:lang w:eastAsia="zh"/>
          <w14:textFill>
            <w14:solidFill>
              <w14:schemeClr w14:val="tx1"/>
            </w14:solidFill>
          </w14:textFill>
        </w:rPr>
        <w:t>三个公开或扩展</w:t>
      </w:r>
      <w:r>
        <w:rPr>
          <w:rFonts w:hint="eastAsia"/>
          <w:color w:val="000000" w:themeColor="text1"/>
          <w:sz w:val="20"/>
          <w:szCs w:val="20"/>
          <w:lang w:eastAsia="zh"/>
          <w14:textFill>
            <w14:solidFill>
              <w14:schemeClr w14:val="tx1"/>
            </w14:solidFill>
          </w14:textFill>
        </w:rPr>
        <w:t>的APT威胁情报数据集上开展实验：AADM、</w:t>
      </w:r>
      <w:r>
        <w:rPr>
          <w:rFonts w:hint="eastAsia"/>
          <w:strike/>
          <w:dstrike w:val="0"/>
          <w:color w:val="000000" w:themeColor="text1"/>
          <w:sz w:val="20"/>
          <w:szCs w:val="20"/>
          <w:lang w:eastAsia="zh"/>
          <w14:textFill>
            <w14:solidFill>
              <w14:schemeClr w14:val="tx1"/>
            </w14:solidFill>
          </w14:textFill>
        </w:rPr>
        <w:t>AADM+以及</w:t>
      </w:r>
      <w:r>
        <w:rPr>
          <w:rFonts w:hint="eastAsia"/>
          <w:color w:val="000000" w:themeColor="text1"/>
          <w:sz w:val="20"/>
          <w:szCs w:val="20"/>
          <w:lang w:eastAsia="zh"/>
          <w14:textFill>
            <w14:solidFill>
              <w14:schemeClr w14:val="tx1"/>
            </w14:solidFill>
          </w14:textFill>
        </w:rPr>
        <w:t>APT-Notes</w:t>
      </w:r>
      <w:r>
        <w:rPr>
          <w:rFonts w:hint="eastAsia"/>
          <w:color w:val="000000" w:themeColor="text1"/>
          <w:sz w:val="20"/>
          <w:szCs w:val="20"/>
          <w:lang w:val="en-US" w:eastAsia="zh-CN"/>
          <w14:textFill>
            <w14:solidFill>
              <w14:schemeClr w14:val="tx1"/>
            </w14:solidFill>
          </w14:textFill>
        </w:rPr>
        <w:t>以及</w:t>
      </w:r>
      <w:r>
        <w:rPr>
          <w:rFonts w:hint="eastAsia"/>
          <w:color w:val="000000"/>
          <w:sz w:val="20"/>
          <w:szCs w:val="20"/>
          <w:highlight w:val="yellow"/>
        </w:rPr>
        <w:t>APT CTI Reports</w:t>
      </w:r>
      <w:r>
        <w:rPr>
          <w:rFonts w:hint="eastAsia"/>
          <w:color w:val="000000" w:themeColor="text1"/>
          <w:sz w:val="20"/>
          <w:szCs w:val="20"/>
          <w:lang w:eastAsia="zh"/>
          <w14:textFill>
            <w14:solidFill>
              <w14:schemeClr w14:val="tx1"/>
            </w14:solidFill>
          </w14:textFill>
        </w:rPr>
        <w:t xml:space="preserve">。实验均在统一环境下进行，以确保结果的可复现性与公平性。具体而言，实验平台为Windows 11操作系统，配备Intel </w:t>
      </w:r>
      <w:r>
        <w:rPr>
          <w:rFonts w:hint="eastAsia"/>
          <w:color w:val="000000" w:themeColor="text1"/>
          <w:sz w:val="20"/>
          <w:szCs w:val="20"/>
          <w14:textFill>
            <w14:solidFill>
              <w14:schemeClr w14:val="tx1"/>
            </w14:solidFill>
          </w14:textFill>
        </w:rPr>
        <w:t>I</w:t>
      </w:r>
      <w:r>
        <w:rPr>
          <w:rFonts w:hint="eastAsia"/>
          <w:color w:val="000000" w:themeColor="text1"/>
          <w:sz w:val="20"/>
          <w:szCs w:val="20"/>
          <w:lang w:eastAsia="zh"/>
          <w14:textFill>
            <w14:solidFill>
              <w14:schemeClr w14:val="tx1"/>
            </w14:solidFill>
          </w14:textFill>
        </w:rPr>
        <w:t>7-13700K CPU、</w:t>
      </w:r>
      <w:r>
        <w:rPr>
          <w:rFonts w:hint="eastAsia"/>
          <w:color w:val="000000" w:themeColor="text1"/>
          <w:sz w:val="20"/>
          <w:szCs w:val="20"/>
          <w:lang w:val="en-US" w:eastAsia="zh-CN"/>
          <w14:textFill>
            <w14:solidFill>
              <w14:schemeClr w14:val="tx1"/>
            </w14:solidFill>
          </w14:textFill>
        </w:rPr>
        <w:t>32</w:t>
      </w:r>
      <w:r>
        <w:rPr>
          <w:rFonts w:hint="eastAsia"/>
          <w:color w:val="000000" w:themeColor="text1"/>
          <w:sz w:val="20"/>
          <w:szCs w:val="20"/>
          <w:lang w:eastAsia="zh"/>
          <w14:textFill>
            <w14:solidFill>
              <w14:schemeClr w14:val="tx1"/>
            </w14:solidFill>
          </w14:textFill>
        </w:rPr>
        <w:t>GB内存及NVIDIA RTX 40</w:t>
      </w:r>
      <w:r>
        <w:rPr>
          <w:rFonts w:hint="eastAsia"/>
          <w:color w:val="000000" w:themeColor="text1"/>
          <w:sz w:val="20"/>
          <w:szCs w:val="20"/>
          <w14:textFill>
            <w14:solidFill>
              <w14:schemeClr w14:val="tx1"/>
            </w14:solidFill>
          </w14:textFill>
        </w:rPr>
        <w:t>6</w:t>
      </w:r>
      <w:r>
        <w:rPr>
          <w:rFonts w:hint="eastAsia"/>
          <w:color w:val="000000" w:themeColor="text1"/>
          <w:sz w:val="20"/>
          <w:szCs w:val="20"/>
          <w:lang w:eastAsia="zh"/>
          <w14:textFill>
            <w14:solidFill>
              <w14:schemeClr w14:val="tx1"/>
            </w14:solidFill>
          </w14:textFill>
        </w:rPr>
        <w:t>0 GPU（</w:t>
      </w:r>
      <w:r>
        <w:rPr>
          <w:rFonts w:hint="eastAsia"/>
          <w:color w:val="000000" w:themeColor="text1"/>
          <w:sz w:val="20"/>
          <w:szCs w:val="20"/>
          <w:lang w:val="en-US" w:eastAsia="zh-CN"/>
          <w14:textFill>
            <w14:solidFill>
              <w14:schemeClr w14:val="tx1"/>
            </w14:solidFill>
          </w14:textFill>
        </w:rPr>
        <w:t>24</w:t>
      </w:r>
      <w:r>
        <w:rPr>
          <w:rFonts w:hint="eastAsia"/>
          <w:color w:val="000000" w:themeColor="text1"/>
          <w:sz w:val="20"/>
          <w:szCs w:val="20"/>
          <w:lang w:eastAsia="zh"/>
          <w14:textFill>
            <w14:solidFill>
              <w14:schemeClr w14:val="tx1"/>
            </w14:solidFill>
          </w14:textFill>
        </w:rPr>
        <w:t>GB显存）。模型基于Python 3.10实现，深度学习框架为PyTorch 2.0.1，图计算依赖DGL 1.1.0，自然语言处理模块基于Transformers 4.30.0与NLTK 3.8.1。</w:t>
      </w:r>
    </w:p>
    <w:p w14:paraId="666C5FBC">
      <w:pPr>
        <w:pStyle w:val="7"/>
        <w:spacing w:line="180" w:lineRule="auto"/>
        <w:ind w:firstLine="400"/>
        <w:rPr>
          <w:color w:val="000000" w:themeColor="text1"/>
          <w:sz w:val="20"/>
          <w:szCs w:val="20"/>
          <w:lang w:eastAsia="zh"/>
          <w14:textFill>
            <w14:solidFill>
              <w14:schemeClr w14:val="tx1"/>
            </w14:solidFill>
          </w14:textFill>
        </w:rPr>
      </w:pPr>
      <w:r>
        <w:rPr>
          <w:rFonts w:hint="eastAsia"/>
          <w:color w:val="000000" w:themeColor="text1"/>
          <w:sz w:val="20"/>
          <w:szCs w:val="20"/>
          <w:lang w:eastAsia="zh"/>
          <w14:textFill>
            <w14:solidFill>
              <w14:schemeClr w14:val="tx1"/>
            </w14:solidFill>
          </w14:textFill>
        </w:rPr>
        <w:t>在数据划分方面，所有数据集均采用分层抽样策略，按照7:1:2划分训练集、验证集和测试集，以保持不同APT组织类别在各子集中的分布一致性。同时，为避免潜在的信息泄漏，在划分过程中以“报告级”为基本单元进行数据切分，并对重复或高度相似的报告进行去重处理（基于文本哈希与语义相似度过滤），从而确保训练集与测试集之间不存在内容重叠。此外，考虑到APT攻击行为具有显著的时间演化特性，本文进一步构建了时间划分实验设置，即按照威胁情报发布时间进行排序，使用早期数据进行训练、后期数据进行测试，以更贴近真实APT归因场景中的“未来未知攻击”预测任务。</w:t>
      </w:r>
    </w:p>
    <w:p w14:paraId="79B54086">
      <w:pPr>
        <w:pStyle w:val="3"/>
        <w:keepNext/>
        <w:spacing w:before="360" w:after="120" w:afterLines="0"/>
        <w:jc w:val="both"/>
        <w:rPr>
          <w:sz w:val="24"/>
          <w:szCs w:val="24"/>
          <w:lang w:eastAsia="zh"/>
        </w:rPr>
      </w:pPr>
      <w:r>
        <w:rPr>
          <w:rFonts w:hint="eastAsia"/>
          <w:sz w:val="24"/>
          <w:szCs w:val="24"/>
          <w:lang w:eastAsia="zh"/>
        </w:rPr>
        <w:t>4.1 数据集介绍</w:t>
      </w:r>
    </w:p>
    <w:p w14:paraId="1A827956">
      <w:pPr>
        <w:pStyle w:val="7"/>
        <w:spacing w:line="180" w:lineRule="auto"/>
        <w:ind w:firstLine="400"/>
        <w:rPr>
          <w:rFonts w:hint="eastAsia"/>
          <w:color w:val="000000" w:themeColor="text1"/>
          <w:sz w:val="20"/>
          <w:szCs w:val="20"/>
          <w:lang w:eastAsia="zh"/>
          <w14:textFill>
            <w14:solidFill>
              <w14:schemeClr w14:val="tx1"/>
            </w14:solidFill>
          </w14:textFill>
        </w:rPr>
      </w:pPr>
      <w:r>
        <w:rPr>
          <w:rFonts w:hint="eastAsia"/>
          <w:color w:val="000000" w:themeColor="text1"/>
          <w:sz w:val="20"/>
          <w:szCs w:val="20"/>
          <w:lang w:eastAsia="zh"/>
          <w14:textFill>
            <w14:solidFill>
              <w14:schemeClr w14:val="tx1"/>
            </w14:solidFill>
          </w14:textFill>
        </w:rPr>
        <w:t>本文所使用的数据集来源于公开威胁情报平台与安全厂商报告，覆盖12类APT组织</w:t>
      </w:r>
      <w:r>
        <w:rPr>
          <w:rFonts w:hint="eastAsia"/>
          <w:color w:val="000000" w:themeColor="text1"/>
          <w:sz w:val="20"/>
          <w:szCs w:val="20"/>
          <w14:textFill>
            <w14:solidFill>
              <w14:schemeClr w14:val="tx1"/>
            </w14:solidFill>
          </w14:textFill>
        </w:rPr>
        <w:t>，具体如表3所示</w:t>
      </w:r>
      <w:r>
        <w:rPr>
          <w:rFonts w:hint="eastAsia"/>
          <w:color w:val="000000" w:themeColor="text1"/>
          <w:sz w:val="20"/>
          <w:szCs w:val="20"/>
          <w:lang w:eastAsia="zh"/>
          <w14:textFill>
            <w14:solidFill>
              <w14:schemeClr w14:val="tx1"/>
            </w14:solidFill>
          </w14:textFill>
        </w:rPr>
        <w:t>。</w:t>
      </w:r>
      <w:r>
        <w:rPr>
          <w:rFonts w:hint="eastAsia"/>
          <w:color w:val="000000" w:themeColor="text1"/>
          <w:sz w:val="20"/>
          <w:szCs w:val="20"/>
          <w14:textFill>
            <w14:solidFill>
              <w14:schemeClr w14:val="tx1"/>
            </w14:solidFill>
          </w14:textFill>
        </w:rPr>
        <w:t>APT-Notes</w:t>
      </w:r>
      <w:r>
        <w:rPr>
          <w:rFonts w:hint="eastAsia"/>
          <w:color w:val="000000" w:themeColor="text1"/>
          <w:sz w:val="20"/>
          <w:szCs w:val="20"/>
          <w:lang w:eastAsia="zh"/>
          <w14:textFill>
            <w14:solidFill>
              <w14:schemeClr w14:val="tx1"/>
            </w14:solidFill>
          </w14:textFill>
        </w:rPr>
        <w:t>数据</w:t>
      </w:r>
      <w:r>
        <w:rPr>
          <w:rFonts w:hint="eastAsia"/>
          <w:color w:val="000000" w:themeColor="text1"/>
          <w:sz w:val="20"/>
          <w:szCs w:val="20"/>
          <w14:textFill>
            <w14:solidFill>
              <w14:schemeClr w14:val="tx1"/>
            </w14:solidFill>
          </w14:textFill>
        </w:rPr>
        <w:t>集的扩展</w:t>
      </w:r>
      <w:r>
        <w:rPr>
          <w:rFonts w:hint="eastAsia"/>
          <w:color w:val="000000" w:themeColor="text1"/>
          <w:sz w:val="20"/>
          <w:szCs w:val="20"/>
          <w:lang w:eastAsia="zh"/>
          <w14:textFill>
            <w14:solidFill>
              <w14:schemeClr w14:val="tx1"/>
            </w14:solidFill>
          </w14:textFill>
        </w:rPr>
        <w:t>遵循“真实来源优先、增强过程可控”的原则，具体包括以下两个方面：（1）数据补充：在AADM数据集基础上，结合MITRE ATT&amp;CK、APTnotes及主流安全厂商（如FireEye、Kaspersky等）发布的威胁情报报告，通过爬虫采集与人工筛选相结合的方式获取最新情报数据，从而扩展数据覆盖范围；（2）数据增强：在AADM+构建过程中，对原始文本执行回译（Back-Translation）操作以增强表达多样性。为避免语义漂移带来的标签噪声，本文采用语义一致性约束（基于预训练语言模型的句向量相似度）对增强样本进行过滤，仅保留与原始文本语义一致的样本。上述策略在保证数据规模扩展的同时，有效控制了数据分布偏移与标签污染问题。</w:t>
      </w:r>
    </w:p>
    <w:p w14:paraId="19A622AF">
      <w:pPr>
        <w:pStyle w:val="7"/>
        <w:spacing w:line="180" w:lineRule="auto"/>
        <w:ind w:firstLine="400"/>
        <w:jc w:val="center"/>
        <w:rPr>
          <w:rFonts w:hint="eastAsia"/>
          <w:color w:val="000000" w:themeColor="text1"/>
          <w:sz w:val="20"/>
          <w:szCs w:val="20"/>
          <w:highlight w:val="yellow"/>
          <w:lang w:eastAsia="zh"/>
          <w14:textFill>
            <w14:solidFill>
              <w14:schemeClr w14:val="tx1"/>
            </w14:solidFill>
          </w14:textFill>
        </w:rPr>
      </w:pPr>
      <w:r>
        <w:rPr>
          <w:rFonts w:hint="eastAsia" w:ascii="Times New Roman" w:hAnsi="Times New Roman"/>
          <w:sz w:val="20"/>
          <w:szCs w:val="20"/>
          <w:highlight w:val="yellow"/>
          <w:lang w:eastAsia="zh"/>
          <w:woUserID w:val="3"/>
        </w:rPr>
        <w:t>表</w:t>
      </w:r>
      <w:r>
        <w:rPr>
          <w:rFonts w:hint="eastAsia"/>
          <w:sz w:val="20"/>
          <w:szCs w:val="20"/>
          <w:highlight w:val="yellow"/>
          <w:lang w:val="en-US" w:eastAsia="zh-CN"/>
          <w:woUserID w:val="3"/>
        </w:rPr>
        <w:t>3</w:t>
      </w:r>
      <w:r>
        <w:rPr>
          <w:rFonts w:hint="eastAsia" w:ascii="Times New Roman" w:hAnsi="Times New Roman"/>
          <w:sz w:val="20"/>
          <w:szCs w:val="20"/>
          <w:highlight w:val="yellow"/>
          <w:lang w:eastAsia="zh"/>
          <w:woUserID w:val="3"/>
        </w:rPr>
        <w:t xml:space="preserve"> AADM、APT-Notes</w:t>
      </w:r>
      <w:r>
        <w:rPr>
          <w:rFonts w:hint="eastAsia"/>
          <w:sz w:val="20"/>
          <w:szCs w:val="20"/>
          <w:highlight w:val="yellow"/>
          <w:lang w:val="en-US" w:eastAsia="zh-CN"/>
          <w:woUserID w:val="3"/>
        </w:rPr>
        <w:t>和APT CTI Reports</w:t>
      </w:r>
      <w:r>
        <w:rPr>
          <w:rFonts w:hint="eastAsia" w:ascii="Times New Roman" w:hAnsi="Times New Roman"/>
          <w:sz w:val="20"/>
          <w:szCs w:val="20"/>
          <w:highlight w:val="yellow"/>
          <w:lang w:eastAsia="zh"/>
          <w:woUserID w:val="3"/>
        </w:rPr>
        <w:t>数据集的描述</w:t>
      </w:r>
    </w:p>
    <w:tbl>
      <w:tblPr>
        <w:tblStyle w:val="11"/>
        <w:tblW w:w="4930" w:type="pct"/>
        <w:tblInd w:w="0" w:type="dxa"/>
        <w:tblLayout w:type="autofit"/>
        <w:tblCellMar>
          <w:top w:w="15" w:type="dxa"/>
          <w:left w:w="15" w:type="dxa"/>
          <w:bottom w:w="15" w:type="dxa"/>
          <w:right w:w="15" w:type="dxa"/>
        </w:tblCellMar>
      </w:tblPr>
      <w:tblGrid>
        <w:gridCol w:w="1704"/>
        <w:gridCol w:w="1906"/>
        <w:gridCol w:w="2211"/>
        <w:gridCol w:w="2610"/>
      </w:tblGrid>
      <w:tr w14:paraId="3CF5B33C">
        <w:tblPrEx>
          <w:tblCellMar>
            <w:top w:w="15" w:type="dxa"/>
            <w:left w:w="15" w:type="dxa"/>
            <w:bottom w:w="15" w:type="dxa"/>
            <w:right w:w="15" w:type="dxa"/>
          </w:tblCellMar>
        </w:tblPrEx>
        <w:trPr>
          <w:trHeight w:val="454" w:hRule="exact"/>
          <w:tblHeader/>
        </w:trPr>
        <w:tc>
          <w:tcPr>
            <w:tcW w:w="1010" w:type="pct"/>
            <w:tcBorders>
              <w:top w:val="single" w:color="000000" w:sz="4" w:space="0"/>
              <w:left w:val="single" w:color="000000" w:sz="4" w:space="0"/>
              <w:bottom w:val="single" w:color="000000" w:sz="4" w:space="0"/>
              <w:right w:val="single" w:color="000000" w:sz="4" w:space="0"/>
            </w:tcBorders>
            <w:shd w:val="clear" w:color="auto" w:fill="auto"/>
            <w:tcMar>
              <w:top w:w="150" w:type="dxa"/>
              <w:left w:w="0" w:type="dxa"/>
              <w:bottom w:w="150" w:type="dxa"/>
              <w:right w:w="240" w:type="dxa"/>
            </w:tcMar>
            <w:vAlign w:val="center"/>
          </w:tcPr>
          <w:p w14:paraId="7C1A5610">
            <w:pPr>
              <w:widowControl/>
              <w:spacing w:line="240" w:lineRule="exact"/>
              <w:jc w:val="center"/>
              <w:rPr>
                <w:rFonts w:hint="default" w:eastAsia="宋体" w:cs="Open Sans"/>
                <w:b/>
                <w:bCs/>
                <w:sz w:val="16"/>
                <w:szCs w:val="16"/>
                <w:lang w:val="en-US" w:eastAsia="zh-CN" w:bidi="ar"/>
              </w:rPr>
            </w:pPr>
            <w:r>
              <w:rPr>
                <w:rFonts w:hint="eastAsia" w:cs="Open Sans"/>
                <w:b/>
                <w:bCs/>
                <w:sz w:val="16"/>
                <w:szCs w:val="16"/>
                <w:lang w:val="en-US" w:eastAsia="zh-CN" w:bidi="ar"/>
              </w:rPr>
              <w:t>数据集特征</w:t>
            </w:r>
          </w:p>
        </w:tc>
        <w:tc>
          <w:tcPr>
            <w:tcW w:w="1130" w:type="pct"/>
            <w:tcBorders>
              <w:top w:val="single" w:color="000000" w:sz="4" w:space="0"/>
              <w:left w:val="single" w:color="000000" w:sz="4" w:space="0"/>
              <w:bottom w:val="single" w:color="000000" w:sz="4" w:space="0"/>
              <w:right w:val="single" w:color="000000" w:sz="4" w:space="0"/>
            </w:tcBorders>
            <w:shd w:val="clear" w:color="auto" w:fill="auto"/>
            <w:tcMar>
              <w:top w:w="150" w:type="dxa"/>
              <w:left w:w="240" w:type="dxa"/>
              <w:bottom w:w="150" w:type="dxa"/>
              <w:right w:w="240" w:type="dxa"/>
            </w:tcMar>
            <w:vAlign w:val="center"/>
          </w:tcPr>
          <w:p w14:paraId="272CEC8E">
            <w:pPr>
              <w:widowControl/>
              <w:spacing w:line="240" w:lineRule="exact"/>
              <w:jc w:val="center"/>
              <w:rPr>
                <w:rFonts w:eastAsia="Open Sans" w:cs="Open Sans"/>
                <w:b/>
                <w:bCs/>
                <w:sz w:val="16"/>
                <w:szCs w:val="16"/>
                <w:lang w:bidi="ar"/>
              </w:rPr>
            </w:pPr>
            <w:r>
              <w:rPr>
                <w:rFonts w:eastAsia="Open Sans" w:cs="Open Sans"/>
                <w:b/>
                <w:bCs/>
                <w:sz w:val="16"/>
                <w:szCs w:val="16"/>
                <w:lang w:bidi="ar"/>
              </w:rPr>
              <w:t>AADM</w:t>
            </w:r>
          </w:p>
        </w:tc>
        <w:tc>
          <w:tcPr>
            <w:tcW w:w="1311" w:type="pct"/>
            <w:tcBorders>
              <w:top w:val="single" w:color="000000" w:sz="4" w:space="0"/>
              <w:left w:val="single" w:color="000000" w:sz="4" w:space="0"/>
              <w:bottom w:val="single" w:color="000000" w:sz="4" w:space="0"/>
              <w:right w:val="single" w:color="000000" w:sz="4" w:space="0"/>
            </w:tcBorders>
            <w:shd w:val="clear" w:color="auto" w:fill="auto"/>
            <w:tcMar>
              <w:top w:w="150" w:type="dxa"/>
              <w:left w:w="240" w:type="dxa"/>
              <w:bottom w:w="150" w:type="dxa"/>
              <w:right w:w="240" w:type="dxa"/>
            </w:tcMar>
            <w:vAlign w:val="center"/>
          </w:tcPr>
          <w:p w14:paraId="41F82739">
            <w:pPr>
              <w:widowControl/>
              <w:spacing w:line="240" w:lineRule="exact"/>
              <w:jc w:val="center"/>
              <w:rPr>
                <w:rFonts w:eastAsia="Open Sans" w:cs="Open Sans"/>
                <w:b/>
                <w:bCs/>
                <w:sz w:val="16"/>
                <w:szCs w:val="16"/>
                <w:lang w:bidi="ar"/>
              </w:rPr>
            </w:pPr>
            <w:r>
              <w:rPr>
                <w:rFonts w:eastAsia="Open Sans" w:cs="Open Sans"/>
                <w:b/>
                <w:bCs/>
                <w:sz w:val="16"/>
                <w:szCs w:val="16"/>
                <w:lang w:bidi="ar"/>
              </w:rPr>
              <w:t>APT-Notes</w:t>
            </w:r>
          </w:p>
        </w:tc>
        <w:tc>
          <w:tcPr>
            <w:tcW w:w="1547" w:type="pct"/>
            <w:tcBorders>
              <w:top w:val="single" w:color="000000" w:sz="4" w:space="0"/>
              <w:left w:val="single" w:color="000000" w:sz="4" w:space="0"/>
              <w:bottom w:val="single" w:color="000000" w:sz="4" w:space="0"/>
              <w:right w:val="single" w:color="000000" w:sz="4" w:space="0"/>
            </w:tcBorders>
            <w:shd w:val="clear" w:color="auto" w:fill="auto"/>
            <w:tcMar>
              <w:top w:w="150" w:type="dxa"/>
              <w:left w:w="240" w:type="dxa"/>
              <w:bottom w:w="150" w:type="dxa"/>
              <w:right w:w="240" w:type="dxa"/>
            </w:tcMar>
            <w:vAlign w:val="center"/>
          </w:tcPr>
          <w:p w14:paraId="725509D2">
            <w:pPr>
              <w:widowControl/>
              <w:spacing w:line="240" w:lineRule="exact"/>
              <w:jc w:val="center"/>
              <w:rPr>
                <w:rFonts w:eastAsia="Open Sans" w:cs="Open Sans"/>
                <w:b/>
                <w:bCs/>
                <w:sz w:val="16"/>
                <w:szCs w:val="16"/>
                <w:lang w:bidi="ar"/>
              </w:rPr>
            </w:pPr>
            <w:r>
              <w:rPr>
                <w:rFonts w:hint="eastAsia" w:eastAsia="Open Sans" w:cs="Open Sans"/>
                <w:b/>
                <w:bCs/>
                <w:sz w:val="16"/>
                <w:szCs w:val="16"/>
                <w:lang w:bidi="ar"/>
              </w:rPr>
              <w:t>APT CTI Reports</w:t>
            </w:r>
          </w:p>
        </w:tc>
      </w:tr>
      <w:tr w14:paraId="7384C22F">
        <w:tblPrEx>
          <w:tblCellMar>
            <w:top w:w="15" w:type="dxa"/>
            <w:left w:w="15" w:type="dxa"/>
            <w:bottom w:w="15" w:type="dxa"/>
            <w:right w:w="15" w:type="dxa"/>
          </w:tblCellMar>
        </w:tblPrEx>
        <w:trPr>
          <w:trHeight w:val="454" w:hRule="exact"/>
        </w:trPr>
        <w:tc>
          <w:tcPr>
            <w:tcW w:w="1010" w:type="pct"/>
            <w:tcBorders>
              <w:top w:val="single" w:color="000000" w:sz="4" w:space="0"/>
              <w:left w:val="single" w:color="000000" w:sz="4" w:space="0"/>
              <w:bottom w:val="single" w:color="000000" w:sz="4" w:space="0"/>
              <w:right w:val="single" w:color="000000" w:sz="4" w:space="0"/>
            </w:tcBorders>
            <w:shd w:val="clear" w:color="auto" w:fill="auto"/>
            <w:tcMar>
              <w:top w:w="150" w:type="dxa"/>
              <w:left w:w="0" w:type="dxa"/>
              <w:bottom w:w="150" w:type="dxa"/>
              <w:right w:w="240" w:type="dxa"/>
            </w:tcMar>
            <w:vAlign w:val="center"/>
          </w:tcPr>
          <w:p w14:paraId="5788B829">
            <w:pPr>
              <w:widowControl/>
              <w:spacing w:line="240" w:lineRule="exact"/>
              <w:jc w:val="center"/>
              <w:rPr>
                <w:rFonts w:hint="default" w:eastAsia="宋体" w:cs="Open Sans"/>
                <w:sz w:val="16"/>
                <w:szCs w:val="16"/>
                <w:lang w:val="en-US" w:eastAsia="zh-CN" w:bidi="ar"/>
              </w:rPr>
            </w:pPr>
            <w:r>
              <w:rPr>
                <w:rFonts w:hint="eastAsia" w:cs="Open Sans"/>
                <w:sz w:val="16"/>
                <w:szCs w:val="16"/>
                <w:lang w:val="en-US" w:eastAsia="zh-CN" w:bidi="ar"/>
              </w:rPr>
              <w:t>报告样本数</w:t>
            </w:r>
          </w:p>
        </w:tc>
        <w:tc>
          <w:tcPr>
            <w:tcW w:w="1130" w:type="pct"/>
            <w:tcBorders>
              <w:top w:val="single" w:color="000000" w:sz="4" w:space="0"/>
              <w:left w:val="single" w:color="000000" w:sz="4" w:space="0"/>
              <w:bottom w:val="single" w:color="000000" w:sz="4" w:space="0"/>
              <w:right w:val="single" w:color="000000" w:sz="4" w:space="0"/>
            </w:tcBorders>
            <w:shd w:val="clear" w:color="auto" w:fill="auto"/>
            <w:tcMar>
              <w:top w:w="150" w:type="dxa"/>
              <w:left w:w="240" w:type="dxa"/>
              <w:bottom w:w="150" w:type="dxa"/>
              <w:right w:w="240" w:type="dxa"/>
            </w:tcMar>
            <w:vAlign w:val="center"/>
          </w:tcPr>
          <w:p w14:paraId="0681CB0D">
            <w:pPr>
              <w:widowControl/>
              <w:spacing w:line="240" w:lineRule="exact"/>
              <w:jc w:val="center"/>
              <w:rPr>
                <w:rFonts w:eastAsia="Open Sans" w:cs="Open Sans"/>
                <w:sz w:val="16"/>
                <w:szCs w:val="16"/>
                <w:lang w:bidi="ar"/>
              </w:rPr>
            </w:pPr>
          </w:p>
        </w:tc>
        <w:tc>
          <w:tcPr>
            <w:tcW w:w="1311" w:type="pct"/>
            <w:tcBorders>
              <w:top w:val="single" w:color="000000" w:sz="4" w:space="0"/>
              <w:left w:val="single" w:color="000000" w:sz="4" w:space="0"/>
              <w:bottom w:val="single" w:color="000000" w:sz="4" w:space="0"/>
              <w:right w:val="single" w:color="000000" w:sz="4" w:space="0"/>
            </w:tcBorders>
            <w:shd w:val="clear" w:color="auto" w:fill="auto"/>
            <w:tcMar>
              <w:top w:w="150" w:type="dxa"/>
              <w:left w:w="240" w:type="dxa"/>
              <w:bottom w:w="150" w:type="dxa"/>
              <w:right w:w="240" w:type="dxa"/>
            </w:tcMar>
            <w:vAlign w:val="center"/>
          </w:tcPr>
          <w:p w14:paraId="0112A807">
            <w:pPr>
              <w:widowControl/>
              <w:spacing w:line="240" w:lineRule="exact"/>
              <w:jc w:val="center"/>
              <w:rPr>
                <w:rFonts w:eastAsia="Open Sans" w:cs="Open Sans"/>
                <w:sz w:val="16"/>
                <w:szCs w:val="16"/>
                <w:lang w:bidi="ar"/>
              </w:rPr>
            </w:pPr>
          </w:p>
        </w:tc>
        <w:tc>
          <w:tcPr>
            <w:tcW w:w="1547" w:type="pct"/>
            <w:tcBorders>
              <w:top w:val="single" w:color="000000" w:sz="4" w:space="0"/>
              <w:left w:val="single" w:color="000000" w:sz="4" w:space="0"/>
              <w:bottom w:val="single" w:color="000000" w:sz="4" w:space="0"/>
              <w:right w:val="single" w:color="000000" w:sz="4" w:space="0"/>
            </w:tcBorders>
            <w:shd w:val="clear" w:color="auto" w:fill="auto"/>
            <w:tcMar>
              <w:top w:w="150" w:type="dxa"/>
              <w:left w:w="240" w:type="dxa"/>
              <w:bottom w:w="150" w:type="dxa"/>
              <w:right w:w="240" w:type="dxa"/>
            </w:tcMar>
            <w:vAlign w:val="center"/>
          </w:tcPr>
          <w:p w14:paraId="0D1B256A">
            <w:pPr>
              <w:widowControl/>
              <w:spacing w:line="240" w:lineRule="exact"/>
              <w:jc w:val="center"/>
              <w:rPr>
                <w:rFonts w:eastAsia="Open Sans" w:cs="Open Sans"/>
                <w:sz w:val="16"/>
                <w:szCs w:val="16"/>
                <w:lang w:bidi="ar"/>
              </w:rPr>
            </w:pPr>
          </w:p>
        </w:tc>
      </w:tr>
      <w:tr w14:paraId="1F3A864C">
        <w:tblPrEx>
          <w:tblCellMar>
            <w:top w:w="15" w:type="dxa"/>
            <w:left w:w="15" w:type="dxa"/>
            <w:bottom w:w="15" w:type="dxa"/>
            <w:right w:w="15" w:type="dxa"/>
          </w:tblCellMar>
        </w:tblPrEx>
        <w:trPr>
          <w:trHeight w:val="454" w:hRule="exact"/>
        </w:trPr>
        <w:tc>
          <w:tcPr>
            <w:tcW w:w="1010" w:type="pct"/>
            <w:tcBorders>
              <w:top w:val="single" w:color="000000" w:sz="4" w:space="0"/>
              <w:left w:val="single" w:color="000000" w:sz="4" w:space="0"/>
              <w:bottom w:val="single" w:color="000000" w:sz="4" w:space="0"/>
              <w:right w:val="single" w:color="000000" w:sz="4" w:space="0"/>
            </w:tcBorders>
            <w:shd w:val="clear" w:color="auto" w:fill="auto"/>
            <w:tcMar>
              <w:top w:w="150" w:type="dxa"/>
              <w:left w:w="0" w:type="dxa"/>
              <w:bottom w:w="150" w:type="dxa"/>
              <w:right w:w="240" w:type="dxa"/>
            </w:tcMar>
            <w:vAlign w:val="center"/>
          </w:tcPr>
          <w:p w14:paraId="66820B60">
            <w:pPr>
              <w:widowControl/>
              <w:spacing w:line="240" w:lineRule="exact"/>
              <w:jc w:val="center"/>
              <w:rPr>
                <w:rFonts w:hint="default" w:eastAsia="宋体" w:cs="Open Sans"/>
                <w:sz w:val="16"/>
                <w:szCs w:val="16"/>
                <w:lang w:val="en-US" w:eastAsia="zh-CN" w:bidi="ar"/>
              </w:rPr>
            </w:pPr>
            <w:r>
              <w:rPr>
                <w:rFonts w:hint="eastAsia" w:cs="Open Sans"/>
                <w:sz w:val="16"/>
                <w:szCs w:val="16"/>
                <w:lang w:val="en-US" w:eastAsia="zh-CN" w:bidi="ar"/>
              </w:rPr>
              <w:t>平均图节点数</w:t>
            </w:r>
          </w:p>
        </w:tc>
        <w:tc>
          <w:tcPr>
            <w:tcW w:w="1130" w:type="pct"/>
            <w:tcBorders>
              <w:top w:val="single" w:color="000000" w:sz="4" w:space="0"/>
              <w:left w:val="single" w:color="000000" w:sz="4" w:space="0"/>
              <w:bottom w:val="single" w:color="000000" w:sz="4" w:space="0"/>
              <w:right w:val="single" w:color="000000" w:sz="4" w:space="0"/>
            </w:tcBorders>
            <w:shd w:val="clear" w:color="auto" w:fill="auto"/>
            <w:tcMar>
              <w:top w:w="150" w:type="dxa"/>
              <w:left w:w="240" w:type="dxa"/>
              <w:bottom w:w="150" w:type="dxa"/>
              <w:right w:w="240" w:type="dxa"/>
            </w:tcMar>
            <w:vAlign w:val="center"/>
          </w:tcPr>
          <w:p w14:paraId="3A7EA1C7">
            <w:pPr>
              <w:widowControl/>
              <w:spacing w:line="240" w:lineRule="exact"/>
              <w:jc w:val="center"/>
              <w:rPr>
                <w:rFonts w:eastAsia="Open Sans" w:cs="Open Sans"/>
                <w:sz w:val="16"/>
                <w:szCs w:val="16"/>
                <w:lang w:bidi="ar"/>
              </w:rPr>
            </w:pPr>
          </w:p>
        </w:tc>
        <w:tc>
          <w:tcPr>
            <w:tcW w:w="1311" w:type="pct"/>
            <w:tcBorders>
              <w:top w:val="single" w:color="000000" w:sz="4" w:space="0"/>
              <w:left w:val="single" w:color="000000" w:sz="4" w:space="0"/>
              <w:bottom w:val="single" w:color="000000" w:sz="4" w:space="0"/>
              <w:right w:val="single" w:color="000000" w:sz="4" w:space="0"/>
            </w:tcBorders>
            <w:shd w:val="clear" w:color="auto" w:fill="auto"/>
            <w:tcMar>
              <w:top w:w="150" w:type="dxa"/>
              <w:left w:w="240" w:type="dxa"/>
              <w:bottom w:w="150" w:type="dxa"/>
              <w:right w:w="240" w:type="dxa"/>
            </w:tcMar>
            <w:vAlign w:val="center"/>
          </w:tcPr>
          <w:p w14:paraId="496CC710">
            <w:pPr>
              <w:widowControl/>
              <w:spacing w:line="240" w:lineRule="exact"/>
              <w:jc w:val="center"/>
              <w:rPr>
                <w:rFonts w:eastAsia="Open Sans" w:cs="Open Sans"/>
                <w:sz w:val="16"/>
                <w:szCs w:val="16"/>
                <w:lang w:bidi="ar"/>
              </w:rPr>
            </w:pPr>
          </w:p>
        </w:tc>
        <w:tc>
          <w:tcPr>
            <w:tcW w:w="1547" w:type="pct"/>
            <w:tcBorders>
              <w:top w:val="single" w:color="000000" w:sz="4" w:space="0"/>
              <w:left w:val="single" w:color="000000" w:sz="4" w:space="0"/>
              <w:bottom w:val="single" w:color="000000" w:sz="4" w:space="0"/>
              <w:right w:val="single" w:color="000000" w:sz="4" w:space="0"/>
            </w:tcBorders>
            <w:shd w:val="clear" w:color="auto" w:fill="auto"/>
            <w:tcMar>
              <w:top w:w="150" w:type="dxa"/>
              <w:left w:w="240" w:type="dxa"/>
              <w:bottom w:w="150" w:type="dxa"/>
              <w:right w:w="240" w:type="dxa"/>
            </w:tcMar>
            <w:vAlign w:val="center"/>
          </w:tcPr>
          <w:p w14:paraId="4F4FD5A3">
            <w:pPr>
              <w:widowControl/>
              <w:spacing w:line="240" w:lineRule="exact"/>
              <w:jc w:val="center"/>
              <w:rPr>
                <w:rFonts w:eastAsia="Open Sans" w:cs="Open Sans"/>
                <w:sz w:val="16"/>
                <w:szCs w:val="16"/>
                <w:lang w:bidi="ar"/>
              </w:rPr>
            </w:pPr>
          </w:p>
        </w:tc>
      </w:tr>
      <w:tr w14:paraId="3F880B6E">
        <w:tblPrEx>
          <w:tblCellMar>
            <w:top w:w="15" w:type="dxa"/>
            <w:left w:w="15" w:type="dxa"/>
            <w:bottom w:w="15" w:type="dxa"/>
            <w:right w:w="15" w:type="dxa"/>
          </w:tblCellMar>
        </w:tblPrEx>
        <w:trPr>
          <w:trHeight w:val="454" w:hRule="exact"/>
        </w:trPr>
        <w:tc>
          <w:tcPr>
            <w:tcW w:w="1010" w:type="pct"/>
            <w:tcBorders>
              <w:top w:val="single" w:color="000000" w:sz="4" w:space="0"/>
              <w:left w:val="single" w:color="000000" w:sz="4" w:space="0"/>
              <w:bottom w:val="single" w:color="000000" w:sz="4" w:space="0"/>
              <w:right w:val="single" w:color="000000" w:sz="4" w:space="0"/>
            </w:tcBorders>
            <w:shd w:val="clear" w:color="auto" w:fill="auto"/>
            <w:tcMar>
              <w:top w:w="150" w:type="dxa"/>
              <w:left w:w="0" w:type="dxa"/>
              <w:bottom w:w="150" w:type="dxa"/>
              <w:right w:w="240" w:type="dxa"/>
            </w:tcMar>
            <w:vAlign w:val="center"/>
          </w:tcPr>
          <w:p w14:paraId="0B39D3B6">
            <w:pPr>
              <w:widowControl/>
              <w:spacing w:line="240" w:lineRule="exact"/>
              <w:jc w:val="center"/>
              <w:rPr>
                <w:rFonts w:hint="default" w:eastAsia="宋体" w:cs="Open Sans"/>
                <w:sz w:val="16"/>
                <w:szCs w:val="16"/>
                <w:lang w:val="en-US" w:eastAsia="zh-CN" w:bidi="ar"/>
              </w:rPr>
            </w:pPr>
            <w:r>
              <w:rPr>
                <w:rFonts w:hint="eastAsia" w:cs="Open Sans"/>
                <w:sz w:val="16"/>
                <w:szCs w:val="16"/>
                <w:lang w:val="en-US" w:eastAsia="zh-CN" w:bidi="ar"/>
              </w:rPr>
              <w:t>平均图边数</w:t>
            </w:r>
          </w:p>
        </w:tc>
        <w:tc>
          <w:tcPr>
            <w:tcW w:w="1130" w:type="pct"/>
            <w:tcBorders>
              <w:top w:val="single" w:color="000000" w:sz="4" w:space="0"/>
              <w:left w:val="single" w:color="000000" w:sz="4" w:space="0"/>
              <w:bottom w:val="single" w:color="000000" w:sz="4" w:space="0"/>
              <w:right w:val="single" w:color="000000" w:sz="4" w:space="0"/>
            </w:tcBorders>
            <w:shd w:val="clear" w:color="auto" w:fill="auto"/>
            <w:tcMar>
              <w:top w:w="150" w:type="dxa"/>
              <w:left w:w="240" w:type="dxa"/>
              <w:bottom w:w="150" w:type="dxa"/>
              <w:right w:w="240" w:type="dxa"/>
            </w:tcMar>
            <w:vAlign w:val="center"/>
          </w:tcPr>
          <w:p w14:paraId="13A01F05">
            <w:pPr>
              <w:widowControl/>
              <w:spacing w:line="240" w:lineRule="exact"/>
              <w:jc w:val="center"/>
              <w:rPr>
                <w:rFonts w:eastAsia="Open Sans" w:cs="Open Sans"/>
                <w:sz w:val="16"/>
                <w:szCs w:val="16"/>
                <w:lang w:bidi="ar"/>
              </w:rPr>
            </w:pPr>
          </w:p>
        </w:tc>
        <w:tc>
          <w:tcPr>
            <w:tcW w:w="1311" w:type="pct"/>
            <w:tcBorders>
              <w:top w:val="single" w:color="000000" w:sz="4" w:space="0"/>
              <w:left w:val="single" w:color="000000" w:sz="4" w:space="0"/>
              <w:bottom w:val="single" w:color="000000" w:sz="4" w:space="0"/>
              <w:right w:val="single" w:color="000000" w:sz="4" w:space="0"/>
            </w:tcBorders>
            <w:shd w:val="clear" w:color="auto" w:fill="auto"/>
            <w:tcMar>
              <w:top w:w="150" w:type="dxa"/>
              <w:left w:w="240" w:type="dxa"/>
              <w:bottom w:w="150" w:type="dxa"/>
              <w:right w:w="240" w:type="dxa"/>
            </w:tcMar>
            <w:vAlign w:val="center"/>
          </w:tcPr>
          <w:p w14:paraId="53FB4C06">
            <w:pPr>
              <w:widowControl/>
              <w:spacing w:line="240" w:lineRule="exact"/>
              <w:jc w:val="center"/>
              <w:rPr>
                <w:rFonts w:eastAsia="Open Sans" w:cs="Open Sans"/>
                <w:sz w:val="16"/>
                <w:szCs w:val="16"/>
                <w:lang w:bidi="ar"/>
              </w:rPr>
            </w:pPr>
          </w:p>
        </w:tc>
        <w:tc>
          <w:tcPr>
            <w:tcW w:w="1547" w:type="pct"/>
            <w:tcBorders>
              <w:top w:val="single" w:color="000000" w:sz="4" w:space="0"/>
              <w:left w:val="single" w:color="000000" w:sz="4" w:space="0"/>
              <w:bottom w:val="single" w:color="000000" w:sz="4" w:space="0"/>
              <w:right w:val="single" w:color="000000" w:sz="4" w:space="0"/>
            </w:tcBorders>
            <w:shd w:val="clear" w:color="auto" w:fill="auto"/>
            <w:tcMar>
              <w:top w:w="150" w:type="dxa"/>
              <w:left w:w="240" w:type="dxa"/>
              <w:bottom w:w="150" w:type="dxa"/>
              <w:right w:w="240" w:type="dxa"/>
            </w:tcMar>
            <w:vAlign w:val="center"/>
          </w:tcPr>
          <w:p w14:paraId="25441D2F">
            <w:pPr>
              <w:widowControl/>
              <w:spacing w:line="240" w:lineRule="exact"/>
              <w:jc w:val="center"/>
              <w:rPr>
                <w:rFonts w:eastAsia="Open Sans" w:cs="Open Sans"/>
                <w:sz w:val="16"/>
                <w:szCs w:val="16"/>
                <w:lang w:bidi="ar"/>
              </w:rPr>
            </w:pPr>
          </w:p>
        </w:tc>
      </w:tr>
      <w:tr w14:paraId="41D0E0A6">
        <w:tblPrEx>
          <w:tblCellMar>
            <w:top w:w="15" w:type="dxa"/>
            <w:left w:w="15" w:type="dxa"/>
            <w:bottom w:w="15" w:type="dxa"/>
            <w:right w:w="15" w:type="dxa"/>
          </w:tblCellMar>
        </w:tblPrEx>
        <w:trPr>
          <w:trHeight w:val="454" w:hRule="exact"/>
        </w:trPr>
        <w:tc>
          <w:tcPr>
            <w:tcW w:w="1010" w:type="pct"/>
            <w:tcBorders>
              <w:top w:val="single" w:color="000000" w:sz="4" w:space="0"/>
              <w:left w:val="single" w:color="000000" w:sz="4" w:space="0"/>
              <w:bottom w:val="single" w:color="000000" w:sz="4" w:space="0"/>
              <w:right w:val="single" w:color="000000" w:sz="4" w:space="0"/>
            </w:tcBorders>
            <w:shd w:val="clear" w:color="auto" w:fill="auto"/>
            <w:tcMar>
              <w:top w:w="150" w:type="dxa"/>
              <w:left w:w="0" w:type="dxa"/>
              <w:bottom w:w="150" w:type="dxa"/>
              <w:right w:w="240" w:type="dxa"/>
            </w:tcMar>
            <w:vAlign w:val="center"/>
          </w:tcPr>
          <w:p w14:paraId="614A43A3">
            <w:pPr>
              <w:widowControl/>
              <w:spacing w:line="240" w:lineRule="exact"/>
              <w:jc w:val="center"/>
              <w:rPr>
                <w:rFonts w:hint="default" w:eastAsia="宋体" w:cs="Open Sans"/>
                <w:sz w:val="16"/>
                <w:szCs w:val="16"/>
                <w:lang w:val="en-US" w:eastAsia="zh-CN" w:bidi="ar"/>
              </w:rPr>
            </w:pPr>
            <w:r>
              <w:rPr>
                <w:rFonts w:hint="eastAsia" w:cs="Open Sans"/>
                <w:sz w:val="16"/>
                <w:szCs w:val="16"/>
                <w:lang w:val="en-US" w:eastAsia="zh-CN" w:bidi="ar"/>
              </w:rPr>
              <w:t>提取实体总数</w:t>
            </w:r>
          </w:p>
        </w:tc>
        <w:tc>
          <w:tcPr>
            <w:tcW w:w="1130" w:type="pct"/>
            <w:tcBorders>
              <w:top w:val="single" w:color="000000" w:sz="4" w:space="0"/>
              <w:left w:val="single" w:color="000000" w:sz="4" w:space="0"/>
              <w:bottom w:val="single" w:color="000000" w:sz="4" w:space="0"/>
              <w:right w:val="single" w:color="000000" w:sz="4" w:space="0"/>
            </w:tcBorders>
            <w:shd w:val="clear" w:color="auto" w:fill="auto"/>
            <w:tcMar>
              <w:top w:w="150" w:type="dxa"/>
              <w:left w:w="240" w:type="dxa"/>
              <w:bottom w:w="150" w:type="dxa"/>
              <w:right w:w="240" w:type="dxa"/>
            </w:tcMar>
            <w:vAlign w:val="center"/>
          </w:tcPr>
          <w:p w14:paraId="61C84E55">
            <w:pPr>
              <w:widowControl/>
              <w:spacing w:line="240" w:lineRule="exact"/>
              <w:jc w:val="center"/>
              <w:rPr>
                <w:rFonts w:eastAsia="Open Sans" w:cs="Open Sans"/>
                <w:sz w:val="16"/>
                <w:szCs w:val="16"/>
                <w:lang w:bidi="ar"/>
              </w:rPr>
            </w:pPr>
          </w:p>
        </w:tc>
        <w:tc>
          <w:tcPr>
            <w:tcW w:w="1311" w:type="pct"/>
            <w:tcBorders>
              <w:top w:val="single" w:color="000000" w:sz="4" w:space="0"/>
              <w:left w:val="single" w:color="000000" w:sz="4" w:space="0"/>
              <w:bottom w:val="single" w:color="000000" w:sz="4" w:space="0"/>
              <w:right w:val="single" w:color="000000" w:sz="4" w:space="0"/>
            </w:tcBorders>
            <w:shd w:val="clear" w:color="auto" w:fill="auto"/>
            <w:tcMar>
              <w:top w:w="150" w:type="dxa"/>
              <w:left w:w="240" w:type="dxa"/>
              <w:bottom w:w="150" w:type="dxa"/>
              <w:right w:w="240" w:type="dxa"/>
            </w:tcMar>
            <w:vAlign w:val="center"/>
          </w:tcPr>
          <w:p w14:paraId="66CE98F5">
            <w:pPr>
              <w:widowControl/>
              <w:spacing w:line="240" w:lineRule="exact"/>
              <w:jc w:val="center"/>
              <w:rPr>
                <w:rFonts w:eastAsia="Open Sans" w:cs="Open Sans"/>
                <w:sz w:val="16"/>
                <w:szCs w:val="16"/>
                <w:lang w:bidi="ar"/>
              </w:rPr>
            </w:pPr>
          </w:p>
        </w:tc>
        <w:tc>
          <w:tcPr>
            <w:tcW w:w="1547" w:type="pct"/>
            <w:tcBorders>
              <w:top w:val="single" w:color="000000" w:sz="4" w:space="0"/>
              <w:left w:val="single" w:color="000000" w:sz="4" w:space="0"/>
              <w:bottom w:val="single" w:color="000000" w:sz="4" w:space="0"/>
              <w:right w:val="single" w:color="000000" w:sz="4" w:space="0"/>
            </w:tcBorders>
            <w:shd w:val="clear" w:color="auto" w:fill="auto"/>
            <w:tcMar>
              <w:top w:w="150" w:type="dxa"/>
              <w:left w:w="240" w:type="dxa"/>
              <w:bottom w:w="150" w:type="dxa"/>
              <w:right w:w="240" w:type="dxa"/>
            </w:tcMar>
            <w:vAlign w:val="center"/>
          </w:tcPr>
          <w:p w14:paraId="1B663A99">
            <w:pPr>
              <w:widowControl/>
              <w:spacing w:line="240" w:lineRule="exact"/>
              <w:jc w:val="center"/>
              <w:rPr>
                <w:rFonts w:eastAsia="Open Sans" w:cs="Open Sans"/>
                <w:sz w:val="16"/>
                <w:szCs w:val="16"/>
                <w:lang w:bidi="ar"/>
              </w:rPr>
            </w:pPr>
          </w:p>
        </w:tc>
      </w:tr>
    </w:tbl>
    <w:p w14:paraId="627AC718">
      <w:pPr>
        <w:pStyle w:val="7"/>
        <w:spacing w:line="180" w:lineRule="auto"/>
        <w:ind w:firstLine="400"/>
        <w:rPr>
          <w:color w:val="000000" w:themeColor="text1"/>
          <w:sz w:val="20"/>
          <w:szCs w:val="20"/>
          <w14:textFill>
            <w14:solidFill>
              <w14:schemeClr w14:val="tx1"/>
            </w14:solidFill>
          </w14:textFill>
        </w:rPr>
      </w:pPr>
      <w:r>
        <w:rPr>
          <w:rFonts w:hint="eastAsia"/>
          <w:color w:val="000000" w:themeColor="text1"/>
          <w:sz w:val="20"/>
          <w:szCs w:val="20"/>
          <w14:textFill>
            <w14:solidFill>
              <w14:schemeClr w14:val="tx1"/>
            </w14:solidFill>
          </w14:textFill>
        </w:rPr>
        <w:t>AADM（Attack Attributing Dataset-Master）是APT归因领域广泛使用的公开基准数据集，包含12类APT组织的威胁情报报告。该数据集标签体系稳定、结构相对规范，适合作为基础评测平台。然而，其类别分布存在明显不均衡问题，部分APT组织样本数量较少。</w:t>
      </w:r>
    </w:p>
    <w:p w14:paraId="3F5FDD37">
      <w:pPr>
        <w:pStyle w:val="7"/>
        <w:spacing w:line="180" w:lineRule="auto"/>
        <w:ind w:firstLine="400"/>
        <w:rPr>
          <w:strike/>
          <w:dstrike w:val="0"/>
          <w:color w:val="000000" w:themeColor="text1"/>
          <w:sz w:val="20"/>
          <w:szCs w:val="20"/>
          <w14:textFill>
            <w14:solidFill>
              <w14:schemeClr w14:val="tx1"/>
            </w14:solidFill>
          </w14:textFill>
        </w:rPr>
      </w:pPr>
      <w:r>
        <w:rPr>
          <w:rFonts w:hint="eastAsia"/>
          <w:strike/>
          <w:dstrike w:val="0"/>
          <w:color w:val="000000" w:themeColor="text1"/>
          <w:sz w:val="20"/>
          <w:szCs w:val="20"/>
          <w14:textFill>
            <w14:solidFill>
              <w14:schemeClr w14:val="tx1"/>
            </w14:solidFill>
          </w14:textFill>
        </w:rPr>
        <w:t>AADM+是在AADM基础上的扩展版本，通过引入最新威胁情报与数据增强构建而成。相比原始数据集，AADM+在文本来源、表达方式及结构复杂度上均显著提升，更接近真实应用环境，同时保留原始类别分布特性。</w:t>
      </w:r>
    </w:p>
    <w:p w14:paraId="6F681115">
      <w:pPr>
        <w:pStyle w:val="7"/>
        <w:spacing w:line="180" w:lineRule="auto"/>
        <w:ind w:firstLine="400"/>
        <w:rPr>
          <w:rFonts w:hint="eastAsia"/>
          <w:color w:val="000000"/>
          <w:sz w:val="20"/>
          <w:szCs w:val="20"/>
        </w:rPr>
      </w:pPr>
      <w:r>
        <w:rPr>
          <w:rFonts w:hint="eastAsia"/>
          <w:color w:val="000000"/>
          <w:sz w:val="20"/>
          <w:szCs w:val="20"/>
        </w:rPr>
        <w:t>APT-Notes数据集是我们进一步整合APT Notes中2019年之后持续更新的公开情报</w:t>
      </w:r>
      <w:r>
        <w:rPr>
          <w:rFonts w:hint="eastAsia"/>
          <w:color w:val="000000" w:themeColor="text1"/>
          <w:sz w:val="20"/>
          <w:szCs w:val="20"/>
          <w:highlight w:val="yellow"/>
          <w:lang w:val="en-US" w:eastAsia="zh-CN"/>
          <w14:textFill>
            <w14:solidFill>
              <w14:schemeClr w14:val="tx1"/>
            </w14:solidFill>
          </w14:textFill>
        </w:rPr>
        <w:t>基于</w:t>
      </w:r>
      <w:r>
        <w:rPr>
          <w:rFonts w:hint="eastAsia"/>
          <w:strike w:val="0"/>
          <w:dstrike w:val="0"/>
          <w:color w:val="000000" w:themeColor="text1"/>
          <w:sz w:val="20"/>
          <w:szCs w:val="20"/>
          <w:highlight w:val="yellow"/>
          <w14:textFill>
            <w14:solidFill>
              <w14:schemeClr w14:val="tx1"/>
            </w14:solidFill>
          </w14:textFill>
        </w:rPr>
        <w:t>AADM基础上</w:t>
      </w:r>
      <w:r>
        <w:rPr>
          <w:rFonts w:hint="eastAsia"/>
          <w:strike w:val="0"/>
          <w:dstrike w:val="0"/>
          <w:color w:val="000000" w:themeColor="text1"/>
          <w:sz w:val="20"/>
          <w:szCs w:val="20"/>
          <w:highlight w:val="yellow"/>
          <w:lang w:val="en-US" w:eastAsia="zh-CN"/>
          <w14:textFill>
            <w14:solidFill>
              <w14:schemeClr w14:val="tx1"/>
            </w14:solidFill>
          </w14:textFill>
        </w:rPr>
        <w:t>做</w:t>
      </w:r>
      <w:r>
        <w:rPr>
          <w:rFonts w:hint="eastAsia"/>
          <w:strike w:val="0"/>
          <w:dstrike w:val="0"/>
          <w:color w:val="000000" w:themeColor="text1"/>
          <w:sz w:val="20"/>
          <w:szCs w:val="20"/>
          <w:highlight w:val="yellow"/>
          <w14:textFill>
            <w14:solidFill>
              <w14:schemeClr w14:val="tx1"/>
            </w14:solidFill>
          </w14:textFill>
        </w:rPr>
        <w:t>的扩展版本</w:t>
      </w:r>
      <w:r>
        <w:rPr>
          <w:rFonts w:hint="eastAsia"/>
          <w:color w:val="000000"/>
          <w:sz w:val="20"/>
          <w:szCs w:val="20"/>
        </w:rPr>
        <w:t>，包含大量非结构化文档（如PDF、扫描件等），在文本噪声、格式复杂度及信息异构性方面显著高于AADM数据集，但相对于AADM略缓解了类别不平衡问题。该数据集包含更大量的IOC与攻击痕迹（如URL、文件路径、注册表项、进程/服务、端口等），可用于评估模型在真实场景中的鲁棒性与泛化能力。</w:t>
      </w:r>
    </w:p>
    <w:p w14:paraId="3029554E">
      <w:pPr>
        <w:pStyle w:val="7"/>
        <w:spacing w:line="180" w:lineRule="auto"/>
        <w:ind w:firstLine="400"/>
        <w:rPr>
          <w:rFonts w:hint="eastAsia"/>
          <w:color w:val="000000"/>
          <w:sz w:val="20"/>
          <w:szCs w:val="20"/>
        </w:rPr>
      </w:pPr>
      <w:r>
        <w:rPr>
          <w:rFonts w:hint="eastAsia"/>
          <w:color w:val="000000"/>
          <w:sz w:val="20"/>
          <w:szCs w:val="20"/>
          <w:highlight w:val="yellow"/>
        </w:rPr>
        <w:t>APT CTI Reports数据集来源于公开APT威胁情报报告集合，包含大量APT组织相关PDF报告。相比AADM系列数据集，该数据集在文本来源、格式结构及内容复杂度方面更加接近真实APT情报场景，同时包含更多非结构化信息与跨来源威胁情报。考虑到原始数据集中部分APT组织对应事件数量较少，本文对数据集进行了预处理，删除了事件数小于8的APT类别，以缓解类别分布过度不均衡问题，提高模型训练与评估的稳定性。</w:t>
      </w:r>
    </w:p>
    <w:p w14:paraId="50081F97">
      <w:pPr>
        <w:pStyle w:val="7"/>
        <w:spacing w:line="180" w:lineRule="auto"/>
        <w:ind w:firstLine="400"/>
        <w:rPr>
          <w:rFonts w:hint="eastAsia"/>
          <w:color w:val="000000"/>
          <w:sz w:val="20"/>
          <w:szCs w:val="20"/>
          <w:highlight w:val="cyan"/>
        </w:rPr>
      </w:pPr>
      <w:r>
        <w:rPr>
          <w:rFonts w:hint="eastAsia"/>
          <w:color w:val="000000"/>
          <w:sz w:val="20"/>
          <w:szCs w:val="20"/>
          <w:highlight w:val="cyan"/>
        </w:rPr>
        <w:t>总体而言，三个数据集在复杂度与应用场景上形成递进关系AADM用于基础验证</w:t>
      </w:r>
      <w:r>
        <w:rPr>
          <w:rFonts w:hint="eastAsia"/>
          <w:color w:val="000000"/>
          <w:sz w:val="20"/>
          <w:szCs w:val="20"/>
          <w:highlight w:val="cyan"/>
          <w:lang w:eastAsia="zh-CN"/>
        </w:rPr>
        <w:t>，</w:t>
      </w:r>
      <w:r>
        <w:rPr>
          <w:rFonts w:hint="eastAsia"/>
          <w:color w:val="000000"/>
          <w:sz w:val="20"/>
          <w:szCs w:val="20"/>
          <w:highlight w:val="cyan"/>
        </w:rPr>
        <w:t>APT-Notes用于真实环境建模，而APT CTI Reports进一步增强了开放域威胁情报场景下的实验能力。</w:t>
      </w:r>
    </w:p>
    <w:p w14:paraId="0626947D">
      <w:pPr>
        <w:pStyle w:val="7"/>
        <w:spacing w:line="180" w:lineRule="auto"/>
        <w:ind w:firstLine="400"/>
        <w:rPr>
          <w:color w:val="000000"/>
          <w:sz w:val="20"/>
          <w:szCs w:val="20"/>
        </w:rPr>
      </w:pPr>
      <w:r>
        <w:rPr>
          <w:rFonts w:hint="eastAsia"/>
          <w:color w:val="000000"/>
          <w:sz w:val="20"/>
          <w:szCs w:val="20"/>
        </w:rPr>
        <w:t>所有APT组织标签均来源于MITRE ATT&amp;CK、APTnotes及主流安全厂商发布的高质量威胁情报报告，并由安全分析专家在实际溯源过程中标注。本文未使用任何自动化标签生成或推理方法，从而避免弱监督或伪标签引入的不确定性。该标注策略保证了标签的高可信度与评估结果的有效性。</w:t>
      </w:r>
    </w:p>
    <w:p w14:paraId="7CE01777">
      <w:pPr>
        <w:pStyle w:val="3"/>
        <w:keepNext/>
        <w:spacing w:before="360" w:after="120" w:afterLines="0"/>
        <w:jc w:val="both"/>
        <w:rPr>
          <w:sz w:val="24"/>
          <w:szCs w:val="24"/>
          <w:lang w:eastAsia="zh"/>
        </w:rPr>
      </w:pPr>
      <w:r>
        <w:rPr>
          <w:rFonts w:hint="eastAsia"/>
          <w:sz w:val="24"/>
          <w:szCs w:val="24"/>
          <w:lang w:eastAsia="zh"/>
        </w:rPr>
        <w:t>4.2 对比方法</w:t>
      </w:r>
    </w:p>
    <w:p w14:paraId="12F0015A">
      <w:pPr>
        <w:ind w:firstLine="400" w:firstLineChars="200"/>
        <w:rPr>
          <w:color w:val="000000" w:themeColor="text1"/>
          <w:sz w:val="20"/>
          <w:szCs w:val="20"/>
          <w:lang w:eastAsia="zh"/>
          <w14:textFill>
            <w14:solidFill>
              <w14:schemeClr w14:val="tx1"/>
            </w14:solidFill>
          </w14:textFill>
        </w:rPr>
      </w:pPr>
      <w:r>
        <w:rPr>
          <w:rFonts w:hint="eastAsia"/>
          <w:color w:val="000000" w:themeColor="text1"/>
          <w:sz w:val="20"/>
          <w:szCs w:val="20"/>
          <w:lang w:eastAsia="zh"/>
          <w14:textFill>
            <w14:solidFill>
              <w14:schemeClr w14:val="tx1"/>
            </w14:solidFill>
          </w14:textFill>
        </w:rPr>
        <w:t>为全面评估APT-CTIA模型的性能，本文从预处理、图构建、图表示学习及端到端归因四个层面选取具有代表性的对比方法。为确保对比公平性，所有方法均在相同数据划分与输入条件下进行评估，且不引入额外私有数据或外部知识。</w:t>
      </w:r>
    </w:p>
    <w:p w14:paraId="5FA37547">
      <w:pPr>
        <w:pStyle w:val="4"/>
        <w:keepNext/>
        <w:spacing w:before="360" w:beforeLines="0" w:after="120" w:afterLines="0"/>
        <w:jc w:val="both"/>
        <w:rPr>
          <w:sz w:val="21"/>
          <w:szCs w:val="21"/>
          <w:lang w:eastAsia="zh"/>
        </w:rPr>
      </w:pPr>
      <w:r>
        <w:rPr>
          <w:rFonts w:hint="eastAsia"/>
          <w:sz w:val="21"/>
          <w:szCs w:val="21"/>
          <w:lang w:eastAsia="zh"/>
        </w:rPr>
        <w:t>4.2.</w:t>
      </w:r>
      <w:r>
        <w:rPr>
          <w:rFonts w:hint="eastAsia"/>
          <w:sz w:val="21"/>
          <w:szCs w:val="21"/>
        </w:rPr>
        <w:t>1</w:t>
      </w:r>
      <w:r>
        <w:rPr>
          <w:rFonts w:hint="eastAsia"/>
          <w:sz w:val="21"/>
          <w:szCs w:val="21"/>
          <w:lang w:eastAsia="zh"/>
        </w:rPr>
        <w:t xml:space="preserve"> APT归因模型</w:t>
      </w:r>
    </w:p>
    <w:p w14:paraId="2448BFFC">
      <w:pPr>
        <w:pStyle w:val="7"/>
        <w:spacing w:after="60" w:line="240" w:lineRule="auto"/>
        <w:ind w:firstLine="400"/>
        <w:rPr>
          <w:color w:val="000000" w:themeColor="text1"/>
          <w:sz w:val="20"/>
          <w:szCs w:val="20"/>
          <w:lang w:eastAsia="zh"/>
          <w14:textFill>
            <w14:solidFill>
              <w14:schemeClr w14:val="tx1"/>
            </w14:solidFill>
          </w14:textFill>
        </w:rPr>
      </w:pPr>
      <w:r>
        <w:rPr>
          <w:rFonts w:hint="eastAsia"/>
          <w:color w:val="000000" w:themeColor="text1"/>
          <w:sz w:val="20"/>
          <w:szCs w:val="20"/>
          <w:lang w:eastAsia="zh"/>
          <w14:textFill>
            <w14:solidFill>
              <w14:schemeClr w14:val="tx1"/>
            </w14:solidFill>
          </w14:textFill>
        </w:rPr>
        <w:t>为验证整体性能，本文选取APT-ATT、APT-MMF、Mead、MLDSJ及TRAIL等APT归因模型进行对比。这些方法涵盖传统机器学习、多模态融合、图神经网络及证据理论等不同范式。</w:t>
      </w:r>
    </w:p>
    <w:p w14:paraId="61FE1CD4">
      <w:pPr>
        <w:pStyle w:val="7"/>
        <w:spacing w:after="60" w:line="240" w:lineRule="auto"/>
        <w:ind w:firstLine="400"/>
        <w:rPr>
          <w:color w:val="000000" w:themeColor="text1"/>
          <w:sz w:val="20"/>
          <w:szCs w:val="20"/>
          <w:lang w:eastAsia="zh"/>
          <w14:textFill>
            <w14:solidFill>
              <w14:schemeClr w14:val="tx1"/>
            </w14:solidFill>
          </w14:textFill>
        </w:rPr>
      </w:pPr>
      <w:r>
        <w:rPr>
          <w:color w:val="000000" w:themeColor="text1"/>
          <w:sz w:val="20"/>
          <w:szCs w:val="20"/>
          <w:lang w:eastAsia="zh"/>
          <w14:textFill>
            <w14:solidFill>
              <w14:schemeClr w14:val="tx1"/>
            </w14:solidFill>
          </w14:textFill>
        </w:rPr>
        <w:t>（1）APT-ATT[3]：</w:t>
      </w:r>
      <w:r>
        <w:rPr>
          <w:rFonts w:hint="eastAsia"/>
          <w:color w:val="000000" w:themeColor="text1"/>
          <w:sz w:val="20"/>
          <w:szCs w:val="20"/>
          <w14:textFill>
            <w14:solidFill>
              <w14:schemeClr w14:val="tx1"/>
            </w14:solidFill>
          </w14:textFill>
        </w:rPr>
        <w:t>该</w:t>
      </w:r>
      <w:r>
        <w:rPr>
          <w:color w:val="000000" w:themeColor="text1"/>
          <w:sz w:val="20"/>
          <w:szCs w:val="20"/>
          <w:lang w:eastAsia="zh"/>
          <w14:textFill>
            <w14:solidFill>
              <w14:schemeClr w14:val="tx1"/>
            </w14:solidFill>
          </w14:textFill>
        </w:rPr>
        <w:t>APT归因模型结合N-Gram局部语义提取与TF-IDF快速向量化，通过卡方统计进行特征选择，并引入CTGAN生成对抗网络处理类别不均衡问题，最后采用基于Stacking策略的集成学习框架（以KNN、RF和XGBoost为基学习器，逻辑回归为元学习器）进行归因分类。</w:t>
      </w:r>
    </w:p>
    <w:p w14:paraId="61020E5D">
      <w:pPr>
        <w:pStyle w:val="7"/>
        <w:spacing w:after="60" w:line="240" w:lineRule="auto"/>
        <w:ind w:firstLine="400"/>
        <w:rPr>
          <w:color w:val="000000" w:themeColor="text1"/>
          <w:sz w:val="20"/>
          <w:szCs w:val="20"/>
          <w:lang w:eastAsia="zh"/>
          <w14:textFill>
            <w14:solidFill>
              <w14:schemeClr w14:val="tx1"/>
            </w14:solidFill>
          </w14:textFill>
        </w:rPr>
      </w:pPr>
      <w:r>
        <w:rPr>
          <w:color w:val="000000" w:themeColor="text1"/>
          <w:sz w:val="20"/>
          <w:szCs w:val="20"/>
          <w:lang w:eastAsia="zh"/>
          <w14:textFill>
            <w14:solidFill>
              <w14:schemeClr w14:val="tx1"/>
            </w14:solidFill>
          </w14:textFill>
        </w:rPr>
        <w:t>（2）APT-MMF[36]：</w:t>
      </w:r>
      <w:r>
        <w:rPr>
          <w:rFonts w:hint="eastAsia"/>
          <w:color w:val="000000" w:themeColor="text1"/>
          <w:sz w:val="20"/>
          <w:szCs w:val="20"/>
          <w14:textFill>
            <w14:solidFill>
              <w14:schemeClr w14:val="tx1"/>
            </w14:solidFill>
          </w14:textFill>
        </w:rPr>
        <w:t>该</w:t>
      </w:r>
      <w:r>
        <w:rPr>
          <w:color w:val="000000" w:themeColor="text1"/>
          <w:sz w:val="20"/>
          <w:szCs w:val="20"/>
          <w:lang w:eastAsia="zh"/>
          <w14:textFill>
            <w14:solidFill>
              <w14:schemeClr w14:val="tx1"/>
            </w14:solidFill>
          </w14:textFill>
        </w:rPr>
        <w:t>基于多模态与多层级特征融合的APT组织归因方法利用异质属性图表征APT报告及其IOC信息，提取并融合属性类型特征、自然语言文本特征（BERT编码）和拓扑关系特征（Node2vec）三种模态特征，并设计多层级异质图注意力网络（包含IOC类型级、元路径邻居节点级和元路径语义级三重注意力机制）学习APT报告节点的深度隐藏特征。</w:t>
      </w:r>
    </w:p>
    <w:p w14:paraId="3D17EC48">
      <w:pPr>
        <w:pStyle w:val="7"/>
        <w:spacing w:after="60" w:line="240" w:lineRule="auto"/>
        <w:ind w:firstLine="400"/>
        <w:rPr>
          <w:color w:val="000000" w:themeColor="text1"/>
          <w:sz w:val="20"/>
          <w:szCs w:val="20"/>
          <w:lang w:eastAsia="zh"/>
          <w14:textFill>
            <w14:solidFill>
              <w14:schemeClr w14:val="tx1"/>
            </w14:solidFill>
          </w14:textFill>
        </w:rPr>
      </w:pPr>
      <w:r>
        <w:rPr>
          <w:color w:val="000000" w:themeColor="text1"/>
          <w:sz w:val="20"/>
          <w:szCs w:val="20"/>
          <w:lang w:eastAsia="zh"/>
          <w14:textFill>
            <w14:solidFill>
              <w14:schemeClr w14:val="tx1"/>
            </w14:solidFill>
          </w14:textFill>
        </w:rPr>
        <w:t>（3）Mead等人[4]：</w:t>
      </w:r>
      <w:r>
        <w:rPr>
          <w:rFonts w:hint="eastAsia"/>
          <w:color w:val="000000" w:themeColor="text1"/>
          <w:sz w:val="20"/>
          <w:szCs w:val="20"/>
          <w14:textFill>
            <w14:solidFill>
              <w14:schemeClr w14:val="tx1"/>
            </w14:solidFill>
          </w14:textFill>
        </w:rPr>
        <w:t>该</w:t>
      </w:r>
      <w:r>
        <w:rPr>
          <w:color w:val="000000" w:themeColor="text1"/>
          <w:sz w:val="20"/>
          <w:szCs w:val="20"/>
          <w:lang w:eastAsia="zh"/>
          <w14:textFill>
            <w14:solidFill>
              <w14:schemeClr w14:val="tx1"/>
            </w14:solidFill>
          </w14:textFill>
        </w:rPr>
        <w:t>基于异质图神经网络与上下文威胁情报的APT归因方法构建APT组织、TTP和网络杀伤链（CKC）的三方异质图，使用Sentence-BERT对TTP进行语义嵌入并与CKC阶段向量拼接作为节点特征，采用GraphSAGE进行消息传递与节点分类。</w:t>
      </w:r>
    </w:p>
    <w:p w14:paraId="1784416E">
      <w:pPr>
        <w:pStyle w:val="7"/>
        <w:spacing w:after="60" w:line="240" w:lineRule="auto"/>
        <w:ind w:firstLine="400"/>
        <w:rPr>
          <w:color w:val="000000" w:themeColor="text1"/>
          <w:sz w:val="20"/>
          <w:szCs w:val="20"/>
          <w:lang w:eastAsia="zh"/>
          <w14:textFill>
            <w14:solidFill>
              <w14:schemeClr w14:val="tx1"/>
            </w14:solidFill>
          </w14:textFill>
        </w:rPr>
      </w:pPr>
      <w:r>
        <w:rPr>
          <w:color w:val="000000" w:themeColor="text1"/>
          <w:sz w:val="20"/>
          <w:szCs w:val="20"/>
          <w:lang w:eastAsia="zh"/>
          <w14:textFill>
            <w14:solidFill>
              <w14:schemeClr w14:val="tx1"/>
            </w14:solidFill>
          </w14:textFill>
        </w:rPr>
        <w:t>（4）MLDSJ[</w:t>
      </w:r>
      <w:r>
        <w:rPr>
          <w:rFonts w:hint="eastAsia"/>
          <w:color w:val="000000" w:themeColor="text1"/>
          <w:sz w:val="20"/>
          <w:szCs w:val="20"/>
          <w:lang w:eastAsia="zh"/>
          <w14:textFill>
            <w14:solidFill>
              <w14:schemeClr w14:val="tx1"/>
            </w14:solidFill>
          </w14:textFill>
        </w:rPr>
        <w:t>47</w:t>
      </w:r>
      <w:r>
        <w:rPr>
          <w:color w:val="000000" w:themeColor="text1"/>
          <w:sz w:val="20"/>
          <w:szCs w:val="20"/>
          <w:lang w:eastAsia="zh"/>
          <w14:textFill>
            <w14:solidFill>
              <w14:schemeClr w14:val="tx1"/>
            </w14:solidFill>
          </w14:textFill>
        </w:rPr>
        <w:t>]：</w:t>
      </w:r>
      <w:r>
        <w:rPr>
          <w:rFonts w:hint="eastAsia"/>
          <w:color w:val="000000" w:themeColor="text1"/>
          <w:sz w:val="20"/>
          <w:szCs w:val="20"/>
          <w14:textFill>
            <w14:solidFill>
              <w14:schemeClr w14:val="tx1"/>
            </w14:solidFill>
          </w14:textFill>
        </w:rPr>
        <w:t>该</w:t>
      </w:r>
      <w:r>
        <w:rPr>
          <w:color w:val="000000" w:themeColor="text1"/>
          <w:sz w:val="20"/>
          <w:szCs w:val="20"/>
          <w:lang w:eastAsia="zh"/>
          <w14:textFill>
            <w14:solidFill>
              <w14:schemeClr w14:val="tx1"/>
            </w14:solidFill>
          </w14:textFill>
        </w:rPr>
        <w:t>基于多层级特征Dempster-Shafer联合的APT组织归因方法从威胁情报报告中提取攻击模式特征（TTP的TF-IDF向量）、文本特征（ATT&amp;CK BERT编码）和图拓扑特征（Node2vec），分别使用简单的MLP进行初步分类，然后引入DS证据理论设计基本信念分配函数，采用Dempster组合规则科学融合三类特征并确定最终归因结果。</w:t>
      </w:r>
    </w:p>
    <w:p w14:paraId="7C73B54B">
      <w:pPr>
        <w:pStyle w:val="7"/>
        <w:spacing w:after="60" w:line="240" w:lineRule="auto"/>
        <w:ind w:firstLine="400"/>
        <w:rPr>
          <w:color w:val="000000" w:themeColor="text1"/>
          <w:sz w:val="20"/>
          <w:szCs w:val="20"/>
          <w:lang w:eastAsia="zh"/>
          <w14:textFill>
            <w14:solidFill>
              <w14:schemeClr w14:val="tx1"/>
            </w14:solidFill>
          </w14:textFill>
        </w:rPr>
      </w:pPr>
      <w:r>
        <w:rPr>
          <w:color w:val="000000" w:themeColor="text1"/>
          <w:sz w:val="20"/>
          <w:szCs w:val="20"/>
          <w:lang w:eastAsia="zh"/>
          <w14:textFill>
            <w14:solidFill>
              <w14:schemeClr w14:val="tx1"/>
            </w14:solidFill>
          </w14:textFill>
        </w:rPr>
        <w:t>（5）TRAIL[</w:t>
      </w:r>
      <w:r>
        <w:rPr>
          <w:rFonts w:hint="eastAsia"/>
          <w:color w:val="000000" w:themeColor="text1"/>
          <w:sz w:val="20"/>
          <w:szCs w:val="20"/>
          <w:lang w:eastAsia="zh"/>
          <w14:textFill>
            <w14:solidFill>
              <w14:schemeClr w14:val="tx1"/>
            </w14:solidFill>
          </w14:textFill>
        </w:rPr>
        <w:t>48</w:t>
      </w:r>
      <w:r>
        <w:rPr>
          <w:color w:val="000000" w:themeColor="text1"/>
          <w:sz w:val="20"/>
          <w:szCs w:val="20"/>
          <w:lang w:eastAsia="zh"/>
          <w14:textFill>
            <w14:solidFill>
              <w14:schemeClr w14:val="tx1"/>
            </w14:solidFill>
          </w14:textFill>
        </w:rPr>
        <w:t>]：</w:t>
      </w:r>
      <w:r>
        <w:rPr>
          <w:rFonts w:hint="eastAsia"/>
          <w:color w:val="000000" w:themeColor="text1"/>
          <w:sz w:val="20"/>
          <w:szCs w:val="20"/>
          <w14:textFill>
            <w14:solidFill>
              <w14:schemeClr w14:val="tx1"/>
            </w14:solidFill>
          </w14:textFill>
        </w:rPr>
        <w:t>该</w:t>
      </w:r>
      <w:r>
        <w:rPr>
          <w:color w:val="000000" w:themeColor="text1"/>
          <w:sz w:val="20"/>
          <w:szCs w:val="20"/>
          <w:lang w:eastAsia="zh"/>
          <w14:textFill>
            <w14:solidFill>
              <w14:schemeClr w14:val="tx1"/>
            </w14:solidFill>
          </w14:textFill>
        </w:rPr>
        <w:t>基于知识图谱的APT归因方法通过构建网络型IOC（IP、URL、域名）的知识图谱，对IOC进行特征丰富化（IP提取507维特征、URL提取1517维特征、域名提取115维特征），分别采用传统机器学习（XGBoost、随机森林、神经网络）、标签传播和图神经网络（GraphSAGE）进行归因分析。</w:t>
      </w:r>
    </w:p>
    <w:p w14:paraId="04D187F2">
      <w:pPr>
        <w:pStyle w:val="4"/>
        <w:keepNext/>
        <w:spacing w:before="360" w:beforeLines="0" w:after="120" w:afterLines="0"/>
        <w:jc w:val="both"/>
        <w:rPr>
          <w:sz w:val="21"/>
          <w:szCs w:val="21"/>
          <w:lang w:eastAsia="zh"/>
        </w:rPr>
      </w:pPr>
      <w:r>
        <w:rPr>
          <w:rFonts w:hint="eastAsia"/>
          <w:sz w:val="21"/>
          <w:szCs w:val="21"/>
          <w:lang w:eastAsia="zh"/>
        </w:rPr>
        <w:t>4.2.</w:t>
      </w:r>
      <w:r>
        <w:rPr>
          <w:rFonts w:hint="eastAsia"/>
          <w:sz w:val="21"/>
          <w:szCs w:val="21"/>
        </w:rPr>
        <w:t>2</w:t>
      </w:r>
      <w:r>
        <w:rPr>
          <w:rFonts w:hint="eastAsia"/>
          <w:sz w:val="21"/>
          <w:szCs w:val="21"/>
          <w:lang w:eastAsia="zh"/>
        </w:rPr>
        <w:t xml:space="preserve"> 预处理模块</w:t>
      </w:r>
    </w:p>
    <w:p w14:paraId="052B0513">
      <w:pPr>
        <w:pStyle w:val="7"/>
        <w:spacing w:after="60" w:line="240" w:lineRule="auto"/>
        <w:ind w:firstLine="400"/>
        <w:rPr>
          <w:color w:val="000000" w:themeColor="text1"/>
          <w:sz w:val="20"/>
          <w:szCs w:val="20"/>
          <w:lang w:eastAsia="zh"/>
          <w14:textFill>
            <w14:solidFill>
              <w14:schemeClr w14:val="tx1"/>
            </w14:solidFill>
          </w14:textFill>
        </w:rPr>
      </w:pPr>
      <w:r>
        <w:rPr>
          <w:rFonts w:hint="eastAsia"/>
          <w:color w:val="000000" w:themeColor="text1"/>
          <w:sz w:val="20"/>
          <w:szCs w:val="20"/>
          <w:lang w:eastAsia="zh"/>
          <w14:textFill>
            <w14:solidFill>
              <w14:schemeClr w14:val="tx1"/>
            </w14:solidFill>
          </w14:textFill>
        </w:rPr>
        <w:t>对比方法涵盖从传统特征工程方法到基于大语言模型的最新方法，包括：Syntax-Aware Graph Network、Knowledge Extraction Framework、APT-ATT、CTI-Thinker以及APT-MMF。这些方法在实体识别精度、语义建模能力及自动化程度方面具有不同侧重，能够全面反映预处理模块的性能差异。</w:t>
      </w:r>
    </w:p>
    <w:p w14:paraId="3CAD3A12">
      <w:pPr>
        <w:pStyle w:val="7"/>
        <w:spacing w:after="60" w:line="240" w:lineRule="auto"/>
        <w:ind w:firstLine="400"/>
        <w:rPr>
          <w:color w:val="000000" w:themeColor="text1"/>
          <w:sz w:val="20"/>
          <w:szCs w:val="20"/>
          <w:lang w:eastAsia="zh"/>
          <w14:textFill>
            <w14:solidFill>
              <w14:schemeClr w14:val="tx1"/>
            </w14:solidFill>
          </w14:textFill>
        </w:rPr>
      </w:pPr>
      <w:r>
        <w:rPr>
          <w:color w:val="000000" w:themeColor="text1"/>
          <w:sz w:val="20"/>
          <w:szCs w:val="20"/>
          <w:lang w:eastAsia="zh"/>
          <w14:textFill>
            <w14:solidFill>
              <w14:schemeClr w14:val="tx1"/>
            </w14:solidFill>
          </w14:textFill>
        </w:rPr>
        <w:t>（1）语法感知图网络（Syntax-Aware Graph Network）[10] ：</w:t>
      </w:r>
      <w:r>
        <w:rPr>
          <w:rFonts w:hint="eastAsia"/>
          <w:color w:val="000000" w:themeColor="text1"/>
          <w:sz w:val="20"/>
          <w:szCs w:val="20"/>
          <w14:textFill>
            <w14:solidFill>
              <w14:schemeClr w14:val="tx1"/>
            </w14:solidFill>
          </w14:textFill>
        </w:rPr>
        <w:t>该方法</w:t>
      </w:r>
      <w:r>
        <w:rPr>
          <w:color w:val="000000" w:themeColor="text1"/>
          <w:sz w:val="20"/>
          <w:szCs w:val="20"/>
          <w:lang w:eastAsia="zh"/>
          <w14:textFill>
            <w14:solidFill>
              <w14:schemeClr w14:val="tx1"/>
            </w14:solidFill>
          </w14:textFill>
        </w:rPr>
        <w:t>将对比学习引入CTI实体识别，在句法约束下有效改善实体边界的识别精度</w:t>
      </w:r>
      <w:r>
        <w:rPr>
          <w:rFonts w:hint="eastAsia"/>
          <w:color w:val="000000" w:themeColor="text1"/>
          <w:sz w:val="20"/>
          <w:szCs w:val="20"/>
          <w14:textFill>
            <w14:solidFill>
              <w14:schemeClr w14:val="tx1"/>
            </w14:solidFill>
          </w14:textFill>
        </w:rPr>
        <w:t>，</w:t>
      </w:r>
      <w:r>
        <w:rPr>
          <w:color w:val="000000" w:themeColor="text1"/>
          <w:sz w:val="20"/>
          <w:szCs w:val="20"/>
          <w:lang w:eastAsia="zh"/>
          <w14:textFill>
            <w14:solidFill>
              <w14:schemeClr w14:val="tx1"/>
            </w14:solidFill>
          </w14:textFill>
        </w:rPr>
        <w:t>通过图结构建模句法依赖，是目前实体边界识别精度</w:t>
      </w:r>
      <w:r>
        <w:rPr>
          <w:rFonts w:hint="eastAsia"/>
          <w:color w:val="000000" w:themeColor="text1"/>
          <w:sz w:val="20"/>
          <w:szCs w:val="20"/>
          <w14:textFill>
            <w14:solidFill>
              <w14:schemeClr w14:val="tx1"/>
            </w14:solidFill>
          </w14:textFill>
        </w:rPr>
        <w:t>较</w:t>
      </w:r>
      <w:r>
        <w:rPr>
          <w:color w:val="000000" w:themeColor="text1"/>
          <w:sz w:val="20"/>
          <w:szCs w:val="20"/>
          <w:lang w:eastAsia="zh"/>
          <w14:textFill>
            <w14:solidFill>
              <w14:schemeClr w14:val="tx1"/>
            </w14:solidFill>
          </w14:textFill>
        </w:rPr>
        <w:t>高的方法。</w:t>
      </w:r>
    </w:p>
    <w:p w14:paraId="49650136">
      <w:pPr>
        <w:pStyle w:val="7"/>
        <w:spacing w:after="60" w:line="240" w:lineRule="auto"/>
        <w:ind w:firstLine="400"/>
        <w:rPr>
          <w:color w:val="000000" w:themeColor="text1"/>
          <w:sz w:val="20"/>
          <w:szCs w:val="20"/>
          <w:lang w:eastAsia="zh"/>
          <w14:textFill>
            <w14:solidFill>
              <w14:schemeClr w14:val="tx1"/>
            </w14:solidFill>
          </w14:textFill>
        </w:rPr>
      </w:pPr>
      <w:r>
        <w:rPr>
          <w:color w:val="000000" w:themeColor="text1"/>
          <w:sz w:val="20"/>
          <w:szCs w:val="20"/>
          <w:lang w:eastAsia="zh"/>
          <w14:textFill>
            <w14:solidFill>
              <w14:schemeClr w14:val="tx1"/>
            </w14:solidFill>
          </w14:textFill>
        </w:rPr>
        <w:t>（2）安全增强知识提取框架（Knowledge Extraction Framework with Enhanced Security Profiles）[8]：</w:t>
      </w:r>
      <w:r>
        <w:rPr>
          <w:rFonts w:hint="eastAsia"/>
          <w:color w:val="000000" w:themeColor="text1"/>
          <w:sz w:val="20"/>
          <w:szCs w:val="20"/>
          <w14:textFill>
            <w14:solidFill>
              <w14:schemeClr w14:val="tx1"/>
            </w14:solidFill>
          </w14:textFill>
        </w:rPr>
        <w:t>该方法是一种</w:t>
      </w:r>
      <w:r>
        <w:rPr>
          <w:color w:val="000000" w:themeColor="text1"/>
          <w:sz w:val="20"/>
          <w:szCs w:val="20"/>
          <w:lang w:eastAsia="zh"/>
          <w14:textFill>
            <w14:solidFill>
              <w14:schemeClr w14:val="tx1"/>
            </w14:solidFill>
          </w14:textFill>
        </w:rPr>
        <w:t>面向CTI报告的知识提取框架，引入多级实体识别机制</w:t>
      </w:r>
      <w:r>
        <w:rPr>
          <w:rFonts w:hint="eastAsia"/>
          <w:color w:val="000000" w:themeColor="text1"/>
          <w:sz w:val="20"/>
          <w:szCs w:val="20"/>
          <w14:textFill>
            <w14:solidFill>
              <w14:schemeClr w14:val="tx1"/>
            </w14:solidFill>
          </w14:textFill>
        </w:rPr>
        <w:t>并</w:t>
      </w:r>
      <w:r>
        <w:rPr>
          <w:color w:val="000000" w:themeColor="text1"/>
          <w:sz w:val="20"/>
          <w:szCs w:val="20"/>
          <w:lang w:eastAsia="zh"/>
          <w14:textFill>
            <w14:solidFill>
              <w14:schemeClr w14:val="tx1"/>
            </w14:solidFill>
          </w14:textFill>
        </w:rPr>
        <w:t>尝试在结构化指标与非结构化描述之间建立统一的表示通路</w:t>
      </w:r>
      <w:r>
        <w:rPr>
          <w:rFonts w:hint="eastAsia"/>
          <w:color w:val="000000" w:themeColor="text1"/>
          <w:sz w:val="20"/>
          <w:szCs w:val="20"/>
          <w14:textFill>
            <w14:solidFill>
              <w14:schemeClr w14:val="tx1"/>
            </w14:solidFill>
          </w14:textFill>
        </w:rPr>
        <w:t>，</w:t>
      </w:r>
      <w:r>
        <w:rPr>
          <w:color w:val="000000" w:themeColor="text1"/>
          <w:sz w:val="20"/>
          <w:szCs w:val="20"/>
          <w:lang w:eastAsia="zh"/>
          <w14:textFill>
            <w14:solidFill>
              <w14:schemeClr w14:val="tx1"/>
            </w14:solidFill>
          </w14:textFill>
        </w:rPr>
        <w:t>该方法在多类型实体统一建模方面具有代表性。</w:t>
      </w:r>
    </w:p>
    <w:p w14:paraId="3E3353AC">
      <w:pPr>
        <w:pStyle w:val="7"/>
        <w:spacing w:after="60" w:line="240" w:lineRule="auto"/>
        <w:ind w:firstLine="400"/>
        <w:rPr>
          <w:color w:val="000000" w:themeColor="text1"/>
          <w:sz w:val="20"/>
          <w:szCs w:val="20"/>
          <w:lang w:eastAsia="zh"/>
          <w14:textFill>
            <w14:solidFill>
              <w14:schemeClr w14:val="tx1"/>
            </w14:solidFill>
          </w14:textFill>
        </w:rPr>
      </w:pPr>
      <w:r>
        <w:rPr>
          <w:color w:val="000000" w:themeColor="text1"/>
          <w:sz w:val="20"/>
          <w:szCs w:val="20"/>
          <w:lang w:eastAsia="zh"/>
          <w14:textFill>
            <w14:solidFill>
              <w14:schemeClr w14:val="tx1"/>
            </w14:solidFill>
          </w14:textFill>
        </w:rPr>
        <w:t>（3）APT-ATT[3]：</w:t>
      </w:r>
      <w:r>
        <w:rPr>
          <w:rFonts w:hint="eastAsia"/>
          <w:color w:val="000000" w:themeColor="text1"/>
          <w:sz w:val="20"/>
          <w:szCs w:val="20"/>
          <w14:textFill>
            <w14:solidFill>
              <w14:schemeClr w14:val="tx1"/>
            </w14:solidFill>
          </w14:textFill>
        </w:rPr>
        <w:t>该方法是一种</w:t>
      </w:r>
      <w:r>
        <w:rPr>
          <w:color w:val="000000" w:themeColor="text1"/>
          <w:sz w:val="20"/>
          <w:szCs w:val="20"/>
          <w:lang w:eastAsia="zh"/>
          <w14:textFill>
            <w14:solidFill>
              <w14:schemeClr w14:val="tx1"/>
            </w14:solidFill>
          </w14:textFill>
        </w:rPr>
        <w:t>轻量化APT归因模型中的预处理方法，结合N-Gram局部语义提取与TF-IDF快速向量化，通过卡方统计进行特征选择。该方法在预处理效率方面具有显著优势。</w:t>
      </w:r>
    </w:p>
    <w:p w14:paraId="53999A88">
      <w:pPr>
        <w:pStyle w:val="7"/>
        <w:spacing w:after="60" w:line="240" w:lineRule="auto"/>
        <w:ind w:firstLine="400"/>
        <w:rPr>
          <w:color w:val="000000" w:themeColor="text1"/>
          <w:sz w:val="20"/>
          <w:szCs w:val="20"/>
          <w:lang w:eastAsia="zh"/>
          <w14:textFill>
            <w14:solidFill>
              <w14:schemeClr w14:val="tx1"/>
            </w14:solidFill>
          </w14:textFill>
        </w:rPr>
      </w:pPr>
      <w:r>
        <w:rPr>
          <w:color w:val="000000" w:themeColor="text1"/>
          <w:sz w:val="20"/>
          <w:szCs w:val="20"/>
          <w:lang w:eastAsia="zh"/>
          <w14:textFill>
            <w14:solidFill>
              <w14:schemeClr w14:val="tx1"/>
            </w14:solidFill>
          </w14:textFill>
        </w:rPr>
        <w:t>（4）CTI-Thinker[5]：</w:t>
      </w:r>
      <w:r>
        <w:rPr>
          <w:rFonts w:hint="eastAsia"/>
          <w:color w:val="000000" w:themeColor="text1"/>
          <w:sz w:val="20"/>
          <w:szCs w:val="20"/>
          <w14:textFill>
            <w14:solidFill>
              <w14:schemeClr w14:val="tx1"/>
            </w14:solidFill>
          </w14:textFill>
        </w:rPr>
        <w:t>该方法是一种</w:t>
      </w:r>
      <w:r>
        <w:rPr>
          <w:color w:val="000000" w:themeColor="text1"/>
          <w:sz w:val="20"/>
          <w:szCs w:val="20"/>
          <w:lang w:eastAsia="zh"/>
          <w14:textFill>
            <w14:solidFill>
              <w14:schemeClr w14:val="tx1"/>
            </w14:solidFill>
          </w14:textFill>
        </w:rPr>
        <w:t>LLM驱动的CTI知识图谱构建</w:t>
      </w:r>
      <w:r>
        <w:rPr>
          <w:rFonts w:hint="eastAsia"/>
          <w:color w:val="000000" w:themeColor="text1"/>
          <w:sz w:val="20"/>
          <w:szCs w:val="20"/>
          <w14:textFill>
            <w14:solidFill>
              <w14:schemeClr w14:val="tx1"/>
            </w14:solidFill>
          </w14:textFill>
        </w:rPr>
        <w:t>模型</w:t>
      </w:r>
      <w:r>
        <w:rPr>
          <w:color w:val="000000" w:themeColor="text1"/>
          <w:sz w:val="20"/>
          <w:szCs w:val="20"/>
          <w:lang w:eastAsia="zh"/>
          <w14:textFill>
            <w14:solidFill>
              <w14:schemeClr w14:val="tx1"/>
            </w14:solidFill>
          </w14:textFill>
        </w:rPr>
        <w:t>，</w:t>
      </w:r>
      <w:r>
        <w:rPr>
          <w:rFonts w:hint="eastAsia"/>
          <w:color w:val="000000" w:themeColor="text1"/>
          <w:sz w:val="20"/>
          <w:szCs w:val="20"/>
          <w14:textFill>
            <w14:solidFill>
              <w14:schemeClr w14:val="tx1"/>
            </w14:solidFill>
          </w14:textFill>
        </w:rPr>
        <w:t>它</w:t>
      </w:r>
      <w:r>
        <w:rPr>
          <w:color w:val="000000" w:themeColor="text1"/>
          <w:sz w:val="20"/>
          <w:szCs w:val="20"/>
          <w:lang w:eastAsia="zh"/>
          <w14:textFill>
            <w14:solidFill>
              <w14:schemeClr w14:val="tx1"/>
            </w14:solidFill>
          </w14:textFill>
        </w:rPr>
        <w:t>以大语言模型驱动的方式实现实体自动提取与攻击推理，在实体提取的自动化程度和语义理解深度上均有显著推进，代表了LLM时代CTI预处理的最前沿方向。</w:t>
      </w:r>
    </w:p>
    <w:p w14:paraId="6C3EEB6C">
      <w:pPr>
        <w:pStyle w:val="7"/>
        <w:spacing w:after="60" w:line="240" w:lineRule="auto"/>
        <w:ind w:firstLine="400"/>
        <w:rPr>
          <w:color w:val="000000" w:themeColor="text1"/>
          <w:sz w:val="20"/>
          <w:szCs w:val="20"/>
          <w:lang w:eastAsia="zh"/>
          <w14:textFill>
            <w14:solidFill>
              <w14:schemeClr w14:val="tx1"/>
            </w14:solidFill>
          </w14:textFill>
        </w:rPr>
      </w:pPr>
      <w:r>
        <w:rPr>
          <w:color w:val="000000" w:themeColor="text1"/>
          <w:sz w:val="20"/>
          <w:szCs w:val="20"/>
          <w:lang w:eastAsia="zh"/>
          <w14:textFill>
            <w14:solidFill>
              <w14:schemeClr w14:val="tx1"/>
            </w14:solidFill>
          </w14:textFill>
        </w:rPr>
        <w:t>（5）APT-MMF[36]：</w:t>
      </w:r>
      <w:r>
        <w:rPr>
          <w:rFonts w:hint="eastAsia"/>
          <w:color w:val="000000" w:themeColor="text1"/>
          <w:sz w:val="20"/>
          <w:szCs w:val="20"/>
          <w14:textFill>
            <w14:solidFill>
              <w14:schemeClr w14:val="tx1"/>
            </w14:solidFill>
          </w14:textFill>
        </w:rPr>
        <w:t>该方法是一种</w:t>
      </w:r>
      <w:r>
        <w:rPr>
          <w:color w:val="000000" w:themeColor="text1"/>
          <w:sz w:val="20"/>
          <w:szCs w:val="20"/>
          <w:lang w:eastAsia="zh"/>
          <w14:textFill>
            <w14:solidFill>
              <w14:schemeClr w14:val="tx1"/>
            </w14:solidFill>
          </w14:textFill>
        </w:rPr>
        <w:t>多模态多层级特征融合APT归因方法中的预处理模块，利用异质属性图融合自然语言、属性类型与拓扑关系特征。该方法在多模态信息融合的预处理设计上具有创新性。</w:t>
      </w:r>
    </w:p>
    <w:p w14:paraId="24E04931">
      <w:pPr>
        <w:pStyle w:val="4"/>
        <w:keepNext/>
        <w:spacing w:before="360" w:beforeLines="0" w:after="120" w:afterLines="0"/>
        <w:jc w:val="both"/>
        <w:rPr>
          <w:sz w:val="21"/>
          <w:szCs w:val="21"/>
          <w:lang w:eastAsia="zh"/>
        </w:rPr>
      </w:pPr>
      <w:r>
        <w:rPr>
          <w:rFonts w:hint="eastAsia"/>
          <w:sz w:val="21"/>
          <w:szCs w:val="21"/>
          <w:lang w:eastAsia="zh"/>
        </w:rPr>
        <w:t>4.2.</w:t>
      </w:r>
      <w:r>
        <w:rPr>
          <w:rFonts w:hint="eastAsia"/>
          <w:sz w:val="21"/>
          <w:szCs w:val="21"/>
        </w:rPr>
        <w:t>3</w:t>
      </w:r>
      <w:r>
        <w:rPr>
          <w:rFonts w:hint="eastAsia"/>
          <w:sz w:val="21"/>
          <w:szCs w:val="21"/>
          <w:lang w:eastAsia="zh"/>
        </w:rPr>
        <w:t xml:space="preserve"> 图构建模块</w:t>
      </w:r>
    </w:p>
    <w:p w14:paraId="14A7128A">
      <w:pPr>
        <w:pStyle w:val="7"/>
        <w:spacing w:after="60" w:line="240" w:lineRule="auto"/>
        <w:ind w:firstLine="400"/>
        <w:rPr>
          <w:color w:val="000000" w:themeColor="text1"/>
          <w:sz w:val="20"/>
          <w:szCs w:val="20"/>
          <w:lang w:eastAsia="zh"/>
          <w14:textFill>
            <w14:solidFill>
              <w14:schemeClr w14:val="tx1"/>
            </w14:solidFill>
          </w14:textFill>
        </w:rPr>
      </w:pPr>
      <w:r>
        <w:rPr>
          <w:rFonts w:hint="eastAsia"/>
          <w:color w:val="000000" w:themeColor="text1"/>
          <w:sz w:val="20"/>
          <w:szCs w:val="20"/>
          <w:lang w:eastAsia="zh"/>
          <w14:textFill>
            <w14:solidFill>
              <w14:schemeClr w14:val="tx1"/>
            </w14:solidFill>
          </w14:textFill>
        </w:rPr>
        <w:t>选取CSKG4APT、AttacKG、APT-KGL、APT-MMF及Mead等方法作为对比。这些方法分别代表专家驱动知识图谱、自动化攻击图构建、溯源关系建模及多模态融合等不同技术路线，有助于评估所提方法在关系建模与结构表达方面的优势。</w:t>
      </w:r>
    </w:p>
    <w:p w14:paraId="66A1F9D6">
      <w:pPr>
        <w:pStyle w:val="7"/>
        <w:spacing w:after="60" w:line="240" w:lineRule="auto"/>
        <w:ind w:firstLine="400"/>
        <w:rPr>
          <w:color w:val="000000" w:themeColor="text1"/>
          <w:sz w:val="20"/>
          <w:szCs w:val="20"/>
          <w:lang w:eastAsia="zh"/>
          <w14:textFill>
            <w14:solidFill>
              <w14:schemeClr w14:val="tx1"/>
            </w14:solidFill>
          </w14:textFill>
        </w:rPr>
      </w:pPr>
      <w:r>
        <w:rPr>
          <w:color w:val="000000" w:themeColor="text1"/>
          <w:sz w:val="20"/>
          <w:szCs w:val="20"/>
          <w:lang w:eastAsia="zh"/>
          <w14:textFill>
            <w14:solidFill>
              <w14:schemeClr w14:val="tx1"/>
            </w14:solidFill>
          </w14:textFill>
        </w:rPr>
        <w:t>（1）CSKG4APT[28]：</w:t>
      </w:r>
      <w:r>
        <w:rPr>
          <w:rFonts w:hint="eastAsia"/>
          <w:color w:val="000000" w:themeColor="text1"/>
          <w:sz w:val="20"/>
          <w:szCs w:val="20"/>
          <w14:textFill>
            <w14:solidFill>
              <w14:schemeClr w14:val="tx1"/>
            </w14:solidFill>
          </w14:textFill>
        </w:rPr>
        <w:t>该方法</w:t>
      </w:r>
      <w:r>
        <w:rPr>
          <w:color w:val="000000" w:themeColor="text1"/>
          <w:sz w:val="20"/>
          <w:szCs w:val="20"/>
          <w:lang w:eastAsia="zh"/>
          <w14:textFill>
            <w14:solidFill>
              <w14:schemeClr w14:val="tx1"/>
            </w14:solidFill>
          </w14:textFill>
        </w:rPr>
        <w:t>利用深度学习和专家知识构建APT情报图，通过知识图谱显式编码实体间的语义关系用于APT组织归因，但构建过程需要大量结构化的深度威胁情报数据且难以适应新型攻击实体与关系的动态演化。</w:t>
      </w:r>
    </w:p>
    <w:p w14:paraId="4A38E913">
      <w:pPr>
        <w:pStyle w:val="7"/>
        <w:spacing w:after="60" w:line="240" w:lineRule="auto"/>
        <w:ind w:firstLine="400"/>
        <w:rPr>
          <w:color w:val="000000" w:themeColor="text1"/>
          <w:sz w:val="20"/>
          <w:szCs w:val="20"/>
          <w:lang w:eastAsia="zh"/>
          <w14:textFill>
            <w14:solidFill>
              <w14:schemeClr w14:val="tx1"/>
            </w14:solidFill>
          </w14:textFill>
        </w:rPr>
      </w:pPr>
      <w:r>
        <w:rPr>
          <w:color w:val="000000" w:themeColor="text1"/>
          <w:sz w:val="20"/>
          <w:szCs w:val="20"/>
          <w:lang w:eastAsia="zh"/>
          <w14:textFill>
            <w14:solidFill>
              <w14:schemeClr w14:val="tx1"/>
            </w14:solidFill>
          </w14:textFill>
        </w:rPr>
        <w:t>（2）AttacKG[29]：</w:t>
      </w:r>
      <w:r>
        <w:rPr>
          <w:rFonts w:hint="eastAsia"/>
          <w:color w:val="000000" w:themeColor="text1"/>
          <w:sz w:val="20"/>
          <w:szCs w:val="20"/>
          <w14:textFill>
            <w14:solidFill>
              <w14:schemeClr w14:val="tx1"/>
            </w14:solidFill>
          </w14:textFill>
        </w:rPr>
        <w:t>该方法</w:t>
      </w:r>
      <w:r>
        <w:rPr>
          <w:color w:val="000000" w:themeColor="text1"/>
          <w:sz w:val="20"/>
          <w:szCs w:val="20"/>
          <w:lang w:eastAsia="zh"/>
          <w14:textFill>
            <w14:solidFill>
              <w14:schemeClr w14:val="tx1"/>
            </w14:solidFill>
          </w14:textFill>
        </w:rPr>
        <w:t>从CTI报告中自动抽取攻击行为图并扩展为技术知识图谱，支持多源情报融合与APT归因。该方法在自动化图构建方面具有代表性，但依赖预定义本体结构，对动态演化的攻击模式适应能力有限。</w:t>
      </w:r>
    </w:p>
    <w:p w14:paraId="2EE5C41A">
      <w:pPr>
        <w:pStyle w:val="7"/>
        <w:spacing w:after="60" w:line="240" w:lineRule="auto"/>
        <w:ind w:firstLine="400"/>
        <w:rPr>
          <w:color w:val="000000" w:themeColor="text1"/>
          <w:sz w:val="20"/>
          <w:szCs w:val="20"/>
          <w:lang w:eastAsia="zh"/>
          <w14:textFill>
            <w14:solidFill>
              <w14:schemeClr w14:val="tx1"/>
            </w14:solidFill>
          </w14:textFill>
        </w:rPr>
      </w:pPr>
      <w:r>
        <w:rPr>
          <w:color w:val="000000" w:themeColor="text1"/>
          <w:sz w:val="20"/>
          <w:szCs w:val="20"/>
          <w:lang w:eastAsia="zh"/>
          <w14:textFill>
            <w14:solidFill>
              <w14:schemeClr w14:val="tx1"/>
            </w14:solidFill>
          </w14:textFill>
        </w:rPr>
        <w:t>（3）APT-KGL[30]：</w:t>
      </w:r>
      <w:r>
        <w:rPr>
          <w:rFonts w:hint="eastAsia"/>
          <w:color w:val="000000" w:themeColor="text1"/>
          <w:sz w:val="20"/>
          <w:szCs w:val="20"/>
          <w14:textFill>
            <w14:solidFill>
              <w14:schemeClr w14:val="tx1"/>
            </w14:solidFill>
          </w14:textFill>
        </w:rPr>
        <w:t>该方法</w:t>
      </w:r>
      <w:r>
        <w:rPr>
          <w:color w:val="000000" w:themeColor="text1"/>
          <w:sz w:val="20"/>
          <w:szCs w:val="20"/>
          <w:lang w:eastAsia="zh"/>
          <w14:textFill>
            <w14:solidFill>
              <w14:schemeClr w14:val="tx1"/>
            </w14:solidFill>
          </w14:textFill>
        </w:rPr>
        <w:t>通过异质溯源图建模APT上下文信息，利用异构图神经网络实现恶意实体检测与组织归因。该方法能够有效缓解归因任务中的样本稀缺问题，但图构建过程主要基于溯源关系，对文本语义关系的建模能力不足。</w:t>
      </w:r>
    </w:p>
    <w:p w14:paraId="371077F9">
      <w:pPr>
        <w:pStyle w:val="7"/>
        <w:spacing w:after="60" w:line="240" w:lineRule="auto"/>
        <w:ind w:firstLine="400"/>
        <w:rPr>
          <w:color w:val="000000" w:themeColor="text1"/>
          <w:sz w:val="20"/>
          <w:szCs w:val="20"/>
          <w:lang w:eastAsia="zh"/>
          <w14:textFill>
            <w14:solidFill>
              <w14:schemeClr w14:val="tx1"/>
            </w14:solidFill>
          </w14:textFill>
        </w:rPr>
      </w:pPr>
      <w:r>
        <w:rPr>
          <w:color w:val="000000" w:themeColor="text1"/>
          <w:sz w:val="20"/>
          <w:szCs w:val="20"/>
          <w:lang w:eastAsia="zh"/>
          <w14:textFill>
            <w14:solidFill>
              <w14:schemeClr w14:val="tx1"/>
            </w14:solidFill>
          </w14:textFill>
        </w:rPr>
        <w:t>（4）APT-MMF[36]：</w:t>
      </w:r>
      <w:r>
        <w:rPr>
          <w:rFonts w:hint="eastAsia"/>
          <w:color w:val="000000" w:themeColor="text1"/>
          <w:sz w:val="20"/>
          <w:szCs w:val="20"/>
          <w14:textFill>
            <w14:solidFill>
              <w14:schemeClr w14:val="tx1"/>
            </w14:solidFill>
          </w14:textFill>
        </w:rPr>
        <w:t>该方法</w:t>
      </w:r>
      <w:r>
        <w:rPr>
          <w:color w:val="000000" w:themeColor="text1"/>
          <w:sz w:val="20"/>
          <w:szCs w:val="20"/>
          <w:lang w:eastAsia="zh"/>
          <w14:textFill>
            <w14:solidFill>
              <w14:schemeClr w14:val="tx1"/>
            </w14:solidFill>
          </w14:textFill>
        </w:rPr>
        <w:t>利用异质属性图融合自然语言、属性类型与拓扑关系特征进行归因。该方法在图构建中融合了多源信息，但多模态特征提取需要复杂模型，计算和存储成本较高。</w:t>
      </w:r>
    </w:p>
    <w:p w14:paraId="04B67464">
      <w:pPr>
        <w:pStyle w:val="7"/>
        <w:spacing w:after="60" w:line="240" w:lineRule="auto"/>
        <w:ind w:firstLine="400"/>
        <w:rPr>
          <w:color w:val="000000" w:themeColor="text1"/>
          <w:sz w:val="20"/>
          <w:szCs w:val="20"/>
          <w:lang w:eastAsia="zh"/>
          <w14:textFill>
            <w14:solidFill>
              <w14:schemeClr w14:val="tx1"/>
            </w14:solidFill>
          </w14:textFill>
        </w:rPr>
      </w:pPr>
      <w:r>
        <w:rPr>
          <w:color w:val="000000" w:themeColor="text1"/>
          <w:sz w:val="20"/>
          <w:szCs w:val="20"/>
          <w:lang w:eastAsia="zh"/>
          <w14:textFill>
            <w14:solidFill>
              <w14:schemeClr w14:val="tx1"/>
            </w14:solidFill>
          </w14:textFill>
        </w:rPr>
        <w:t>（5）Mead等人[4]：</w:t>
      </w:r>
      <w:r>
        <w:rPr>
          <w:rFonts w:hint="eastAsia"/>
          <w:color w:val="000000" w:themeColor="text1"/>
          <w:sz w:val="20"/>
          <w:szCs w:val="20"/>
          <w14:textFill>
            <w14:solidFill>
              <w14:schemeClr w14:val="tx1"/>
            </w14:solidFill>
          </w14:textFill>
        </w:rPr>
        <w:t>该</w:t>
      </w:r>
      <w:r>
        <w:rPr>
          <w:color w:val="000000" w:themeColor="text1"/>
          <w:sz w:val="20"/>
          <w:szCs w:val="20"/>
          <w:lang w:eastAsia="zh"/>
          <w14:textFill>
            <w14:solidFill>
              <w14:schemeClr w14:val="tx1"/>
            </w14:solidFill>
          </w14:textFill>
        </w:rPr>
        <w:t>方法将异质图神经网络与上下文CTI相结合构建归因图。该方法在APT归因任务中取得了较好效果，但依赖段落内局部共现关系构建图结构，难以刻画跨阶段的攻击行为关联，导致攻击链断裂。</w:t>
      </w:r>
    </w:p>
    <w:p w14:paraId="2DEC6AD9">
      <w:pPr>
        <w:pStyle w:val="4"/>
        <w:keepNext/>
        <w:spacing w:before="360" w:beforeLines="0" w:after="120" w:afterLines="0"/>
        <w:jc w:val="both"/>
        <w:rPr>
          <w:sz w:val="21"/>
          <w:szCs w:val="21"/>
          <w:lang w:eastAsia="zh"/>
        </w:rPr>
      </w:pPr>
      <w:r>
        <w:rPr>
          <w:rFonts w:hint="eastAsia"/>
          <w:sz w:val="21"/>
          <w:szCs w:val="21"/>
          <w:lang w:eastAsia="zh"/>
        </w:rPr>
        <w:t>4.2.</w:t>
      </w:r>
      <w:r>
        <w:rPr>
          <w:rFonts w:hint="eastAsia"/>
          <w:sz w:val="21"/>
          <w:szCs w:val="21"/>
        </w:rPr>
        <w:t>4</w:t>
      </w:r>
      <w:r>
        <w:rPr>
          <w:rFonts w:hint="eastAsia"/>
          <w:sz w:val="21"/>
          <w:szCs w:val="21"/>
          <w:lang w:eastAsia="zh"/>
        </w:rPr>
        <w:t xml:space="preserve"> 图神经网络模块</w:t>
      </w:r>
    </w:p>
    <w:p w14:paraId="3B7E7E90">
      <w:pPr>
        <w:pStyle w:val="7"/>
        <w:spacing w:after="60" w:line="240" w:lineRule="auto"/>
        <w:ind w:firstLine="400"/>
        <w:rPr>
          <w:color w:val="000000" w:themeColor="text1"/>
          <w:sz w:val="20"/>
          <w:szCs w:val="20"/>
          <w:lang w:eastAsia="zh"/>
          <w14:textFill>
            <w14:solidFill>
              <w14:schemeClr w14:val="tx1"/>
            </w14:solidFill>
          </w14:textFill>
        </w:rPr>
      </w:pPr>
      <w:r>
        <w:rPr>
          <w:rFonts w:hint="eastAsia"/>
          <w:color w:val="000000" w:themeColor="text1"/>
          <w:sz w:val="20"/>
          <w:szCs w:val="20"/>
          <w:lang w:eastAsia="zh"/>
          <w14:textFill>
            <w14:solidFill>
              <w14:schemeClr w14:val="tx1"/>
            </w14:solidFill>
          </w14:textFill>
        </w:rPr>
        <w:t>在图表示学习阶段，本文对比GCN、GAT、RGCN及HGT典型模型，同时引入APT-KGL与Mead等面向APT归因任务的模型。这些方法在关系建模能力、异构信息利用及动态适应能力方面存在显著差异。</w:t>
      </w:r>
    </w:p>
    <w:p w14:paraId="4B94B87C">
      <w:pPr>
        <w:pStyle w:val="7"/>
        <w:spacing w:after="60" w:line="240" w:lineRule="auto"/>
        <w:ind w:firstLine="400"/>
        <w:rPr>
          <w:color w:val="000000" w:themeColor="text1"/>
          <w:sz w:val="20"/>
          <w:szCs w:val="20"/>
          <w:lang w:eastAsia="zh"/>
          <w14:textFill>
            <w14:solidFill>
              <w14:schemeClr w14:val="tx1"/>
            </w14:solidFill>
          </w14:textFill>
        </w:rPr>
      </w:pPr>
      <w:r>
        <w:rPr>
          <w:color w:val="000000" w:themeColor="text1"/>
          <w:sz w:val="20"/>
          <w:szCs w:val="20"/>
          <w:lang w:eastAsia="zh"/>
          <w14:textFill>
            <w14:solidFill>
              <w14:schemeClr w14:val="tx1"/>
            </w14:solidFill>
          </w14:textFill>
        </w:rPr>
        <w:t>（1）GCN[20]：</w:t>
      </w:r>
      <w:r>
        <w:rPr>
          <w:rFonts w:hint="eastAsia"/>
          <w:color w:val="000000" w:themeColor="text1"/>
          <w:sz w:val="20"/>
          <w:szCs w:val="20"/>
          <w14:textFill>
            <w14:solidFill>
              <w14:schemeClr w14:val="tx1"/>
            </w14:solidFill>
          </w14:textFill>
        </w:rPr>
        <w:t>该方法</w:t>
      </w:r>
      <w:r>
        <w:rPr>
          <w:color w:val="000000" w:themeColor="text1"/>
          <w:sz w:val="20"/>
          <w:szCs w:val="20"/>
          <w:lang w:eastAsia="zh"/>
          <w14:textFill>
            <w14:solidFill>
              <w14:schemeClr w14:val="tx1"/>
            </w14:solidFill>
          </w14:textFill>
        </w:rPr>
        <w:t>通过对一阶邻居的特征聚合学习节点表示，</w:t>
      </w:r>
      <w:r>
        <w:rPr>
          <w:rFonts w:hint="eastAsia"/>
          <w:color w:val="000000" w:themeColor="text1"/>
          <w:sz w:val="20"/>
          <w:szCs w:val="20"/>
          <w14:textFill>
            <w14:solidFill>
              <w14:schemeClr w14:val="tx1"/>
            </w14:solidFill>
          </w14:textFill>
        </w:rPr>
        <w:t>它</w:t>
      </w:r>
      <w:r>
        <w:rPr>
          <w:color w:val="000000" w:themeColor="text1"/>
          <w:sz w:val="20"/>
          <w:szCs w:val="20"/>
          <w:lang w:eastAsia="zh"/>
          <w14:textFill>
            <w14:solidFill>
              <w14:schemeClr w14:val="tx1"/>
            </w14:solidFill>
          </w14:textFill>
        </w:rPr>
        <w:t>将所有边视为同质连接，</w:t>
      </w:r>
      <w:r>
        <w:rPr>
          <w:rFonts w:hint="eastAsia"/>
          <w:color w:val="000000" w:themeColor="text1"/>
          <w:sz w:val="20"/>
          <w:szCs w:val="20"/>
          <w14:textFill>
            <w14:solidFill>
              <w14:schemeClr w14:val="tx1"/>
            </w14:solidFill>
          </w14:textFill>
        </w:rPr>
        <w:t>但</w:t>
      </w:r>
      <w:r>
        <w:rPr>
          <w:color w:val="000000" w:themeColor="text1"/>
          <w:sz w:val="20"/>
          <w:szCs w:val="20"/>
          <w:lang w:eastAsia="zh"/>
          <w14:textFill>
            <w14:solidFill>
              <w14:schemeClr w14:val="tx1"/>
            </w14:solidFill>
          </w14:textFill>
        </w:rPr>
        <w:t>忽略了APT攻击中关键关系（如漏洞利用、C2通信）的语义差异。</w:t>
      </w:r>
    </w:p>
    <w:p w14:paraId="07D0B169">
      <w:pPr>
        <w:pStyle w:val="7"/>
        <w:spacing w:after="60" w:line="240" w:lineRule="auto"/>
        <w:ind w:firstLine="400"/>
        <w:rPr>
          <w:color w:val="000000" w:themeColor="text1"/>
          <w:sz w:val="20"/>
          <w:szCs w:val="20"/>
          <w:lang w:eastAsia="zh"/>
          <w14:textFill>
            <w14:solidFill>
              <w14:schemeClr w14:val="tx1"/>
            </w14:solidFill>
          </w14:textFill>
        </w:rPr>
      </w:pPr>
      <w:r>
        <w:rPr>
          <w:color w:val="000000" w:themeColor="text1"/>
          <w:sz w:val="20"/>
          <w:szCs w:val="20"/>
          <w:lang w:eastAsia="zh"/>
          <w14:textFill>
            <w14:solidFill>
              <w14:schemeClr w14:val="tx1"/>
            </w14:solidFill>
          </w14:textFill>
        </w:rPr>
        <w:t>（2）GAT[22]：</w:t>
      </w:r>
      <w:r>
        <w:rPr>
          <w:rFonts w:hint="eastAsia"/>
          <w:color w:val="000000" w:themeColor="text1"/>
          <w:sz w:val="20"/>
          <w:szCs w:val="20"/>
          <w14:textFill>
            <w14:solidFill>
              <w14:schemeClr w14:val="tx1"/>
            </w14:solidFill>
          </w14:textFill>
        </w:rPr>
        <w:t>该方法是一种</w:t>
      </w:r>
      <w:r>
        <w:rPr>
          <w:color w:val="000000" w:themeColor="text1"/>
          <w:sz w:val="20"/>
          <w:szCs w:val="20"/>
          <w:lang w:eastAsia="zh"/>
          <w14:textFill>
            <w14:solidFill>
              <w14:schemeClr w14:val="tx1"/>
            </w14:solidFill>
          </w14:textFill>
        </w:rPr>
        <w:t>引入注意力机制的图注意力网络，能够自适应地为不同邻居分配聚合权重。该</w:t>
      </w:r>
      <w:r>
        <w:rPr>
          <w:rFonts w:hint="eastAsia"/>
          <w:color w:val="000000" w:themeColor="text1"/>
          <w:sz w:val="20"/>
          <w:szCs w:val="20"/>
          <w14:textFill>
            <w14:solidFill>
              <w14:schemeClr w14:val="tx1"/>
            </w14:solidFill>
          </w14:textFill>
        </w:rPr>
        <w:t>方法</w:t>
      </w:r>
      <w:r>
        <w:rPr>
          <w:color w:val="000000" w:themeColor="text1"/>
          <w:sz w:val="20"/>
          <w:szCs w:val="20"/>
          <w:lang w:eastAsia="zh"/>
          <w14:textFill>
            <w14:solidFill>
              <w14:schemeClr w14:val="tx1"/>
            </w14:solidFill>
          </w14:textFill>
        </w:rPr>
        <w:t>通过注意力机制建模节点语义相似性，但对边类型不敏感，无法充分利用APT归因图中的多类型关系信息。</w:t>
      </w:r>
    </w:p>
    <w:p w14:paraId="6F0400E3">
      <w:pPr>
        <w:pStyle w:val="7"/>
        <w:spacing w:after="60" w:line="240" w:lineRule="auto"/>
        <w:ind w:firstLine="400"/>
        <w:rPr>
          <w:color w:val="000000" w:themeColor="text1"/>
          <w:sz w:val="20"/>
          <w:szCs w:val="20"/>
          <w:lang w:eastAsia="zh"/>
          <w14:textFill>
            <w14:solidFill>
              <w14:schemeClr w14:val="tx1"/>
            </w14:solidFill>
          </w14:textFill>
        </w:rPr>
      </w:pPr>
      <w:r>
        <w:rPr>
          <w:color w:val="000000" w:themeColor="text1"/>
          <w:sz w:val="20"/>
          <w:szCs w:val="20"/>
          <w:lang w:eastAsia="zh"/>
          <w14:textFill>
            <w14:solidFill>
              <w14:schemeClr w14:val="tx1"/>
            </w14:solidFill>
          </w14:textFill>
        </w:rPr>
        <w:t>（3）RGCN[31]：</w:t>
      </w:r>
      <w:r>
        <w:rPr>
          <w:rFonts w:hint="eastAsia"/>
          <w:color w:val="000000" w:themeColor="text1"/>
          <w:sz w:val="20"/>
          <w:szCs w:val="20"/>
          <w14:textFill>
            <w14:solidFill>
              <w14:schemeClr w14:val="tx1"/>
            </w14:solidFill>
          </w14:textFill>
        </w:rPr>
        <w:t>该</w:t>
      </w:r>
      <w:r>
        <w:rPr>
          <w:color w:val="000000" w:themeColor="text1"/>
          <w:sz w:val="20"/>
          <w:szCs w:val="20"/>
          <w:lang w:eastAsia="zh"/>
          <w14:textFill>
            <w14:solidFill>
              <w14:schemeClr w14:val="tx1"/>
            </w14:solidFill>
          </w14:textFill>
        </w:rPr>
        <w:t>关系图卷积网络通过为每种关系类型分配独立的变换矩阵来建模多关系拓扑。该模型能够显式区分边类型，但对同一关系类型的所有邻居施加相同变换，缺乏基于节点语义的动态区分能力。</w:t>
      </w:r>
    </w:p>
    <w:p w14:paraId="083B60D2">
      <w:pPr>
        <w:pStyle w:val="7"/>
        <w:spacing w:after="60" w:line="240" w:lineRule="auto"/>
        <w:ind w:firstLine="400"/>
        <w:rPr>
          <w:color w:val="000000" w:themeColor="text1"/>
          <w:sz w:val="20"/>
          <w:szCs w:val="20"/>
          <w:lang w:eastAsia="zh"/>
          <w14:textFill>
            <w14:solidFill>
              <w14:schemeClr w14:val="tx1"/>
            </w14:solidFill>
          </w14:textFill>
        </w:rPr>
      </w:pPr>
      <w:r>
        <w:rPr>
          <w:color w:val="000000" w:themeColor="text1"/>
          <w:sz w:val="20"/>
          <w:szCs w:val="20"/>
          <w:lang w:eastAsia="zh"/>
          <w14:textFill>
            <w14:solidFill>
              <w14:schemeClr w14:val="tx1"/>
            </w14:solidFill>
          </w14:textFill>
        </w:rPr>
        <w:t>（4）HGT[26]：</w:t>
      </w:r>
      <w:r>
        <w:rPr>
          <w:rFonts w:hint="eastAsia"/>
          <w:color w:val="000000" w:themeColor="text1"/>
          <w:sz w:val="20"/>
          <w:szCs w:val="20"/>
          <w14:textFill>
            <w14:solidFill>
              <w14:schemeClr w14:val="tx1"/>
            </w14:solidFill>
          </w14:textFill>
        </w:rPr>
        <w:t>该</w:t>
      </w:r>
      <w:r>
        <w:rPr>
          <w:color w:val="000000" w:themeColor="text1"/>
          <w:sz w:val="20"/>
          <w:szCs w:val="20"/>
          <w:lang w:eastAsia="zh"/>
          <w14:textFill>
            <w14:solidFill>
              <w14:schemeClr w14:val="tx1"/>
            </w14:solidFill>
          </w14:textFill>
        </w:rPr>
        <w:t>异质图变换器通过关系相关注意力与类型感知变换克服对预定义元路径的依赖，在动态异质图上展现出更好的泛化能力，适合CTI中攻击类型持续演化的开放场景。</w:t>
      </w:r>
    </w:p>
    <w:p w14:paraId="1587B191">
      <w:pPr>
        <w:pStyle w:val="7"/>
        <w:spacing w:after="60" w:line="240" w:lineRule="auto"/>
        <w:ind w:firstLine="400"/>
        <w:rPr>
          <w:color w:val="000000" w:themeColor="text1"/>
          <w:sz w:val="20"/>
          <w:szCs w:val="20"/>
          <w:lang w:eastAsia="zh"/>
          <w14:textFill>
            <w14:solidFill>
              <w14:schemeClr w14:val="tx1"/>
            </w14:solidFill>
          </w14:textFill>
        </w:rPr>
      </w:pPr>
      <w:r>
        <w:rPr>
          <w:color w:val="000000" w:themeColor="text1"/>
          <w:sz w:val="20"/>
          <w:szCs w:val="20"/>
          <w:lang w:eastAsia="zh"/>
          <w14:textFill>
            <w14:solidFill>
              <w14:schemeClr w14:val="tx1"/>
            </w14:solidFill>
          </w14:textFill>
        </w:rPr>
        <w:t>（5）APT-KGL[30]：</w:t>
      </w:r>
      <w:r>
        <w:rPr>
          <w:rFonts w:hint="eastAsia"/>
          <w:color w:val="000000" w:themeColor="text1"/>
          <w:sz w:val="20"/>
          <w:szCs w:val="20"/>
          <w14:textFill>
            <w14:solidFill>
              <w14:schemeClr w14:val="tx1"/>
            </w14:solidFill>
          </w14:textFill>
        </w:rPr>
        <w:t>该方法</w:t>
      </w:r>
      <w:r>
        <w:rPr>
          <w:color w:val="000000" w:themeColor="text1"/>
          <w:sz w:val="20"/>
          <w:szCs w:val="20"/>
          <w:lang w:eastAsia="zh"/>
          <w14:textFill>
            <w14:solidFill>
              <w14:schemeClr w14:val="tx1"/>
            </w14:solidFill>
          </w14:textFill>
        </w:rPr>
        <w:t>利用异质图神经网络建模溯源图进行恶意实体检测与组织归因，是APT归因任务中图神经网络应用的代表性工作。</w:t>
      </w:r>
    </w:p>
    <w:p w14:paraId="14E19DB0">
      <w:pPr>
        <w:pStyle w:val="7"/>
        <w:spacing w:after="60" w:line="240" w:lineRule="auto"/>
        <w:ind w:firstLine="400"/>
        <w:rPr>
          <w:color w:val="000000" w:themeColor="text1"/>
          <w:sz w:val="20"/>
          <w:szCs w:val="20"/>
          <w:lang w:eastAsia="zh"/>
          <w14:textFill>
            <w14:solidFill>
              <w14:schemeClr w14:val="tx1"/>
            </w14:solidFill>
          </w14:textFill>
        </w:rPr>
      </w:pPr>
      <w:r>
        <w:rPr>
          <w:color w:val="000000" w:themeColor="text1"/>
          <w:sz w:val="20"/>
          <w:szCs w:val="20"/>
          <w:lang w:eastAsia="zh"/>
          <w14:textFill>
            <w14:solidFill>
              <w14:schemeClr w14:val="tx1"/>
            </w14:solidFill>
          </w14:textFill>
        </w:rPr>
        <w:t>（6）Mead等人[4]：</w:t>
      </w:r>
      <w:r>
        <w:rPr>
          <w:rFonts w:hint="eastAsia"/>
          <w:color w:val="000000" w:themeColor="text1"/>
          <w:sz w:val="20"/>
          <w:szCs w:val="20"/>
          <w14:textFill>
            <w14:solidFill>
              <w14:schemeClr w14:val="tx1"/>
            </w14:solidFill>
          </w14:textFill>
        </w:rPr>
        <w:t>该方法</w:t>
      </w:r>
      <w:r>
        <w:rPr>
          <w:color w:val="000000" w:themeColor="text1"/>
          <w:sz w:val="20"/>
          <w:szCs w:val="20"/>
          <w:lang w:eastAsia="zh"/>
          <w14:textFill>
            <w14:solidFill>
              <w14:schemeClr w14:val="tx1"/>
            </w14:solidFill>
          </w14:textFill>
        </w:rPr>
        <w:t>将异质图神经网络与上下文CTI相结合，兼顾语义与结构信息，是APT归因领域最新的图神经网络方法之一。</w:t>
      </w:r>
    </w:p>
    <w:p w14:paraId="16C739B9">
      <w:pPr>
        <w:pStyle w:val="3"/>
        <w:keepNext/>
        <w:spacing w:before="360" w:after="120" w:afterLines="0"/>
        <w:jc w:val="both"/>
        <w:rPr>
          <w:sz w:val="24"/>
          <w:szCs w:val="24"/>
          <w:highlight w:val="none"/>
          <w:lang w:eastAsia="zh"/>
        </w:rPr>
      </w:pPr>
      <w:r>
        <w:rPr>
          <w:rFonts w:hint="eastAsia"/>
          <w:sz w:val="24"/>
          <w:szCs w:val="24"/>
          <w:highlight w:val="none"/>
          <w:lang w:eastAsia="zh"/>
        </w:rPr>
        <w:t>4.3 评价指标</w:t>
      </w:r>
    </w:p>
    <w:p w14:paraId="036A2FCB">
      <w:pPr>
        <w:pStyle w:val="7"/>
        <w:spacing w:after="60" w:line="240" w:lineRule="auto"/>
        <w:ind w:firstLine="400"/>
        <w:rPr>
          <w:color w:val="000000" w:themeColor="text1"/>
          <w:sz w:val="20"/>
          <w:szCs w:val="20"/>
          <w:lang w:eastAsia="zh"/>
          <w14:textFill>
            <w14:solidFill>
              <w14:schemeClr w14:val="tx1"/>
            </w14:solidFill>
          </w14:textFill>
        </w:rPr>
      </w:pPr>
      <w:r>
        <w:rPr>
          <w:rFonts w:hint="eastAsia"/>
          <w:color w:val="000000" w:themeColor="text1"/>
          <w:sz w:val="20"/>
          <w:szCs w:val="20"/>
          <w:lang w:eastAsia="zh"/>
          <w14:textFill>
            <w14:solidFill>
              <w14:schemeClr w14:val="tx1"/>
            </w14:solidFill>
          </w14:textFill>
        </w:rPr>
        <w:t>考虑APT归因任务中类别不均衡问题，本文采用多粒度评价指标体系，包括Accuracy、Weighted Precision、Weighted Recall、Weighted F1-score以及Macro Precision、Macro Recall和Macro F1-score。其中，Macro指标用于评估模型在长尾类别上的性能，Weighted指标反映整体分类能力。</w:t>
      </w:r>
    </w:p>
    <w:p w14:paraId="1E7D78A5">
      <w:pPr>
        <w:pStyle w:val="7"/>
        <w:spacing w:after="60" w:line="240" w:lineRule="auto"/>
        <w:ind w:firstLine="400"/>
        <w:rPr>
          <w:color w:val="000000" w:themeColor="text1"/>
          <w:sz w:val="20"/>
          <w:szCs w:val="20"/>
          <w14:textFill>
            <w14:solidFill>
              <w14:schemeClr w14:val="tx1"/>
            </w14:solidFill>
          </w14:textFill>
        </w:rPr>
      </w:pPr>
      <w:r>
        <w:rPr>
          <w:color w:val="000000" w:themeColor="text1"/>
          <w:position w:val="-4"/>
          <w:sz w:val="20"/>
          <w:szCs w:val="20"/>
          <w14:textFill>
            <w14:solidFill>
              <w14:schemeClr w14:val="tx1"/>
            </w14:solidFill>
          </w14:textFill>
        </w:rPr>
        <w:object>
          <v:shape id="_x0000_i1036" o:spt="75" type="#_x0000_t75" style="height:14pt;width:9pt;" o:ole="t" filled="f" o:preferrelative="t" stroked="f" coordsize="21600,21600">
            <v:path/>
            <v:fill on="f" focussize="0,0"/>
            <v:stroke on="f" joinstyle="miter"/>
            <v:imagedata r:id="rId44" o:title=""/>
            <o:lock v:ext="edit" aspectratio="t"/>
            <w10:wrap type="none"/>
            <w10:anchorlock/>
          </v:shape>
          <o:OLEObject Type="Embed" ProgID="Equation.DSMT4" ShapeID="_x0000_i1036" DrawAspect="Content" ObjectID="_1468075736" r:id="rId43">
            <o:LockedField>false</o:LockedField>
          </o:OLEObject>
        </w:object>
      </w:r>
    </w:p>
    <w:p w14:paraId="46450DEE">
      <w:pPr>
        <w:pStyle w:val="27"/>
        <w:ind w:firstLine="480"/>
        <w:jc w:val="center"/>
        <w:rPr>
          <w:rFonts w:hint="eastAsia"/>
        </w:rPr>
      </w:pPr>
      <w:r>
        <w:rPr>
          <w:rFonts w:hint="eastAsia"/>
        </w:rPr>
        <w:t xml:space="preserve">               </w:t>
      </w:r>
      <w:r>
        <w:rPr>
          <w:position w:val="-28"/>
        </w:rPr>
        <w:object>
          <v:shape id="_x0000_i1037" o:spt="75" type="#_x0000_t75" style="height:33pt;width:208pt;" o:ole="t" filled="f" o:preferrelative="t" stroked="f" coordsize="21600,21600">
            <v:path/>
            <v:fill on="f" focussize="0,0"/>
            <v:stroke on="f" joinstyle="miter"/>
            <v:imagedata r:id="rId46" o:title=""/>
            <o:lock v:ext="edit" aspectratio="t"/>
            <w10:wrap type="none"/>
            <w10:anchorlock/>
          </v:shape>
          <o:OLEObject Type="Embed" ProgID="Equation.DSMT4" ShapeID="_x0000_i1037" DrawAspect="Content" ObjectID="_1468075737" r:id="rId45">
            <o:LockedField>false</o:LockedField>
          </o:OLEObject>
        </w:object>
      </w:r>
      <w:r>
        <w:rPr>
          <w:rFonts w:hint="eastAsia"/>
        </w:rPr>
        <w:t xml:space="preserve">            （27）</w:t>
      </w:r>
    </w:p>
    <w:p w14:paraId="1549D1B1">
      <w:pPr>
        <w:pStyle w:val="27"/>
        <w:ind w:firstLine="480"/>
        <w:jc w:val="center"/>
        <w:rPr>
          <w:rFonts w:hint="eastAsia"/>
        </w:rPr>
      </w:pPr>
      <w:r>
        <w:rPr>
          <w:rFonts w:hint="eastAsia"/>
        </w:rPr>
        <w:t xml:space="preserve">                  </w:t>
      </w:r>
      <w:r>
        <w:rPr>
          <w:position w:val="-46"/>
        </w:rPr>
        <w:object>
          <v:shape id="_x0000_i1038" o:spt="75" type="#_x0000_t75" style="height:52pt;width:197pt;" o:ole="t" filled="f" o:preferrelative="t" stroked="f" coordsize="21600,21600">
            <v:path/>
            <v:fill on="f" focussize="0,0"/>
            <v:stroke on="f" joinstyle="miter"/>
            <v:imagedata r:id="rId48" o:title=""/>
            <o:lock v:ext="edit" aspectratio="t"/>
            <w10:wrap type="none"/>
            <w10:anchorlock/>
          </v:shape>
          <o:OLEObject Type="Embed" ProgID="Equation.DSMT4" ShapeID="_x0000_i1038" DrawAspect="Content" ObjectID="_1468075738" r:id="rId47">
            <o:LockedField>false</o:LockedField>
          </o:OLEObject>
        </w:object>
      </w:r>
      <w:r>
        <w:rPr>
          <w:rFonts w:hint="eastAsia"/>
        </w:rPr>
        <w:t xml:space="preserve">           （28）</w:t>
      </w:r>
    </w:p>
    <w:p w14:paraId="5EA45A09">
      <w:pPr>
        <w:pStyle w:val="27"/>
        <w:ind w:firstLine="480"/>
        <w:jc w:val="center"/>
        <w:rPr>
          <w:rFonts w:hint="eastAsia"/>
        </w:rPr>
      </w:pPr>
      <w:r>
        <w:rPr>
          <w:rFonts w:hint="eastAsia"/>
        </w:rPr>
        <w:t xml:space="preserve">                     </w:t>
      </w:r>
      <w:r>
        <w:rPr>
          <w:position w:val="-46"/>
        </w:rPr>
        <w:object>
          <v:shape id="_x0000_i1039" o:spt="75" type="#_x0000_t75" style="height:52pt;width:168pt;" o:ole="t" filled="f" o:preferrelative="t" stroked="f" coordsize="21600,21600">
            <v:path/>
            <v:fill on="f" focussize="0,0"/>
            <v:stroke on="f" joinstyle="miter"/>
            <v:imagedata r:id="rId50" o:title=""/>
            <o:lock v:ext="edit" aspectratio="t"/>
            <w10:wrap type="none"/>
            <w10:anchorlock/>
          </v:shape>
          <o:OLEObject Type="Embed" ProgID="Equation.DSMT4" ShapeID="_x0000_i1039" DrawAspect="Content" ObjectID="_1468075739" r:id="rId49">
            <o:LockedField>false</o:LockedField>
          </o:OLEObject>
        </w:object>
      </w:r>
      <w:r>
        <w:rPr>
          <w:rFonts w:hint="eastAsia"/>
        </w:rPr>
        <w:t xml:space="preserve">             （29）</w:t>
      </w:r>
    </w:p>
    <w:p w14:paraId="44F3BCED">
      <w:pPr>
        <w:pStyle w:val="27"/>
        <w:ind w:firstLine="480"/>
        <w:jc w:val="center"/>
        <w:rPr>
          <w:rFonts w:hint="eastAsia"/>
        </w:rPr>
      </w:pPr>
      <w:r>
        <w:rPr>
          <w:rFonts w:hint="eastAsia"/>
        </w:rPr>
        <w:t xml:space="preserve">                 </w:t>
      </w:r>
      <w:r>
        <w:rPr>
          <w:position w:val="-46"/>
        </w:rPr>
        <w:object>
          <v:shape id="_x0000_i1040" o:spt="75" type="#_x0000_t75" style="height:52pt;width:190pt;" o:ole="t" filled="f" o:preferrelative="t" stroked="f" coordsize="21600,21600">
            <v:path/>
            <v:fill on="f" focussize="0,0"/>
            <v:stroke on="f" joinstyle="miter"/>
            <v:imagedata r:id="rId52" o:title=""/>
            <o:lock v:ext="edit" aspectratio="t"/>
            <w10:wrap type="none"/>
            <w10:anchorlock/>
          </v:shape>
          <o:OLEObject Type="Embed" ProgID="Equation.DSMT4" ShapeID="_x0000_i1040" DrawAspect="Content" ObjectID="_1468075740" r:id="rId51">
            <o:LockedField>false</o:LockedField>
          </o:OLEObject>
        </w:object>
      </w:r>
      <w:r>
        <w:rPr>
          <w:rFonts w:hint="eastAsia"/>
        </w:rPr>
        <w:t xml:space="preserve">             （30）</w:t>
      </w:r>
    </w:p>
    <w:p w14:paraId="19441188">
      <w:pPr>
        <w:pStyle w:val="27"/>
        <w:ind w:firstLine="480"/>
        <w:jc w:val="center"/>
        <w:rPr>
          <w:rFonts w:hint="eastAsia"/>
        </w:rPr>
      </w:pPr>
      <w:r>
        <w:rPr>
          <w:rFonts w:hint="eastAsia"/>
        </w:rPr>
        <w:t xml:space="preserve">                  </w:t>
      </w:r>
      <w:r>
        <w:rPr>
          <w:position w:val="-28"/>
          <w:lang w:eastAsia="zh"/>
        </w:rPr>
        <w:object>
          <v:shape id="_x0000_i1041" o:spt="75" type="#_x0000_t75" style="height:34pt;width:170pt;" o:ole="t" filled="f" o:preferrelative="t" stroked="f" coordsize="21600,21600">
            <v:path/>
            <v:fill on="f" focussize="0,0"/>
            <v:stroke on="f" joinstyle="miter"/>
            <v:imagedata r:id="rId54" o:title=""/>
            <o:lock v:ext="edit" aspectratio="t"/>
            <w10:wrap type="none"/>
            <w10:anchorlock/>
          </v:shape>
          <o:OLEObject Type="Embed" ProgID="Equation.DSMT4" ShapeID="_x0000_i1041" DrawAspect="Content" ObjectID="_1468075741" r:id="rId53">
            <o:LockedField>false</o:LockedField>
          </o:OLEObject>
        </w:object>
      </w:r>
      <w:r>
        <w:rPr>
          <w:rFonts w:hint="eastAsia"/>
        </w:rPr>
        <w:t xml:space="preserve">               （31）</w:t>
      </w:r>
    </w:p>
    <w:p w14:paraId="77311135">
      <w:pPr>
        <w:pStyle w:val="27"/>
        <w:ind w:firstLine="480"/>
        <w:jc w:val="center"/>
        <w:rPr>
          <w:rFonts w:hint="eastAsia"/>
        </w:rPr>
      </w:pPr>
      <w:r>
        <w:rPr>
          <w:rFonts w:hint="eastAsia"/>
        </w:rPr>
        <w:t xml:space="preserve">                      </w:t>
      </w:r>
      <w:r>
        <w:rPr>
          <w:position w:val="-28"/>
        </w:rPr>
        <w:object>
          <v:shape id="_x0000_i1042" o:spt="75" type="#_x0000_t75" style="height:34pt;width:140pt;" o:ole="t" filled="f" o:preferrelative="t" stroked="f" coordsize="21600,21600">
            <v:path/>
            <v:fill on="f" focussize="0,0"/>
            <v:stroke on="f" joinstyle="miter"/>
            <v:imagedata r:id="rId56" o:title=""/>
            <o:lock v:ext="edit" aspectratio="t"/>
            <w10:wrap type="none"/>
            <w10:anchorlock/>
          </v:shape>
          <o:OLEObject Type="Embed" ProgID="Equation.DSMT4" ShapeID="_x0000_i1042" DrawAspect="Content" ObjectID="_1468075742" r:id="rId55">
            <o:LockedField>false</o:LockedField>
          </o:OLEObject>
        </w:object>
      </w:r>
      <w:r>
        <w:rPr>
          <w:rFonts w:hint="eastAsia"/>
        </w:rPr>
        <w:t xml:space="preserve">                （32）</w:t>
      </w:r>
    </w:p>
    <w:p w14:paraId="661C5FDB">
      <w:pPr>
        <w:pStyle w:val="27"/>
        <w:ind w:firstLine="480"/>
        <w:jc w:val="center"/>
        <w:rPr>
          <w:rFonts w:hint="eastAsia"/>
        </w:rPr>
      </w:pPr>
      <w:r>
        <w:rPr>
          <w:rFonts w:hint="eastAsia"/>
        </w:rPr>
        <w:t xml:space="preserve">                   </w:t>
      </w:r>
      <w:r>
        <w:rPr>
          <w:position w:val="-28"/>
        </w:rPr>
        <w:object>
          <v:shape id="_x0000_i1043" o:spt="75" type="#_x0000_t75" style="height:34pt;width:163pt;" o:ole="t" filled="f" o:preferrelative="t" stroked="f" coordsize="21600,21600">
            <v:path/>
            <v:fill on="f" focussize="0,0"/>
            <v:stroke on="f" joinstyle="miter"/>
            <v:imagedata r:id="rId58" o:title=""/>
            <o:lock v:ext="edit" aspectratio="t"/>
            <w10:wrap type="none"/>
            <w10:anchorlock/>
          </v:shape>
          <o:OLEObject Type="Embed" ProgID="Equation.DSMT4" ShapeID="_x0000_i1043" DrawAspect="Content" ObjectID="_1468075743" r:id="rId57">
            <o:LockedField>false</o:LockedField>
          </o:OLEObject>
        </w:object>
      </w:r>
      <w:r>
        <w:rPr>
          <w:rFonts w:hint="eastAsia"/>
        </w:rPr>
        <w:t xml:space="preserve">                （33）</w:t>
      </w:r>
    </w:p>
    <w:p w14:paraId="73F82552">
      <w:pPr>
        <w:pStyle w:val="7"/>
        <w:spacing w:after="60" w:line="240" w:lineRule="auto"/>
        <w:ind w:firstLine="400"/>
        <w:rPr>
          <w:color w:val="000000" w:themeColor="text1"/>
          <w:sz w:val="20"/>
          <w:szCs w:val="20"/>
          <w:lang w:eastAsia="zh"/>
          <w14:textFill>
            <w14:solidFill>
              <w14:schemeClr w14:val="tx1"/>
            </w14:solidFill>
          </w14:textFill>
        </w:rPr>
      </w:pPr>
      <w:r>
        <w:rPr>
          <w:rFonts w:hint="eastAsia"/>
          <w:color w:val="000000" w:themeColor="text1"/>
          <w:sz w:val="20"/>
          <w:szCs w:val="20"/>
          <w:lang w:eastAsia="zh"/>
          <w14:textFill>
            <w14:solidFill>
              <w14:schemeClr w14:val="tx1"/>
            </w14:solidFill>
          </w14:textFill>
        </w:rPr>
        <w:t>在上述公式中，</w:t>
      </w:r>
      <w:r>
        <w:rPr>
          <w:rFonts w:hint="eastAsia"/>
          <w:i/>
          <w:iCs/>
          <w:color w:val="000000" w:themeColor="text1"/>
          <w:sz w:val="20"/>
          <w:szCs w:val="20"/>
          <w:lang w:eastAsia="zh"/>
          <w14:textFill>
            <w14:solidFill>
              <w14:schemeClr w14:val="tx1"/>
            </w14:solidFill>
          </w14:textFill>
        </w:rPr>
        <w:t>N</w:t>
      </w:r>
      <w:r>
        <w:rPr>
          <w:rFonts w:hint="eastAsia"/>
          <w:i/>
          <w:iCs/>
          <w:color w:val="000000" w:themeColor="text1"/>
          <w:sz w:val="20"/>
          <w:szCs w:val="20"/>
          <w:vertAlign w:val="subscript"/>
          <w:lang w:eastAsia="zh"/>
          <w14:textFill>
            <w14:solidFill>
              <w14:schemeClr w14:val="tx1"/>
            </w14:solidFill>
          </w14:textFill>
        </w:rPr>
        <w:t>i</w:t>
      </w:r>
      <w:r>
        <w:rPr>
          <w:rFonts w:hint="eastAsia"/>
          <w:color w:val="000000" w:themeColor="text1"/>
          <w:sz w:val="20"/>
          <w:szCs w:val="20"/>
          <w:lang w:eastAsia="zh"/>
          <w14:textFill>
            <w14:solidFill>
              <w14:schemeClr w14:val="tx1"/>
            </w14:solidFill>
          </w14:textFill>
        </w:rPr>
        <w:t>表示每个类别的样本数量，</w:t>
      </w:r>
      <w:r>
        <w:rPr>
          <w:rFonts w:hint="eastAsia"/>
          <w:i/>
          <w:iCs/>
          <w:color w:val="000000" w:themeColor="text1"/>
          <w:sz w:val="20"/>
          <w:szCs w:val="20"/>
          <w:lang w:eastAsia="zh"/>
          <w14:textFill>
            <w14:solidFill>
              <w14:schemeClr w14:val="tx1"/>
            </w14:solidFill>
          </w14:textFill>
        </w:rPr>
        <w:t>C</w:t>
      </w:r>
      <w:r>
        <w:rPr>
          <w:rFonts w:hint="eastAsia"/>
          <w:color w:val="000000" w:themeColor="text1"/>
          <w:sz w:val="20"/>
          <w:szCs w:val="20"/>
          <w:lang w:eastAsia="zh"/>
          <w14:textFill>
            <w14:solidFill>
              <w14:schemeClr w14:val="tx1"/>
            </w14:solidFill>
          </w14:textFill>
        </w:rPr>
        <w:t>表示类别总数，在本实验中</w:t>
      </w:r>
      <w:r>
        <w:rPr>
          <w:rFonts w:hint="eastAsia"/>
          <w:i/>
          <w:iCs/>
          <w:color w:val="000000" w:themeColor="text1"/>
          <w:sz w:val="20"/>
          <w:szCs w:val="20"/>
          <w:lang w:eastAsia="zh"/>
          <w14:textFill>
            <w14:solidFill>
              <w14:schemeClr w14:val="tx1"/>
            </w14:solidFill>
          </w14:textFill>
        </w:rPr>
        <w:t>C</w:t>
      </w:r>
      <w:r>
        <w:rPr>
          <w:rFonts w:hint="eastAsia"/>
          <w:color w:val="000000" w:themeColor="text1"/>
          <w:sz w:val="20"/>
          <w:szCs w:val="20"/>
          <w:lang w:eastAsia="zh"/>
          <w14:textFill>
            <w14:solidFill>
              <w14:schemeClr w14:val="tx1"/>
            </w14:solidFill>
          </w14:textFill>
        </w:rPr>
        <w:t>=12。</w:t>
      </w:r>
    </w:p>
    <w:p w14:paraId="7A3C83E8">
      <w:pPr>
        <w:pStyle w:val="2"/>
        <w:keepNext/>
        <w:spacing w:before="360" w:after="120"/>
        <w:jc w:val="both"/>
        <w:rPr>
          <w:sz w:val="24"/>
          <w:szCs w:val="24"/>
          <w:lang w:eastAsia="zh"/>
        </w:rPr>
      </w:pPr>
      <w:r>
        <w:rPr>
          <w:rFonts w:hint="eastAsia"/>
          <w:sz w:val="24"/>
          <w:szCs w:val="24"/>
          <w:lang w:eastAsia="zh"/>
        </w:rPr>
        <w:t>5. 实验结果与分析</w:t>
      </w:r>
    </w:p>
    <w:p w14:paraId="35B81246">
      <w:pPr>
        <w:pStyle w:val="7"/>
        <w:spacing w:after="60" w:line="240" w:lineRule="auto"/>
        <w:ind w:firstLine="400"/>
        <w:rPr>
          <w:color w:val="000000" w:themeColor="text1"/>
          <w:sz w:val="20"/>
          <w:szCs w:val="20"/>
          <w:lang w:eastAsia="zh"/>
          <w14:textFill>
            <w14:solidFill>
              <w14:schemeClr w14:val="tx1"/>
            </w14:solidFill>
          </w14:textFill>
        </w:rPr>
      </w:pPr>
      <w:r>
        <w:rPr>
          <w:rFonts w:hint="eastAsia"/>
          <w:color w:val="000000" w:themeColor="text1"/>
          <w:sz w:val="20"/>
          <w:szCs w:val="20"/>
          <w:lang w:eastAsia="zh"/>
          <w14:textFill>
            <w14:solidFill>
              <w14:schemeClr w14:val="tx1"/>
            </w14:solidFill>
          </w14:textFill>
        </w:rPr>
        <w:t>本节系统评估APT-CTIA模型的性能与泛化能力。为从不同技术维度刻画模型优势，本文围绕预处理、图构建、表示学习及端到端归因性能设计五个研究问题（Research Questions, RQs）：</w:t>
      </w:r>
    </w:p>
    <w:p w14:paraId="01EE87A5">
      <w:pPr>
        <w:pStyle w:val="7"/>
        <w:spacing w:after="60" w:line="240" w:lineRule="auto"/>
        <w:ind w:firstLine="400"/>
        <w:rPr>
          <w:color w:val="000000" w:themeColor="text1"/>
          <w:sz w:val="20"/>
          <w:szCs w:val="20"/>
          <w14:textFill>
            <w14:solidFill>
              <w14:schemeClr w14:val="tx1"/>
            </w14:solidFill>
          </w14:textFill>
        </w:rPr>
      </w:pPr>
      <w:r>
        <w:rPr>
          <w:rFonts w:hint="eastAsia"/>
          <w:color w:val="000000" w:themeColor="text1"/>
          <w:sz w:val="20"/>
          <w:szCs w:val="20"/>
          <w:lang w:eastAsia="zh"/>
          <w14:textFill>
            <w14:solidFill>
              <w14:schemeClr w14:val="tx1"/>
            </w14:solidFill>
          </w14:textFill>
        </w:rPr>
        <w:t>RQ</w:t>
      </w:r>
      <w:r>
        <w:rPr>
          <w:rFonts w:hint="eastAsia"/>
          <w:color w:val="000000" w:themeColor="text1"/>
          <w:sz w:val="20"/>
          <w:szCs w:val="20"/>
          <w14:textFill>
            <w14:solidFill>
              <w14:schemeClr w14:val="tx1"/>
            </w14:solidFill>
          </w14:textFill>
        </w:rPr>
        <w:t>1</w:t>
      </w:r>
      <w:r>
        <w:rPr>
          <w:rFonts w:hint="eastAsia"/>
          <w:color w:val="000000" w:themeColor="text1"/>
          <w:sz w:val="20"/>
          <w:szCs w:val="20"/>
          <w:lang w:eastAsia="zh"/>
          <w14:textFill>
            <w14:solidFill>
              <w14:schemeClr w14:val="tx1"/>
            </w14:solidFill>
          </w14:textFill>
        </w:rPr>
        <w:t>：</w:t>
      </w:r>
      <w:r>
        <w:rPr>
          <w:rFonts w:hint="eastAsia"/>
          <w:color w:val="000000" w:themeColor="text1"/>
          <w:sz w:val="20"/>
          <w:szCs w:val="20"/>
          <w14:textFill>
            <w14:solidFill>
              <w14:schemeClr w14:val="tx1"/>
            </w14:solidFill>
          </w14:textFill>
        </w:rPr>
        <w:t>提出的</w:t>
      </w:r>
      <w:r>
        <w:rPr>
          <w:rFonts w:hint="eastAsia"/>
          <w:color w:val="000000" w:themeColor="text1"/>
          <w:sz w:val="20"/>
          <w:szCs w:val="20"/>
          <w:lang w:eastAsia="zh"/>
          <w14:textFill>
            <w14:solidFill>
              <w14:schemeClr w14:val="tx1"/>
            </w14:solidFill>
          </w14:textFill>
        </w:rPr>
        <w:t>APT-CTIA在多个威胁情报数据集上的整体性能如何？相较于现有APT归因方法是否具有显著优势？</w:t>
      </w:r>
      <w:r>
        <w:rPr>
          <w:rFonts w:hint="eastAsia"/>
          <w:color w:val="000000" w:themeColor="text1"/>
          <w:sz w:val="20"/>
          <w:szCs w:val="20"/>
          <w:highlight w:val="cyan"/>
          <w14:textFill>
            <w14:solidFill>
              <w14:schemeClr w14:val="tx1"/>
            </w14:solidFill>
          </w14:textFill>
        </w:rPr>
        <w:t>【这边的实验全面衡量各对比模型的检测性能、时间消耗、内存占用等，也看一下各方法的稳定性】</w:t>
      </w:r>
    </w:p>
    <w:p w14:paraId="104ED018">
      <w:pPr>
        <w:pStyle w:val="7"/>
        <w:spacing w:after="60" w:line="240" w:lineRule="auto"/>
        <w:ind w:firstLine="400"/>
        <w:rPr>
          <w:color w:val="000000" w:themeColor="text1"/>
          <w:sz w:val="20"/>
          <w:szCs w:val="20"/>
          <w:lang w:eastAsia="zh"/>
          <w14:textFill>
            <w14:solidFill>
              <w14:schemeClr w14:val="tx1"/>
            </w14:solidFill>
          </w14:textFill>
        </w:rPr>
      </w:pPr>
      <w:r>
        <w:rPr>
          <w:rFonts w:hint="eastAsia"/>
          <w:color w:val="000000" w:themeColor="text1"/>
          <w:sz w:val="20"/>
          <w:szCs w:val="20"/>
          <w:lang w:eastAsia="zh"/>
          <w14:textFill>
            <w14:solidFill>
              <w14:schemeClr w14:val="tx1"/>
            </w14:solidFill>
          </w14:textFill>
        </w:rPr>
        <w:t>RQ</w:t>
      </w:r>
      <w:r>
        <w:rPr>
          <w:rFonts w:hint="eastAsia"/>
          <w:color w:val="000000" w:themeColor="text1"/>
          <w:sz w:val="20"/>
          <w:szCs w:val="20"/>
          <w14:textFill>
            <w14:solidFill>
              <w14:schemeClr w14:val="tx1"/>
            </w14:solidFill>
          </w14:textFill>
        </w:rPr>
        <w:t>2</w:t>
      </w:r>
      <w:r>
        <w:rPr>
          <w:rFonts w:hint="eastAsia"/>
          <w:color w:val="000000" w:themeColor="text1"/>
          <w:sz w:val="20"/>
          <w:szCs w:val="20"/>
          <w:lang w:eastAsia="zh"/>
          <w14:textFill>
            <w14:solidFill>
              <w14:schemeClr w14:val="tx1"/>
            </w14:solidFill>
          </w14:textFill>
        </w:rPr>
        <w:t>：</w:t>
      </w:r>
      <w:r>
        <w:rPr>
          <w:rFonts w:hint="eastAsia"/>
          <w:color w:val="000000" w:themeColor="text1"/>
          <w:sz w:val="20"/>
          <w:szCs w:val="20"/>
          <w14:textFill>
            <w14:solidFill>
              <w14:schemeClr w14:val="tx1"/>
            </w14:solidFill>
          </w14:textFill>
        </w:rPr>
        <w:t>提出的</w:t>
      </w:r>
      <w:r>
        <w:rPr>
          <w:rFonts w:hint="eastAsia"/>
          <w:color w:val="000000" w:themeColor="text1"/>
          <w:sz w:val="20"/>
          <w:szCs w:val="20"/>
          <w:lang w:eastAsia="zh"/>
          <w14:textFill>
            <w14:solidFill>
              <w14:schemeClr w14:val="tx1"/>
            </w14:solidFill>
          </w14:textFill>
        </w:rPr>
        <w:t>APT-CTIA</w:t>
      </w:r>
      <w:r>
        <w:rPr>
          <w:rFonts w:hint="eastAsia"/>
          <w:color w:val="000000" w:themeColor="text1"/>
          <w:sz w:val="20"/>
          <w:szCs w:val="20"/>
          <w14:textFill>
            <w14:solidFill>
              <w14:schemeClr w14:val="tx1"/>
            </w14:solidFill>
          </w14:textFill>
        </w:rPr>
        <w:t>模型中的</w:t>
      </w:r>
      <w:r>
        <w:rPr>
          <w:rFonts w:hint="eastAsia"/>
          <w:color w:val="000000" w:themeColor="text1"/>
          <w:sz w:val="20"/>
          <w:szCs w:val="20"/>
          <w:lang w:eastAsia="zh"/>
          <w14:textFill>
            <w14:solidFill>
              <w14:schemeClr w14:val="tx1"/>
            </w14:solidFill>
          </w14:textFill>
        </w:rPr>
        <w:t>各核心模块对整体性能的贡献如何？不同模块的消融对性能影响程度如何？</w:t>
      </w:r>
    </w:p>
    <w:p w14:paraId="529A6941">
      <w:pPr>
        <w:pStyle w:val="7"/>
        <w:spacing w:after="60" w:line="240" w:lineRule="auto"/>
        <w:ind w:firstLine="400"/>
        <w:rPr>
          <w:color w:val="000000" w:themeColor="text1"/>
          <w:sz w:val="20"/>
          <w:szCs w:val="20"/>
          <w:lang w:eastAsia="zh"/>
          <w14:textFill>
            <w14:solidFill>
              <w14:schemeClr w14:val="tx1"/>
            </w14:solidFill>
          </w14:textFill>
        </w:rPr>
      </w:pPr>
      <w:r>
        <w:rPr>
          <w:rFonts w:hint="eastAsia"/>
          <w:color w:val="000000" w:themeColor="text1"/>
          <w:sz w:val="20"/>
          <w:szCs w:val="20"/>
          <w:lang w:eastAsia="zh"/>
          <w14:textFill>
            <w14:solidFill>
              <w14:schemeClr w14:val="tx1"/>
            </w14:solidFill>
          </w14:textFill>
        </w:rPr>
        <w:t>RQ</w:t>
      </w:r>
      <w:r>
        <w:rPr>
          <w:rFonts w:hint="eastAsia"/>
          <w:color w:val="000000" w:themeColor="text1"/>
          <w:sz w:val="20"/>
          <w:szCs w:val="20"/>
          <w14:textFill>
            <w14:solidFill>
              <w14:schemeClr w14:val="tx1"/>
            </w14:solidFill>
          </w14:textFill>
        </w:rPr>
        <w:t>3</w:t>
      </w:r>
      <w:r>
        <w:rPr>
          <w:rFonts w:hint="eastAsia"/>
          <w:color w:val="000000" w:themeColor="text1"/>
          <w:sz w:val="20"/>
          <w:szCs w:val="20"/>
          <w:lang w:eastAsia="zh"/>
          <w14:textFill>
            <w14:solidFill>
              <w14:schemeClr w14:val="tx1"/>
            </w14:solidFill>
          </w14:textFill>
        </w:rPr>
        <w:t>：</w:t>
      </w:r>
      <w:r>
        <w:rPr>
          <w:rFonts w:hint="eastAsia"/>
          <w:color w:val="000000" w:themeColor="text1"/>
          <w:sz w:val="20"/>
          <w:szCs w:val="20"/>
          <w14:textFill>
            <w14:solidFill>
              <w14:schemeClr w14:val="tx1"/>
            </w14:solidFill>
          </w14:textFill>
        </w:rPr>
        <w:t>提出的</w:t>
      </w:r>
      <w:r>
        <w:rPr>
          <w:rFonts w:hint="eastAsia"/>
          <w:color w:val="000000" w:themeColor="text1"/>
          <w:sz w:val="20"/>
          <w:szCs w:val="20"/>
          <w:lang w:eastAsia="zh"/>
          <w14:textFill>
            <w14:solidFill>
              <w14:schemeClr w14:val="tx1"/>
            </w14:solidFill>
          </w14:textFill>
        </w:rPr>
        <w:t>多阶段实体建模方法是否优于现有预处理方法，</w:t>
      </w:r>
      <w:r>
        <w:rPr>
          <w:rFonts w:hint="eastAsia"/>
          <w:color w:val="000000" w:themeColor="text1"/>
          <w:sz w:val="20"/>
          <w:szCs w:val="20"/>
          <w14:textFill>
            <w14:solidFill>
              <w14:schemeClr w14:val="tx1"/>
            </w14:solidFill>
          </w14:textFill>
        </w:rPr>
        <w:t>是否</w:t>
      </w:r>
      <w:r>
        <w:rPr>
          <w:rFonts w:hint="eastAsia"/>
          <w:color w:val="000000" w:themeColor="text1"/>
          <w:sz w:val="20"/>
          <w:szCs w:val="20"/>
          <w:lang w:eastAsia="zh"/>
          <w14:textFill>
            <w14:solidFill>
              <w14:schemeClr w14:val="tx1"/>
            </w14:solidFill>
          </w14:textFill>
        </w:rPr>
        <w:t>能够提升实体识别精度与节点表示质量？</w:t>
      </w:r>
    </w:p>
    <w:p w14:paraId="6948DC6F">
      <w:pPr>
        <w:pStyle w:val="7"/>
        <w:spacing w:after="60" w:line="240" w:lineRule="auto"/>
        <w:ind w:firstLine="400"/>
        <w:rPr>
          <w:color w:val="000000" w:themeColor="text1"/>
          <w:sz w:val="20"/>
          <w:szCs w:val="20"/>
          <w:lang w:eastAsia="zh"/>
          <w14:textFill>
            <w14:solidFill>
              <w14:schemeClr w14:val="tx1"/>
            </w14:solidFill>
          </w14:textFill>
        </w:rPr>
      </w:pPr>
      <w:r>
        <w:rPr>
          <w:rFonts w:hint="eastAsia"/>
          <w:color w:val="000000" w:themeColor="text1"/>
          <w:sz w:val="20"/>
          <w:szCs w:val="20"/>
          <w:lang w:eastAsia="zh"/>
          <w14:textFill>
            <w14:solidFill>
              <w14:schemeClr w14:val="tx1"/>
            </w14:solidFill>
          </w14:textFill>
        </w:rPr>
        <w:t>RQ</w:t>
      </w:r>
      <w:r>
        <w:rPr>
          <w:rFonts w:hint="eastAsia"/>
          <w:color w:val="000000" w:themeColor="text1"/>
          <w:sz w:val="20"/>
          <w:szCs w:val="20"/>
          <w14:textFill>
            <w14:solidFill>
              <w14:schemeClr w14:val="tx1"/>
            </w14:solidFill>
          </w14:textFill>
        </w:rPr>
        <w:t>4</w:t>
      </w:r>
      <w:r>
        <w:rPr>
          <w:rFonts w:hint="eastAsia"/>
          <w:color w:val="000000" w:themeColor="text1"/>
          <w:sz w:val="20"/>
          <w:szCs w:val="20"/>
          <w:lang w:eastAsia="zh"/>
          <w14:textFill>
            <w14:solidFill>
              <w14:schemeClr w14:val="tx1"/>
            </w14:solidFill>
          </w14:textFill>
        </w:rPr>
        <w:t>：</w:t>
      </w:r>
      <w:r>
        <w:rPr>
          <w:rFonts w:hint="eastAsia"/>
          <w:color w:val="000000" w:themeColor="text1"/>
          <w:sz w:val="20"/>
          <w:szCs w:val="20"/>
          <w14:textFill>
            <w14:solidFill>
              <w14:schemeClr w14:val="tx1"/>
            </w14:solidFill>
          </w14:textFill>
        </w:rPr>
        <w:t>提出的</w:t>
      </w:r>
      <w:r>
        <w:rPr>
          <w:rFonts w:hint="eastAsia"/>
          <w:color w:val="000000" w:themeColor="text1"/>
          <w:sz w:val="20"/>
          <w:szCs w:val="20"/>
          <w:lang w:eastAsia="zh"/>
          <w14:textFill>
            <w14:solidFill>
              <w14:schemeClr w14:val="tx1"/>
            </w14:solidFill>
          </w14:textFill>
        </w:rPr>
        <w:t>多层次异构图构建方法相较于典型图构建策略（如段落共现图、滑动窗口共现图及知识图谱增强方法）是否能够提升APT归因性能？</w:t>
      </w:r>
    </w:p>
    <w:p w14:paraId="68BD0534">
      <w:pPr>
        <w:pStyle w:val="7"/>
        <w:spacing w:after="60" w:line="240" w:lineRule="auto"/>
        <w:ind w:firstLine="400"/>
        <w:rPr>
          <w:color w:val="000000" w:themeColor="text1"/>
          <w:sz w:val="20"/>
          <w:szCs w:val="20"/>
          <w:lang w:eastAsia="zh"/>
          <w14:textFill>
            <w14:solidFill>
              <w14:schemeClr w14:val="tx1"/>
            </w14:solidFill>
          </w14:textFill>
        </w:rPr>
      </w:pPr>
      <w:r>
        <w:rPr>
          <w:rFonts w:hint="eastAsia"/>
          <w:color w:val="000000" w:themeColor="text1"/>
          <w:sz w:val="20"/>
          <w:szCs w:val="20"/>
          <w:lang w:eastAsia="zh"/>
          <w14:textFill>
            <w14:solidFill>
              <w14:schemeClr w14:val="tx1"/>
            </w14:solidFill>
          </w14:textFill>
        </w:rPr>
        <w:t>RQ</w:t>
      </w:r>
      <w:r>
        <w:rPr>
          <w:rFonts w:hint="eastAsia"/>
          <w:color w:val="000000" w:themeColor="text1"/>
          <w:sz w:val="20"/>
          <w:szCs w:val="20"/>
          <w14:textFill>
            <w14:solidFill>
              <w14:schemeClr w14:val="tx1"/>
            </w14:solidFill>
          </w14:textFill>
        </w:rPr>
        <w:t>5</w:t>
      </w:r>
      <w:r>
        <w:rPr>
          <w:rFonts w:hint="eastAsia"/>
          <w:color w:val="000000" w:themeColor="text1"/>
          <w:sz w:val="20"/>
          <w:szCs w:val="20"/>
          <w:lang w:eastAsia="zh"/>
          <w14:textFill>
            <w14:solidFill>
              <w14:schemeClr w14:val="tx1"/>
            </w14:solidFill>
          </w14:textFill>
        </w:rPr>
        <w:t>：</w:t>
      </w:r>
      <w:r>
        <w:rPr>
          <w:rFonts w:hint="eastAsia"/>
          <w:color w:val="000000" w:themeColor="text1"/>
          <w:sz w:val="20"/>
          <w:szCs w:val="20"/>
          <w14:textFill>
            <w14:solidFill>
              <w14:schemeClr w14:val="tx1"/>
            </w14:solidFill>
          </w14:textFill>
        </w:rPr>
        <w:t>提出的</w:t>
      </w:r>
      <w:r>
        <w:rPr>
          <w:rFonts w:hint="eastAsia"/>
          <w:color w:val="000000" w:themeColor="text1"/>
          <w:sz w:val="20"/>
          <w:szCs w:val="20"/>
          <w:lang w:eastAsia="zh"/>
          <w14:textFill>
            <w14:solidFill>
              <w14:schemeClr w14:val="tx1"/>
            </w14:solidFill>
          </w14:textFill>
        </w:rPr>
        <w:t>双流GNN架构相较于单一图神经网络模型，是否能够更有效融合语义信息与结构信息</w:t>
      </w:r>
      <w:r>
        <w:rPr>
          <w:rFonts w:hint="eastAsia"/>
          <w:color w:val="000000" w:themeColor="text1"/>
          <w:sz w:val="20"/>
          <w:szCs w:val="20"/>
          <w14:textFill>
            <w14:solidFill>
              <w14:schemeClr w14:val="tx1"/>
            </w14:solidFill>
          </w14:textFill>
        </w:rPr>
        <w:t>以</w:t>
      </w:r>
      <w:r>
        <w:rPr>
          <w:rFonts w:hint="eastAsia"/>
          <w:color w:val="000000" w:themeColor="text1"/>
          <w:sz w:val="20"/>
          <w:szCs w:val="20"/>
          <w:lang w:eastAsia="zh"/>
          <w14:textFill>
            <w14:solidFill>
              <w14:schemeClr w14:val="tx1"/>
            </w14:solidFill>
          </w14:textFill>
        </w:rPr>
        <w:t>提升归因效果？</w:t>
      </w:r>
    </w:p>
    <w:p w14:paraId="27DD8324">
      <w:pPr>
        <w:pStyle w:val="7"/>
        <w:spacing w:after="60" w:line="240" w:lineRule="auto"/>
        <w:ind w:firstLine="400"/>
        <w:rPr>
          <w:color w:val="000000" w:themeColor="text1"/>
          <w:sz w:val="20"/>
          <w:szCs w:val="20"/>
          <w:lang w:eastAsia="zh"/>
          <w14:textFill>
            <w14:solidFill>
              <w14:schemeClr w14:val="tx1"/>
            </w14:solidFill>
          </w14:textFill>
        </w:rPr>
      </w:pPr>
      <w:r>
        <w:rPr>
          <w:rFonts w:hint="eastAsia"/>
          <w:color w:val="000000" w:themeColor="text1"/>
          <w:sz w:val="20"/>
          <w:szCs w:val="20"/>
          <w:lang w:eastAsia="zh"/>
          <w14:textFill>
            <w14:solidFill>
              <w14:schemeClr w14:val="tx1"/>
            </w14:solidFill>
          </w14:textFill>
        </w:rPr>
        <w:t>上述研究问题分别对应模型设计的关键组成部分。RQ1从整体层面对模型进行跨数据集评估，并与现有方法进行对比验证</w:t>
      </w:r>
      <w:r>
        <w:rPr>
          <w:rFonts w:hint="eastAsia"/>
          <w:color w:val="000000" w:themeColor="text1"/>
          <w:sz w:val="20"/>
          <w:szCs w:val="20"/>
          <w14:textFill>
            <w14:solidFill>
              <w14:schemeClr w14:val="tx1"/>
            </w14:solidFill>
          </w14:textFill>
        </w:rPr>
        <w:t>；RQ2</w:t>
      </w:r>
      <w:r>
        <w:rPr>
          <w:rFonts w:hint="eastAsia"/>
          <w:color w:val="000000" w:themeColor="text1"/>
          <w:sz w:val="20"/>
          <w:szCs w:val="20"/>
          <w:lang w:eastAsia="zh"/>
          <w14:textFill>
            <w14:solidFill>
              <w14:schemeClr w14:val="tx1"/>
            </w14:solidFill>
          </w14:textFill>
        </w:rPr>
        <w:t>通过消融实验量化各模块贡献；</w:t>
      </w:r>
      <w:r>
        <w:rPr>
          <w:rFonts w:hint="eastAsia"/>
          <w:color w:val="000000" w:themeColor="text1"/>
          <w:sz w:val="20"/>
          <w:szCs w:val="20"/>
          <w14:textFill>
            <w14:solidFill>
              <w14:schemeClr w14:val="tx1"/>
            </w14:solidFill>
          </w14:textFill>
        </w:rPr>
        <w:t>RQ3</w:t>
      </w:r>
      <w:r>
        <w:rPr>
          <w:rFonts w:hint="eastAsia"/>
          <w:color w:val="000000" w:themeColor="text1"/>
          <w:sz w:val="20"/>
          <w:szCs w:val="20"/>
          <w:lang w:eastAsia="zh"/>
          <w14:textFill>
            <w14:solidFill>
              <w14:schemeClr w14:val="tx1"/>
            </w14:solidFill>
          </w14:textFill>
        </w:rPr>
        <w:t>关注多阶段实体建模对输入质量的影响；RQ</w:t>
      </w:r>
      <w:r>
        <w:rPr>
          <w:rFonts w:hint="eastAsia"/>
          <w:color w:val="000000" w:themeColor="text1"/>
          <w:sz w:val="20"/>
          <w:szCs w:val="20"/>
          <w14:textFill>
            <w14:solidFill>
              <w14:schemeClr w14:val="tx1"/>
            </w14:solidFill>
          </w14:textFill>
        </w:rPr>
        <w:t>4</w:t>
      </w:r>
      <w:r>
        <w:rPr>
          <w:rFonts w:hint="eastAsia"/>
          <w:color w:val="000000" w:themeColor="text1"/>
          <w:sz w:val="20"/>
          <w:szCs w:val="20"/>
          <w:lang w:eastAsia="zh"/>
          <w14:textFill>
            <w14:solidFill>
              <w14:schemeClr w14:val="tx1"/>
            </w14:solidFill>
          </w14:textFill>
        </w:rPr>
        <w:t>评估图结构建模策略对关系表达能力的贡献；RQ</w:t>
      </w:r>
      <w:r>
        <w:rPr>
          <w:rFonts w:hint="eastAsia"/>
          <w:color w:val="000000" w:themeColor="text1"/>
          <w:sz w:val="20"/>
          <w:szCs w:val="20"/>
          <w14:textFill>
            <w14:solidFill>
              <w14:schemeClr w14:val="tx1"/>
            </w14:solidFill>
          </w14:textFill>
        </w:rPr>
        <w:t>5</w:t>
      </w:r>
      <w:r>
        <w:rPr>
          <w:rFonts w:hint="eastAsia"/>
          <w:color w:val="000000" w:themeColor="text1"/>
          <w:sz w:val="20"/>
          <w:szCs w:val="20"/>
          <w:lang w:eastAsia="zh"/>
          <w14:textFill>
            <w14:solidFill>
              <w14:schemeClr w14:val="tx1"/>
            </w14:solidFill>
          </w14:textFill>
        </w:rPr>
        <w:t>分析双流GNN在语义</w:t>
      </w:r>
      <w:r>
        <w:rPr>
          <w:rFonts w:hint="eastAsia"/>
          <w:color w:val="000000" w:themeColor="text1"/>
          <w:sz w:val="20"/>
          <w:szCs w:val="20"/>
          <w14:textFill>
            <w14:solidFill>
              <w14:schemeClr w14:val="tx1"/>
            </w14:solidFill>
          </w14:textFill>
        </w:rPr>
        <w:t>-</w:t>
      </w:r>
      <w:r>
        <w:rPr>
          <w:rFonts w:hint="eastAsia"/>
          <w:color w:val="000000" w:themeColor="text1"/>
          <w:sz w:val="20"/>
          <w:szCs w:val="20"/>
          <w:lang w:eastAsia="zh"/>
          <w14:textFill>
            <w14:solidFill>
              <w14:schemeClr w14:val="tx1"/>
            </w14:solidFill>
          </w14:textFill>
        </w:rPr>
        <w:t>结构协同建模中的有效性。</w:t>
      </w:r>
    </w:p>
    <w:p w14:paraId="4D48A366">
      <w:pPr>
        <w:pStyle w:val="7"/>
        <w:spacing w:line="180" w:lineRule="auto"/>
        <w:ind w:firstLine="400"/>
        <w:rPr>
          <w:color w:val="000000" w:themeColor="text1"/>
          <w:sz w:val="20"/>
          <w:szCs w:val="20"/>
          <w14:textFill>
            <w14:solidFill>
              <w14:schemeClr w14:val="tx1"/>
            </w14:solidFill>
          </w14:textFill>
        </w:rPr>
      </w:pPr>
      <w:r>
        <w:rPr>
          <w:rFonts w:hint="eastAsia"/>
          <w:color w:val="000000" w:themeColor="text1"/>
          <w:sz w:val="20"/>
          <w:szCs w:val="20"/>
          <w14:textFill>
            <w14:solidFill>
              <w14:schemeClr w14:val="tx1"/>
            </w14:solidFill>
          </w14:textFill>
        </w:rPr>
        <w:t>为降低实验结果的随机性影响，所有实验均在不同随机种子下独立运行20次，并报告平均值与标准差（mean±std）。其中，“±”前为均值，“±”后为标准差。为验证性能提升的统计显著性，本文采用配对t检验（paired t-test），显著性水平设定为</w:t>
      </w:r>
      <w:r>
        <w:rPr>
          <w:i/>
          <w:iCs/>
          <w:color w:val="000000" w:themeColor="text1"/>
          <w:sz w:val="20"/>
          <w:szCs w:val="20"/>
          <w14:textFill>
            <w14:solidFill>
              <w14:schemeClr w14:val="tx1"/>
            </w14:solidFill>
          </w14:textFill>
        </w:rPr>
        <w:t>α</w:t>
      </w:r>
      <w:r>
        <w:rPr>
          <w:rFonts w:hint="eastAsia"/>
          <w:color w:val="000000" w:themeColor="text1"/>
          <w:sz w:val="20"/>
          <w:szCs w:val="20"/>
          <w14:textFill>
            <w14:solidFill>
              <w14:schemeClr w14:val="tx1"/>
            </w14:solidFill>
          </w14:textFill>
        </w:rPr>
        <w:t>=0.05。</w:t>
      </w:r>
    </w:p>
    <w:p w14:paraId="07030A16">
      <w:pPr>
        <w:pStyle w:val="2"/>
        <w:keepNext/>
        <w:spacing w:before="360" w:after="120"/>
        <w:jc w:val="both"/>
        <w:rPr>
          <w:sz w:val="24"/>
          <w:szCs w:val="24"/>
          <w:lang w:eastAsia="zh"/>
        </w:rPr>
      </w:pPr>
      <w:r>
        <w:rPr>
          <w:sz w:val="24"/>
          <w:szCs w:val="24"/>
          <w:lang w:eastAsia="zh"/>
        </w:rPr>
        <w:t>6.</w:t>
      </w:r>
      <w:r>
        <w:rPr>
          <w:rFonts w:hint="eastAsia"/>
          <w:sz w:val="24"/>
          <w:szCs w:val="24"/>
        </w:rPr>
        <w:t xml:space="preserve"> </w:t>
      </w:r>
      <w:r>
        <w:rPr>
          <w:sz w:val="24"/>
          <w:szCs w:val="24"/>
          <w:lang w:eastAsia="zh"/>
        </w:rPr>
        <w:t>总结与未来工作</w:t>
      </w:r>
    </w:p>
    <w:p w14:paraId="01DBB753">
      <w:pPr>
        <w:pStyle w:val="7"/>
        <w:spacing w:after="60" w:line="240" w:lineRule="auto"/>
        <w:ind w:firstLine="400"/>
        <w:rPr>
          <w:color w:val="000000" w:themeColor="text1"/>
          <w:sz w:val="20"/>
          <w:szCs w:val="20"/>
          <w:lang w:eastAsia="zh"/>
          <w14:textFill>
            <w14:solidFill>
              <w14:schemeClr w14:val="tx1"/>
            </w14:solidFill>
          </w14:textFill>
        </w:rPr>
      </w:pPr>
      <w:r>
        <w:rPr>
          <w:rFonts w:hint="eastAsia"/>
          <w:color w:val="000000" w:themeColor="text1"/>
          <w:sz w:val="20"/>
          <w:szCs w:val="20"/>
          <w:lang w:eastAsia="zh"/>
          <w14:textFill>
            <w14:solidFill>
              <w14:schemeClr w14:val="tx1"/>
            </w14:solidFill>
          </w14:textFill>
        </w:rPr>
        <w:t>随着网络空间攻击在规模、频率与复杂性上的持续升级，高级持续性威胁因其长期潜伏、多阶段协同与强对抗性，已成为当前最具破坏性的攻击范式。APT攻击通常面向关键基础设施与高价值目标，综合利用零日漏洞、供应链攻击及社会工程等技术手段，显著增加了溯源与归因难度。因此，构建具备高表达能力、良好泛化性与可解释性的APT归因模型，已成为网络安全领域的关键问题。针对现有方法在异构实体建模不足、关系稀疏导致结构过拟合以及语义与结构信息融合失衡等方面的局限，本文提出APT-CTIA框架。该方法基于异构图学习，实现从原始威胁情报到归因结果的端到端建模，并在统一框架下协同优化表示学习与关系建模。</w:t>
      </w:r>
    </w:p>
    <w:p w14:paraId="3AD1B253">
      <w:pPr>
        <w:pStyle w:val="7"/>
        <w:spacing w:after="60" w:line="240" w:lineRule="auto"/>
        <w:ind w:firstLine="400"/>
        <w:rPr>
          <w:color w:val="000000" w:themeColor="text1"/>
          <w:sz w:val="20"/>
          <w:szCs w:val="20"/>
          <w:lang w:eastAsia="zh"/>
          <w14:textFill>
            <w14:solidFill>
              <w14:schemeClr w14:val="tx1"/>
            </w14:solidFill>
          </w14:textFill>
        </w:rPr>
      </w:pPr>
      <w:r>
        <w:rPr>
          <w:rFonts w:hint="eastAsia"/>
          <w:color w:val="000000" w:themeColor="text1"/>
          <w:sz w:val="20"/>
          <w:szCs w:val="20"/>
          <w:lang w:eastAsia="zh"/>
          <w14:textFill>
            <w14:solidFill>
              <w14:schemeClr w14:val="tx1"/>
            </w14:solidFill>
          </w14:textFill>
        </w:rPr>
        <w:t>具体而言，本文首先提出多阶段实体建模方法。通过级联回退解析与语义一致性分割，统一多源威胁报告中的实体边界；构建三级级联实体识别框架，融合结构化指标提取、上下文感知过滤与跨实体消解，实现异构实体的统一建模；进一步设计多粒度特征表示，将离散结构特征与语义嵌入进行融合，从而提升节点表示的一致性与判别能力。在此基础上，本文构建多层次异构图结构。通过联合建模局部共现关系、跨段落桥接关系、语义类型约束、全局语义传播以及结构补全关系，实现跨阶段攻击行为的显式表达，缓解信息孤立问题。进一步结合关系类型映射与基分解参数化机制，在降低关系空间复杂度的同时实现跨关系参数共享，从而提升稀疏关系场景下的泛化能力与学习稳定性。为充分融合语义信息与结构信息，本文设计双流图神经网络归因模型。语义流基于GATv2建模节点间语义相关性，结构流基于RGCN刻画多关系拓扑约束，并通过可学习门控机制实现两类表示的自适应融合，以缓解信息冲突并增强判别能力。最终，通过全局注意力池化生成图级表示并完成归因预测。实验结果表明，APT-CTIA在多个数据集上均取得稳定且优越的性能，在准确率、F1分数及方差等指标上均优于现有方法，尤其在稀疏关系与长尾分布场景下表现出更强的泛化能力。这些结果验证了本文在异构建模、关系共享及语义</w:t>
      </w:r>
      <w:r>
        <w:rPr>
          <w:rFonts w:hint="eastAsia"/>
          <w:color w:val="000000" w:themeColor="text1"/>
          <w:sz w:val="20"/>
          <w:szCs w:val="20"/>
          <w14:textFill>
            <w14:solidFill>
              <w14:schemeClr w14:val="tx1"/>
            </w14:solidFill>
          </w14:textFill>
        </w:rPr>
        <w:t>-</w:t>
      </w:r>
      <w:r>
        <w:rPr>
          <w:rFonts w:hint="eastAsia"/>
          <w:color w:val="000000" w:themeColor="text1"/>
          <w:sz w:val="20"/>
          <w:szCs w:val="20"/>
          <w:lang w:eastAsia="zh"/>
          <w14:textFill>
            <w14:solidFill>
              <w14:schemeClr w14:val="tx1"/>
            </w14:solidFill>
          </w14:textFill>
        </w:rPr>
        <w:t>结构协同建模方面的设计有效性，通过多阶段实体建模、多层次结构建模与双流表示学习的协同设计并结合参数共享机制，可以在表达能力与泛化能力之间取得有效平衡，从而提升复杂APT归因任务的整体性能。</w:t>
      </w:r>
    </w:p>
    <w:p w14:paraId="061752EA">
      <w:pPr>
        <w:pStyle w:val="7"/>
        <w:spacing w:after="60" w:line="240" w:lineRule="auto"/>
        <w:ind w:firstLine="400"/>
        <w:rPr>
          <w:color w:val="000000" w:themeColor="text1"/>
          <w:sz w:val="20"/>
          <w:szCs w:val="20"/>
          <w:lang w:eastAsia="zh"/>
          <w14:textFill>
            <w14:solidFill>
              <w14:schemeClr w14:val="tx1"/>
            </w14:solidFill>
          </w14:textFill>
        </w:rPr>
      </w:pPr>
      <w:r>
        <w:rPr>
          <w:color w:val="000000" w:themeColor="text1"/>
          <w:sz w:val="20"/>
          <w:szCs w:val="20"/>
          <w:lang w:eastAsia="zh"/>
          <w14:textFill>
            <w14:solidFill>
              <w14:schemeClr w14:val="tx1"/>
            </w14:solidFill>
          </w14:textFill>
        </w:rPr>
        <w:t>尽管取得了上述进展，本文仍存在一定局限。首先，模型性能对关键超参数仍存在敏感性，缺乏系统性的鲁棒性分析；其次，当前方法主要基于文本情报构建，尚未充分融合图像、网络流量等多模态信息；再次，实验数据规模与APT类别覆盖仍有限，可能影响对模型泛化能力的全面评估。未来工作将围绕以下方向展开：一是探索多模态威胁情报融合方法，构建统一表示空间以提升归因鲁棒性；二是设计高效的图构建与推理机制，以支持实时或近实时APT归因；三是构建大规模、多类别的APT数据集，以提升模型训练与评估的可靠性。</w:t>
      </w:r>
    </w:p>
    <w:bookmarkEnd w:id="10"/>
    <w:p w14:paraId="07FE70D2">
      <w:pPr>
        <w:rPr>
          <w:highlight w:val="cyan"/>
        </w:rPr>
      </w:pPr>
    </w:p>
    <w:p w14:paraId="39287A0B">
      <w:pPr>
        <w:pStyle w:val="2"/>
        <w:keepNext/>
        <w:spacing w:before="360" w:after="120"/>
        <w:jc w:val="both"/>
        <w:rPr>
          <w:sz w:val="24"/>
          <w:szCs w:val="24"/>
          <w:lang w:eastAsia="zh"/>
        </w:rPr>
      </w:pPr>
      <w:r>
        <w:rPr>
          <w:rFonts w:hint="eastAsia"/>
          <w:sz w:val="24"/>
          <w:szCs w:val="24"/>
          <w:lang w:eastAsia="zh"/>
        </w:rPr>
        <w:t>参考文献：</w:t>
      </w:r>
    </w:p>
    <w:p w14:paraId="55979B21">
      <w:pPr>
        <w:spacing w:after="60"/>
        <w:rPr>
          <w:sz w:val="20"/>
          <w:szCs w:val="20"/>
        </w:rPr>
      </w:pPr>
      <w:r>
        <w:rPr>
          <w:sz w:val="20"/>
          <w:szCs w:val="20"/>
          <w:lang w:bidi="ar"/>
        </w:rPr>
        <w:t>[1] Bilot, T., et al. "Graph Neural Networks for Intrusion Detection: A Survey." IEEE Access, vol. 11, 2023, pp. 49114-39. IEEE Xplore, doi:10.1109/ACCESS.2023.3275789.</w:t>
      </w:r>
    </w:p>
    <w:p w14:paraId="49A02CA6">
      <w:pPr>
        <w:spacing w:after="60"/>
        <w:rPr>
          <w:sz w:val="20"/>
          <w:szCs w:val="20"/>
          <w:lang w:eastAsia="zh"/>
        </w:rPr>
      </w:pPr>
      <w:r>
        <w:rPr>
          <w:sz w:val="20"/>
          <w:szCs w:val="20"/>
          <w:lang w:bidi="ar"/>
        </w:rPr>
        <w:t>[2] Mutalib, N. H. A., et al. "Explainable Deep Learning Approach for Advanced Persistent Threats (APTs) Detection in Cybersecurity: A Review." Artificial Intelligence Review, vol. 57, no. 11, 2024, pp. 297-343. Springer, doi:10.1007/s10462-024-10823-9.</w:t>
      </w:r>
    </w:p>
    <w:p w14:paraId="59F85CB2">
      <w:pPr>
        <w:spacing w:after="60"/>
        <w:rPr>
          <w:sz w:val="20"/>
          <w:szCs w:val="20"/>
        </w:rPr>
      </w:pPr>
      <w:r>
        <w:rPr>
          <w:sz w:val="20"/>
          <w:szCs w:val="20"/>
          <w:lang w:bidi="ar"/>
        </w:rPr>
        <w:t>[3] Cai, S., et al. "APT-ATT: An Efficient APT Attribution Model Based on Heterogeneous Threat Intelligence Representation and CTGAN." Computer Networks, vol. 270, 2025, p. 111511. ScienceDirect, doi:10.1016/j.comnet.2025.111511.</w:t>
      </w:r>
    </w:p>
    <w:p w14:paraId="2DE26E8B">
      <w:pPr>
        <w:spacing w:after="60"/>
        <w:rPr>
          <w:sz w:val="20"/>
          <w:szCs w:val="20"/>
        </w:rPr>
      </w:pPr>
      <w:r>
        <w:rPr>
          <w:sz w:val="20"/>
          <w:szCs w:val="20"/>
        </w:rPr>
        <w:t>[4]</w:t>
      </w:r>
      <w:r>
        <w:rPr>
          <w:rFonts w:hint="eastAsia"/>
          <w:sz w:val="20"/>
          <w:szCs w:val="20"/>
          <w:lang w:eastAsia="zh"/>
        </w:rPr>
        <w:t xml:space="preserve"> </w:t>
      </w:r>
      <w:r>
        <w:rPr>
          <w:sz w:val="20"/>
          <w:szCs w:val="20"/>
        </w:rPr>
        <w:t>Mead, A. J., and A. Arabo. "APT Attribution Using Heterogeneous Graph Neural Networks with Contextual Threat Intelligence." Electronics, vol. 14, no. 23, 2025, p. 4597. MDPI, doi:10.3390/electronics14234597.</w:t>
      </w:r>
    </w:p>
    <w:p w14:paraId="3749AE2A">
      <w:pPr>
        <w:spacing w:after="60"/>
        <w:rPr>
          <w:sz w:val="20"/>
          <w:szCs w:val="20"/>
        </w:rPr>
      </w:pPr>
      <w:r>
        <w:rPr>
          <w:sz w:val="20"/>
          <w:szCs w:val="20"/>
          <w:lang w:bidi="ar"/>
        </w:rPr>
        <w:t>[5] Yang, X. "CTI-Thinker: An LLM-Driven System for CTI Knowledge Graph Construction and Attack Reasoning." Cybersecurity, vol. 9, no. 1, 2026. Springer, doi:10.1186/s42400-025-00505-y.</w:t>
      </w:r>
    </w:p>
    <w:p w14:paraId="79A0E93D">
      <w:pPr>
        <w:spacing w:after="60"/>
        <w:rPr>
          <w:sz w:val="20"/>
          <w:szCs w:val="20"/>
        </w:rPr>
      </w:pPr>
      <w:r>
        <w:rPr>
          <w:sz w:val="20"/>
          <w:szCs w:val="20"/>
          <w:lang w:bidi="ar"/>
        </w:rPr>
        <w:t xml:space="preserve">[6] Tang, J., et al. "FALCON: Adaptive Cross-Domain APT Attack Investigation with Federated Causal Learning." Proceedings of the Forty-First Conference on Uncertainty in Artificial Intelligence, vol. 286, 2025, pp. 4113-31. PMLR, </w:t>
      </w:r>
      <w:r>
        <w:fldChar w:fldCharType="begin"/>
      </w:r>
      <w:r>
        <w:instrText xml:space="preserve"> HYPERLINK "https://proceedings.mlr.press/v286/tang25a.html" </w:instrText>
      </w:r>
      <w:r>
        <w:fldChar w:fldCharType="separate"/>
      </w:r>
      <w:r>
        <w:rPr>
          <w:rStyle w:val="16"/>
          <w:sz w:val="20"/>
          <w:szCs w:val="20"/>
        </w:rPr>
        <w:t>https://proceedings.mlr.press/v286/tang25a.html</w:t>
      </w:r>
      <w:r>
        <w:rPr>
          <w:rStyle w:val="16"/>
          <w:sz w:val="20"/>
          <w:szCs w:val="20"/>
        </w:rPr>
        <w:fldChar w:fldCharType="end"/>
      </w:r>
      <w:r>
        <w:rPr>
          <w:sz w:val="20"/>
          <w:szCs w:val="20"/>
          <w:lang w:bidi="ar"/>
        </w:rPr>
        <w:t>.</w:t>
      </w:r>
    </w:p>
    <w:p w14:paraId="638348B0">
      <w:pPr>
        <w:spacing w:after="60"/>
        <w:rPr>
          <w:sz w:val="20"/>
          <w:szCs w:val="20"/>
        </w:rPr>
      </w:pPr>
      <w:r>
        <w:rPr>
          <w:sz w:val="20"/>
          <w:szCs w:val="20"/>
          <w:lang w:bidi="ar"/>
        </w:rPr>
        <w:t>[7]</w:t>
      </w:r>
      <w:r>
        <w:rPr>
          <w:rFonts w:hint="eastAsia"/>
          <w:sz w:val="20"/>
          <w:szCs w:val="20"/>
          <w:lang w:eastAsia="zh" w:bidi="ar"/>
        </w:rPr>
        <w:t xml:space="preserve"> </w:t>
      </w:r>
      <w:r>
        <w:rPr>
          <w:sz w:val="20"/>
          <w:szCs w:val="20"/>
          <w:lang w:bidi="ar"/>
        </w:rPr>
        <w:t>Jumani, A., et al. "Automating Cyber Threat Intelligence Extraction Using Natural Language Processing Techniques." Kashf Journal of Multidisciplinary Research, vol. 2, no. 6, 2025, pp. 184-201. KJMR, doi:10.71146/kjmr498.</w:t>
      </w:r>
    </w:p>
    <w:p w14:paraId="09C72029">
      <w:pPr>
        <w:spacing w:after="60"/>
        <w:rPr>
          <w:sz w:val="20"/>
          <w:szCs w:val="20"/>
        </w:rPr>
      </w:pPr>
      <w:r>
        <w:rPr>
          <w:sz w:val="20"/>
          <w:szCs w:val="20"/>
          <w:lang w:bidi="ar"/>
        </w:rPr>
        <w:t>[8] Cai, Y., et al. "A Knowledge Extraction Framework on Cyber Threat Reports with Enhanced Security Profiles." 2025, pp. 326-36. ACM Digital Library, doi:10.1145/3726302.3729880.</w:t>
      </w:r>
    </w:p>
    <w:p w14:paraId="3AB21FD7">
      <w:pPr>
        <w:spacing w:after="60"/>
        <w:rPr>
          <w:sz w:val="20"/>
          <w:szCs w:val="20"/>
          <w:lang w:bidi="ar"/>
        </w:rPr>
      </w:pPr>
      <w:r>
        <w:rPr>
          <w:sz w:val="20"/>
          <w:szCs w:val="20"/>
          <w:lang w:bidi="ar"/>
        </w:rPr>
        <w:t>[9]</w:t>
      </w:r>
      <w:r>
        <w:rPr>
          <w:rFonts w:hint="eastAsia"/>
          <w:sz w:val="20"/>
          <w:szCs w:val="20"/>
          <w:lang w:eastAsia="zh" w:bidi="ar"/>
        </w:rPr>
        <w:t xml:space="preserve"> </w:t>
      </w:r>
      <w:r>
        <w:rPr>
          <w:rFonts w:hint="eastAsia" w:cs="宋体"/>
          <w:sz w:val="20"/>
          <w:szCs w:val="20"/>
          <w:lang w:bidi="ar"/>
        </w:rPr>
        <w:t>何厚翰</w:t>
      </w:r>
      <w:r>
        <w:rPr>
          <w:sz w:val="20"/>
          <w:szCs w:val="20"/>
          <w:lang w:bidi="ar"/>
        </w:rPr>
        <w:t>, et al. "</w:t>
      </w:r>
      <w:r>
        <w:rPr>
          <w:rFonts w:hint="eastAsia" w:cs="宋体"/>
          <w:sz w:val="20"/>
          <w:szCs w:val="20"/>
          <w:lang w:bidi="ar"/>
        </w:rPr>
        <w:t>多维度边优化溯源图改进的</w:t>
      </w:r>
      <w:r>
        <w:rPr>
          <w:sz w:val="20"/>
          <w:szCs w:val="20"/>
          <w:lang w:bidi="ar"/>
        </w:rPr>
        <w:t>APT</w:t>
      </w:r>
      <w:r>
        <w:rPr>
          <w:rFonts w:hint="eastAsia" w:cs="宋体"/>
          <w:sz w:val="20"/>
          <w:szCs w:val="20"/>
          <w:lang w:bidi="ar"/>
        </w:rPr>
        <w:t>攻击检测方法</w:t>
      </w:r>
      <w:r>
        <w:rPr>
          <w:sz w:val="20"/>
          <w:szCs w:val="20"/>
          <w:lang w:bidi="ar"/>
        </w:rPr>
        <w:t xml:space="preserve">." </w:t>
      </w:r>
      <w:r>
        <w:rPr>
          <w:rFonts w:hint="eastAsia" w:cs="宋体"/>
          <w:sz w:val="20"/>
          <w:szCs w:val="20"/>
          <w:lang w:bidi="ar"/>
        </w:rPr>
        <w:t>计算机科学与探索</w:t>
      </w:r>
      <w:r>
        <w:rPr>
          <w:sz w:val="20"/>
          <w:szCs w:val="20"/>
          <w:lang w:bidi="ar"/>
        </w:rPr>
        <w:t>, vol. 19, no. 6, June 2025, pp. 1640-55. JCST, doi:10.3778/j.issn.1673-9418.2406068.</w:t>
      </w:r>
    </w:p>
    <w:p w14:paraId="2D4DEDF7">
      <w:pPr>
        <w:spacing w:after="60"/>
        <w:rPr>
          <w:sz w:val="20"/>
          <w:szCs w:val="20"/>
        </w:rPr>
      </w:pPr>
      <w:r>
        <w:rPr>
          <w:sz w:val="20"/>
          <w:szCs w:val="20"/>
          <w:lang w:bidi="ar"/>
        </w:rPr>
        <w:t>[10] He, Z., et al. "A Syntax-Aware Graph Network with Contrastive Learning for Threat Intelligence Triple Extraction." Symmetry, vol. 17, no. 7, 2025, p. 1013. MDPI, doi:10.3390/sym17071013.</w:t>
      </w:r>
    </w:p>
    <w:p w14:paraId="38933858">
      <w:pPr>
        <w:spacing w:after="60"/>
        <w:rPr>
          <w:sz w:val="20"/>
          <w:szCs w:val="20"/>
        </w:rPr>
      </w:pPr>
      <w:r>
        <w:rPr>
          <w:sz w:val="20"/>
          <w:szCs w:val="20"/>
          <w:lang w:bidi="ar"/>
        </w:rPr>
        <w:t>[11] Zhang, Z., et al. "MPCA: Constructing the APTs Provenance Graphs through Multi-Perspective Confidence and Association." Information and Software Technology, 2025. ScienceDirect, doi:10.1016/j.infsof.2025.107670.</w:t>
      </w:r>
    </w:p>
    <w:p w14:paraId="633B07E2">
      <w:pPr>
        <w:spacing w:after="60"/>
        <w:rPr>
          <w:sz w:val="20"/>
          <w:szCs w:val="20"/>
        </w:rPr>
      </w:pPr>
      <w:r>
        <w:rPr>
          <w:sz w:val="20"/>
          <w:szCs w:val="20"/>
          <w:lang w:bidi="ar"/>
        </w:rPr>
        <w:t>[12] Aly, A., et al. "OCR-APT: Reconstructing APT Stories from Audit Logs Using Subgraph Anomaly Detection and LLMs." arXiv:2510.15188, 2025. arXiv, doi:10.48550/arXiv.2510.15188.</w:t>
      </w:r>
    </w:p>
    <w:p w14:paraId="0E2A3C1F">
      <w:pPr>
        <w:spacing w:after="60"/>
        <w:rPr>
          <w:sz w:val="20"/>
          <w:szCs w:val="20"/>
        </w:rPr>
      </w:pPr>
      <w:r>
        <w:rPr>
          <w:sz w:val="20"/>
          <w:szCs w:val="20"/>
          <w:lang w:bidi="ar"/>
        </w:rPr>
        <w:t>[13] Lu, W. "XAPT: Explainable Anomaly-Driven Prediction of Threat Stages in APT Campaigns." IEEE Access, vol. 13, 2025, pp. 199737-56. IEEE Xplore, doi:10.1109/access.2025.3636501.</w:t>
      </w:r>
    </w:p>
    <w:p w14:paraId="31DE3C61">
      <w:pPr>
        <w:spacing w:after="60"/>
        <w:rPr>
          <w:sz w:val="20"/>
          <w:szCs w:val="20"/>
        </w:rPr>
      </w:pPr>
      <w:r>
        <w:rPr>
          <w:sz w:val="20"/>
          <w:szCs w:val="20"/>
          <w:lang w:bidi="ar"/>
        </w:rPr>
        <w:t>[14] Hu, Z. "CCLog: Actionable APT Forensics via Fused Log Semantics and Provenance Graph Topology." Computer Networks, vol. 272, 2025, p. 111660. ScienceDirect, doi:10.1016/j.comnet.2025.111660.</w:t>
      </w:r>
    </w:p>
    <w:p w14:paraId="1534B172">
      <w:pPr>
        <w:spacing w:after="60"/>
        <w:rPr>
          <w:sz w:val="20"/>
          <w:szCs w:val="20"/>
        </w:rPr>
      </w:pPr>
      <w:r>
        <w:rPr>
          <w:sz w:val="20"/>
          <w:szCs w:val="20"/>
          <w:lang w:bidi="ar"/>
        </w:rPr>
        <w:t>[15] Husari, G., et al. "TTPDrill: Automatic and Accurate Extraction of Threat Actions from Unstructured Text of CTI Sources." Proceedings of the 33rd Annual Computer Security Applications Conference (ACSAC), Orlando, FL, USA, Dec. 2017, pp. 354-66. ACM Digital Library.</w:t>
      </w:r>
    </w:p>
    <w:p w14:paraId="0C07FF60">
      <w:pPr>
        <w:spacing w:after="60"/>
        <w:rPr>
          <w:sz w:val="20"/>
          <w:szCs w:val="20"/>
        </w:rPr>
      </w:pPr>
      <w:r>
        <w:rPr>
          <w:sz w:val="20"/>
          <w:szCs w:val="20"/>
          <w:lang w:bidi="ar"/>
        </w:rPr>
        <w:t>[16] Perry, L., et al. "NO-DOUBT: Attack Attribution Based on Threat Intelligence Reports." 2019 IEEE International Conference on Intelligence and Security Informatics (ISI), 2019, pp. 80-85. IEEE Xplore, doi:10.1109/ISI.2019.8823152.</w:t>
      </w:r>
    </w:p>
    <w:p w14:paraId="0A9EF915">
      <w:pPr>
        <w:spacing w:after="60"/>
        <w:rPr>
          <w:sz w:val="20"/>
          <w:szCs w:val="20"/>
        </w:rPr>
      </w:pPr>
      <w:r>
        <w:rPr>
          <w:sz w:val="20"/>
          <w:szCs w:val="20"/>
        </w:rPr>
        <w:t>[17]</w:t>
      </w:r>
      <w:r>
        <w:rPr>
          <w:rFonts w:hint="eastAsia"/>
          <w:sz w:val="20"/>
          <w:szCs w:val="20"/>
          <w:lang w:eastAsia="zh"/>
        </w:rPr>
        <w:t xml:space="preserve"> </w:t>
      </w:r>
      <w:r>
        <w:rPr>
          <w:sz w:val="20"/>
          <w:szCs w:val="20"/>
        </w:rPr>
        <w:t>Irshad, E., and A. Basit Siddiqui. "Cyber Threat Attribution Using Unstructured Reports in Cyber Threat Intelligence." Egyptian Informatics Journal, vol. 24, no. 1, 2023, pp. 43-59. ScienceDirect, doi:10.1016/j.eij.2022.11.001.</w:t>
      </w:r>
    </w:p>
    <w:p w14:paraId="1A6090EB">
      <w:pPr>
        <w:spacing w:after="60"/>
        <w:rPr>
          <w:sz w:val="20"/>
          <w:szCs w:val="20"/>
        </w:rPr>
      </w:pPr>
      <w:r>
        <w:rPr>
          <w:sz w:val="20"/>
          <w:szCs w:val="20"/>
          <w:lang w:bidi="ar"/>
        </w:rPr>
        <w:t>[18] Irshad, E., and A. B. Siddiqui. "Context-Aware Cyber-Threat Attribution Based on Hybrid Features." ICT Express, vol. 10, no. 3, 2024, pp. 553-69. ScienceDirect, doi:10.1016/j.icte.2024.04.005.</w:t>
      </w:r>
    </w:p>
    <w:p w14:paraId="49E5C7BF">
      <w:pPr>
        <w:spacing w:after="60"/>
        <w:rPr>
          <w:sz w:val="20"/>
          <w:szCs w:val="20"/>
        </w:rPr>
      </w:pPr>
      <w:r>
        <w:rPr>
          <w:sz w:val="20"/>
          <w:szCs w:val="20"/>
          <w:lang w:bidi="ar"/>
        </w:rPr>
        <w:t>[19] Noor, U. "A Machine Learning-Based FinTech Cyber Threat Attribution Framework Using High-Level Indicators of Compromise." Future Generation Computer Systems, vol. 96, 2019, pp. 227-42. ScienceDirect, doi:10.1016/j.future.2019.02.013.</w:t>
      </w:r>
    </w:p>
    <w:p w14:paraId="112945A7">
      <w:pPr>
        <w:spacing w:after="60"/>
        <w:rPr>
          <w:sz w:val="20"/>
          <w:szCs w:val="20"/>
        </w:rPr>
      </w:pPr>
      <w:r>
        <w:rPr>
          <w:sz w:val="20"/>
          <w:szCs w:val="20"/>
          <w:lang w:bidi="ar"/>
        </w:rPr>
        <w:t>[20] Kipf, T. N., and M. Welling. "Semi-Supervised Classification with Graph Convolutional Networks." International Conference on Learning Representations (ICLR 2017), Toulon, France, 2017. arXiv, doi:10.48550/arXiv.1609.02907.</w:t>
      </w:r>
    </w:p>
    <w:p w14:paraId="72B9C8AD">
      <w:pPr>
        <w:spacing w:after="60"/>
        <w:rPr>
          <w:sz w:val="20"/>
          <w:szCs w:val="20"/>
          <w:lang w:bidi="ar"/>
        </w:rPr>
      </w:pPr>
      <w:r>
        <w:rPr>
          <w:sz w:val="20"/>
          <w:szCs w:val="20"/>
          <w:lang w:bidi="ar"/>
        </w:rPr>
        <w:t>[21]</w:t>
      </w:r>
      <w:r>
        <w:rPr>
          <w:rFonts w:hint="eastAsia"/>
          <w:sz w:val="20"/>
          <w:szCs w:val="20"/>
          <w:lang w:eastAsia="zh" w:bidi="ar"/>
        </w:rPr>
        <w:t xml:space="preserve"> </w:t>
      </w:r>
      <w:r>
        <w:rPr>
          <w:sz w:val="20"/>
          <w:szCs w:val="20"/>
          <w:lang w:bidi="ar"/>
        </w:rPr>
        <w:t>Hamilton, W., et al. "Inductive Representation Learning on Large Graphs." Advances in Neural Information Processing Systems 30 (NeurIPS 2017), Long Beach, CA, USA, Dec. 2017, pp. 1024-34. NeurIPS.</w:t>
      </w:r>
    </w:p>
    <w:p w14:paraId="356F0270">
      <w:pPr>
        <w:spacing w:after="60"/>
        <w:rPr>
          <w:sz w:val="20"/>
          <w:szCs w:val="20"/>
        </w:rPr>
      </w:pPr>
      <w:r>
        <w:rPr>
          <w:sz w:val="20"/>
          <w:szCs w:val="20"/>
          <w:lang w:bidi="ar"/>
        </w:rPr>
        <w:t>[22] Veličković, P., et al. "Graph Attention Networks." International Conference on Learning Representations (ICLR 2018), Vancouver, Canada, 2018. arXiv, doi:10.48550/arXiv.1710.10903.</w:t>
      </w:r>
    </w:p>
    <w:p w14:paraId="158972D4">
      <w:pPr>
        <w:spacing w:after="60"/>
        <w:rPr>
          <w:sz w:val="20"/>
          <w:szCs w:val="20"/>
        </w:rPr>
      </w:pPr>
      <w:r>
        <w:rPr>
          <w:sz w:val="20"/>
          <w:szCs w:val="20"/>
          <w:lang w:bidi="ar"/>
        </w:rPr>
        <w:t>[23] Warmsley, D. "A Survey of Explainable Graph Neural Networks for Cyber Malware Analysis." 2022 IEEE International Conference on Big Data (Big Data), 2022, pp. 2932-39. IEEE Xplore, doi:10.1109/BigData55660.2022.10020943.</w:t>
      </w:r>
    </w:p>
    <w:p w14:paraId="5725FFDB">
      <w:pPr>
        <w:spacing w:after="60"/>
        <w:rPr>
          <w:sz w:val="20"/>
          <w:szCs w:val="20"/>
        </w:rPr>
      </w:pPr>
      <w:r>
        <w:rPr>
          <w:sz w:val="20"/>
          <w:szCs w:val="20"/>
          <w:lang w:bidi="ar"/>
        </w:rPr>
        <w:t xml:space="preserve">[24] </w:t>
      </w:r>
      <w:r>
        <w:rPr>
          <w:rFonts w:hint="eastAsia" w:cs="宋体"/>
          <w:sz w:val="20"/>
          <w:szCs w:val="20"/>
          <w:lang w:bidi="ar"/>
        </w:rPr>
        <w:t>黄克振</w:t>
      </w:r>
      <w:r>
        <w:rPr>
          <w:sz w:val="20"/>
          <w:szCs w:val="20"/>
          <w:lang w:bidi="ar"/>
        </w:rPr>
        <w:t>, et al. "</w:t>
      </w:r>
      <w:r>
        <w:rPr>
          <w:rFonts w:hint="eastAsia" w:cs="宋体"/>
          <w:sz w:val="20"/>
          <w:szCs w:val="20"/>
          <w:lang w:bidi="ar"/>
        </w:rPr>
        <w:t>一种基于图模型的网络攻击溯源方法</w:t>
      </w:r>
      <w:r>
        <w:rPr>
          <w:sz w:val="20"/>
          <w:szCs w:val="20"/>
          <w:lang w:bidi="ar"/>
        </w:rPr>
        <w:t xml:space="preserve">." </w:t>
      </w:r>
      <w:r>
        <w:rPr>
          <w:rFonts w:hint="eastAsia" w:cs="宋体"/>
          <w:sz w:val="20"/>
          <w:szCs w:val="20"/>
          <w:lang w:bidi="ar"/>
        </w:rPr>
        <w:t>软件学报</w:t>
      </w:r>
      <w:r>
        <w:rPr>
          <w:sz w:val="20"/>
          <w:szCs w:val="20"/>
          <w:lang w:bidi="ar"/>
        </w:rPr>
        <w:t>, vol. 33, no. 2, 2022, pp. 683-98. Journal of Software, doi:10.13328/j.cnki.jos.006314.</w:t>
      </w:r>
    </w:p>
    <w:p w14:paraId="629611C9">
      <w:pPr>
        <w:spacing w:after="60"/>
        <w:rPr>
          <w:sz w:val="20"/>
          <w:szCs w:val="20"/>
        </w:rPr>
      </w:pPr>
      <w:r>
        <w:rPr>
          <w:sz w:val="20"/>
          <w:szCs w:val="20"/>
          <w:lang w:bidi="ar"/>
        </w:rPr>
        <w:t>[25] Wang, X., et al. "Heterogeneous Graph Attention Network." The World Wide Web Conference, Association for Computing Machinery, 2019, pp. 2022-32. ACM Digital Library, doi:10.1145/3308558.3313562.</w:t>
      </w:r>
    </w:p>
    <w:p w14:paraId="775F5ECF">
      <w:pPr>
        <w:spacing w:after="60"/>
        <w:rPr>
          <w:sz w:val="20"/>
          <w:szCs w:val="20"/>
        </w:rPr>
      </w:pPr>
      <w:r>
        <w:rPr>
          <w:sz w:val="20"/>
          <w:szCs w:val="20"/>
          <w:lang w:bidi="ar"/>
        </w:rPr>
        <w:t>[26] Hu, Z., et al. "Heterogeneous Graph Transformer." Proceedings of The Web Conference 2020 (WWW), Taipei, Taiwan, Apr. 2020, pp. 2704-10. ACM Digital Library, doi:10.1145/3366423.3380027.</w:t>
      </w:r>
    </w:p>
    <w:p w14:paraId="68DFDE5A">
      <w:pPr>
        <w:spacing w:after="60"/>
        <w:rPr>
          <w:sz w:val="20"/>
          <w:szCs w:val="20"/>
        </w:rPr>
      </w:pPr>
      <w:r>
        <w:rPr>
          <w:sz w:val="20"/>
          <w:szCs w:val="20"/>
          <w:lang w:bidi="ar"/>
        </w:rPr>
        <w:t>[27] Jiang, L., et al. "A Survey of Heterogeneous Graph Neural Networks for Cybersecurity Anomaly Detection." arXiv:2510.26307, 2026. arXiv.</w:t>
      </w:r>
    </w:p>
    <w:p w14:paraId="4C18046A">
      <w:pPr>
        <w:spacing w:after="60"/>
        <w:rPr>
          <w:sz w:val="20"/>
          <w:szCs w:val="20"/>
        </w:rPr>
      </w:pPr>
      <w:r>
        <w:rPr>
          <w:sz w:val="20"/>
          <w:szCs w:val="20"/>
          <w:lang w:bidi="ar"/>
        </w:rPr>
        <w:t>[28] Ren, Y., et al. "CSKG4APT: A Cybersecurity Knowledge Graph for Advanced Persistent Threat Organization Attribution." IEEE Transactions on Knowledge and Data Engineering, vol. 35, no. 6, 2023, pp. 5695-709. IEEE Xplore, doi:10.1109/TKDE.2022.3175719.</w:t>
      </w:r>
    </w:p>
    <w:p w14:paraId="46384C23">
      <w:pPr>
        <w:spacing w:after="60"/>
        <w:rPr>
          <w:sz w:val="20"/>
          <w:szCs w:val="20"/>
        </w:rPr>
      </w:pPr>
      <w:r>
        <w:rPr>
          <w:sz w:val="20"/>
          <w:szCs w:val="20"/>
          <w:lang w:bidi="ar"/>
        </w:rPr>
        <w:t>[29] Li, Z., et al. "AttacKG: Constructing Technique Knowledge Graph from Cyber Threat Intelligence Reports." Computer Security – ESORICS 2022, edited by Vijayalakshmi Atluri et al., vol. 13554, Springer International Publishing, 2022, pp. 589-609. Springer, doi:10.1007/978-3-031-17140-6_29.</w:t>
      </w:r>
    </w:p>
    <w:p w14:paraId="72901EAD">
      <w:pPr>
        <w:spacing w:after="60"/>
        <w:rPr>
          <w:sz w:val="20"/>
          <w:szCs w:val="20"/>
        </w:rPr>
      </w:pPr>
      <w:r>
        <w:rPr>
          <w:sz w:val="20"/>
          <w:szCs w:val="20"/>
          <w:lang w:bidi="ar"/>
        </w:rPr>
        <w:t>[30] Chen, T., et al. "APT-KGL: An Intelligent APT Detection System Based on Threat Knowledge and Heterogeneous Provenance Graph Learning." IEEE Transactions on Dependable and Secure Computing, 2022, pp. 1-15. IEEE Xplore, doi:10.1109/TDSC.2022.3229472.</w:t>
      </w:r>
    </w:p>
    <w:p w14:paraId="4952B098">
      <w:pPr>
        <w:spacing w:after="60"/>
        <w:rPr>
          <w:sz w:val="20"/>
          <w:szCs w:val="20"/>
        </w:rPr>
      </w:pPr>
      <w:r>
        <w:rPr>
          <w:sz w:val="20"/>
          <w:szCs w:val="20"/>
          <w:lang w:bidi="ar"/>
        </w:rPr>
        <w:t>[31] Schlichtkrull, M., et al. "Modeling Relational Data with Graph Convolutional Networks." Proceedings of the 15th European Semantic Web Conference (ESWC), Heraklion, Greece, June 2018, pp. 593-607. Springer, doi:10.1007/978-3-319-93417-4_38.</w:t>
      </w:r>
    </w:p>
    <w:p w14:paraId="7BA07AD9">
      <w:pPr>
        <w:spacing w:after="60"/>
        <w:rPr>
          <w:sz w:val="20"/>
          <w:szCs w:val="20"/>
        </w:rPr>
      </w:pPr>
      <w:r>
        <w:rPr>
          <w:sz w:val="20"/>
          <w:szCs w:val="20"/>
          <w:lang w:bidi="ar"/>
        </w:rPr>
        <w:t>[32] Brody, S., et al. "How Attentive Are Graph Attention Networks?" International Conference on Learning Representations (ICLR 2022), Virtual Conference, 2022. arXiv, doi:10.48550/arXiv.2105.14491.</w:t>
      </w:r>
    </w:p>
    <w:p w14:paraId="3B1A3A13">
      <w:pPr>
        <w:spacing w:after="60"/>
        <w:rPr>
          <w:sz w:val="20"/>
          <w:szCs w:val="20"/>
        </w:rPr>
      </w:pPr>
      <w:r>
        <w:rPr>
          <w:sz w:val="20"/>
          <w:szCs w:val="20"/>
          <w:lang w:bidi="ar"/>
        </w:rPr>
        <w:t>[33] You, Y., et al. "Graph Contrastive Learning with Augmentations." Advances in Neural Information Processing Systems (NeurIPS 2020), vol. 33, 2020, pp. 5812-23. NeurIPS. arXiv, doi:10.48550/arXiv.2010.13902.</w:t>
      </w:r>
    </w:p>
    <w:p w14:paraId="27FA42E2">
      <w:pPr>
        <w:spacing w:after="60"/>
        <w:rPr>
          <w:sz w:val="20"/>
          <w:szCs w:val="20"/>
        </w:rPr>
      </w:pPr>
      <w:r>
        <w:rPr>
          <w:sz w:val="20"/>
          <w:szCs w:val="20"/>
          <w:lang w:bidi="ar"/>
        </w:rPr>
        <w:t>[34] Xu, K., et al. "How Powerful Are Graph Neural Networks?" International Conference on Learning Representations (ICLR 2019), 2019. arXiv, doi:10.48550/arXiv.1810.00826.</w:t>
      </w:r>
    </w:p>
    <w:p w14:paraId="67E6DC93">
      <w:pPr>
        <w:spacing w:after="60"/>
        <w:rPr>
          <w:sz w:val="20"/>
          <w:szCs w:val="20"/>
          <w:lang w:bidi="ar"/>
        </w:rPr>
      </w:pPr>
      <w:r>
        <w:rPr>
          <w:sz w:val="20"/>
          <w:szCs w:val="20"/>
          <w:lang w:bidi="ar"/>
        </w:rPr>
        <w:t>[35]</w:t>
      </w:r>
      <w:r>
        <w:rPr>
          <w:rFonts w:hint="eastAsia"/>
          <w:sz w:val="20"/>
          <w:szCs w:val="20"/>
          <w:lang w:eastAsia="zh" w:bidi="ar"/>
        </w:rPr>
        <w:t xml:space="preserve"> </w:t>
      </w:r>
      <w:r>
        <w:rPr>
          <w:sz w:val="20"/>
          <w:szCs w:val="20"/>
          <w:lang w:bidi="ar"/>
        </w:rPr>
        <w:t>Lee, J., et al. "Self-Attention Graph Pooling." Proceedings of the 36th International Conference on Machine Learning (ICML 2019), Long Beach, CA, USA, 2019, pp. 3734-43. PMLR. arXiv, doi:10.48550/arXiv.1904.08082.</w:t>
      </w:r>
    </w:p>
    <w:p w14:paraId="1F4918BC">
      <w:pPr>
        <w:spacing w:after="60"/>
        <w:rPr>
          <w:sz w:val="20"/>
          <w:szCs w:val="20"/>
        </w:rPr>
      </w:pPr>
      <w:r>
        <w:rPr>
          <w:sz w:val="20"/>
          <w:szCs w:val="20"/>
        </w:rPr>
        <w:t>[36] Xiao, Nan, Bo Lang, Ting Wang, and Yikai Chen. "APT-MMF: An Advanced Persistent Threat Actor Attribution Method Based on Multimodal and Multilevel Feature Fusion." Computers &amp; Security, vol. 144, 2024, p. 103960. DOI: 10.1016/j.cose.2024.103960.</w:t>
      </w:r>
    </w:p>
    <w:p w14:paraId="2ED77527">
      <w:pPr>
        <w:spacing w:after="60"/>
        <w:rPr>
          <w:sz w:val="20"/>
          <w:szCs w:val="20"/>
        </w:rPr>
      </w:pPr>
      <w:r>
        <w:rPr>
          <w:sz w:val="20"/>
          <w:szCs w:val="20"/>
        </w:rPr>
        <w:t>[37] Reimers, Nils, and Iryna Gurevych. "Sentence-BERT: Sentence Embeddings Using Siamese BERT-Networks." *Proceedings of the 2019 Conference on Empirical Methods in Natural Language Processing and the 9th International Joint Conference on Natural Language Processing (EMNLP-IJCNLP)*, Association for Computational Linguistics, 2019, pp. 3982–3992. DOI: 10.18653/v1/D19-1410.</w:t>
      </w:r>
    </w:p>
    <w:p w14:paraId="057B137D">
      <w:pPr>
        <w:spacing w:after="60"/>
        <w:rPr>
          <w:sz w:val="20"/>
          <w:szCs w:val="20"/>
        </w:rPr>
      </w:pPr>
      <w:r>
        <w:rPr>
          <w:sz w:val="20"/>
          <w:szCs w:val="20"/>
        </w:rPr>
        <w:t>[38] Ma, Xiaoxiao, et al. "A Comprehensive Survey on Graph Anomaly Detection With Deep Learning." IEEE Transactions on Knowledge and Data Engineering, vol. 35, no. 12, 2023, pp. 12012–12038. DOI: 10.1109/TKDE.2021.3118815.</w:t>
      </w:r>
    </w:p>
    <w:p w14:paraId="00EDA740">
      <w:pPr>
        <w:spacing w:after="60"/>
        <w:rPr>
          <w:sz w:val="20"/>
          <w:szCs w:val="20"/>
        </w:rPr>
      </w:pPr>
      <w:r>
        <w:rPr>
          <w:sz w:val="20"/>
          <w:szCs w:val="20"/>
        </w:rPr>
        <w:t>[39] Ren, Jiafeng, and Rong Geng. "Provenance-based APT Campaigns Detection via Masked Graph Representation Learning." Computers &amp; Security, vol. 148, 2025, p. 104159. DOI: 10.1016/j.cose.2024.104159.</w:t>
      </w:r>
    </w:p>
    <w:p w14:paraId="0EC9CF36">
      <w:pPr>
        <w:spacing w:after="60"/>
        <w:rPr>
          <w:sz w:val="20"/>
          <w:szCs w:val="20"/>
        </w:rPr>
      </w:pPr>
      <w:r>
        <w:rPr>
          <w:sz w:val="20"/>
          <w:szCs w:val="20"/>
        </w:rPr>
        <w:t>[40] Rong, Yu, Wenbing Huang, Tingyang Xu, and Junzhou Huang. "DropEdge: Towards Deep Graph Convolutional Networks on Node Classification." arXiv, 12 Mar. 2020, arXiv:1907.10903. DOI: 10.48550/arXiv.1907.10903.</w:t>
      </w:r>
    </w:p>
    <w:p w14:paraId="1D4991F5">
      <w:pPr>
        <w:spacing w:after="60"/>
        <w:rPr>
          <w:sz w:val="20"/>
          <w:szCs w:val="20"/>
        </w:rPr>
      </w:pPr>
      <w:r>
        <w:rPr>
          <w:sz w:val="20"/>
          <w:szCs w:val="20"/>
        </w:rPr>
        <w:t>[41] Chen, Zhaoliang, et al. "Attributed Multi-Order Graph Convolutional Network for Heterogeneous Graphs." Neural Networks, vol. 174, 2024, p. 106225. DOI: 10.1016/j.neunet.2024.106225.</w:t>
      </w:r>
    </w:p>
    <w:p w14:paraId="7099DFDC">
      <w:pPr>
        <w:spacing w:after="60"/>
        <w:rPr>
          <w:sz w:val="20"/>
          <w:szCs w:val="20"/>
        </w:rPr>
      </w:pPr>
      <w:r>
        <w:rPr>
          <w:sz w:val="20"/>
          <w:szCs w:val="20"/>
        </w:rPr>
        <w:t>[42] ALotaibi, Maha H., et al. "EA-THGN: Elastic, Trajectory-aware Graph Learning for Provenance-based APT Detection." Information Sciences, vol. 749, 2026, p. 123518. DOI: 10.1016/j.ins.2026.123518.</w:t>
      </w:r>
    </w:p>
    <w:p w14:paraId="4A4A0414">
      <w:pPr>
        <w:spacing w:after="60"/>
        <w:rPr>
          <w:sz w:val="20"/>
          <w:szCs w:val="20"/>
        </w:rPr>
      </w:pPr>
      <w:r>
        <w:rPr>
          <w:sz w:val="20"/>
          <w:szCs w:val="20"/>
        </w:rPr>
        <w:t>[43] Xiang, Xiayu, Hao Liu, Liyi Zeng, Huan Zhang, and Zhaoquan Gu. "IPAttributor: Cyber Attacker Attribution with Threat Intelligence-Enriched Intrusion Data." Mathematics, vol. 12, no. 9, 2024, p. 1364. DOI: 10.3390/math12091364.</w:t>
      </w:r>
    </w:p>
    <w:p w14:paraId="13F37F66">
      <w:pPr>
        <w:spacing w:after="60"/>
        <w:rPr>
          <w:sz w:val="20"/>
          <w:szCs w:val="20"/>
        </w:rPr>
      </w:pPr>
      <w:r>
        <w:rPr>
          <w:sz w:val="20"/>
          <w:szCs w:val="20"/>
        </w:rPr>
        <w:t>[44] Fu, Xinyu, et al. "MAGNN: Metapath Aggregated Graph Neural Network for Heterogeneous Graph Embedding." Proceedings of The Web Conference 2020, Association for Computing Machinery, 2020, pp. 2331–2341. DOI: 10.1145/3366423.3380297.</w:t>
      </w:r>
    </w:p>
    <w:p w14:paraId="36692800">
      <w:pPr>
        <w:spacing w:after="60"/>
        <w:rPr>
          <w:sz w:val="20"/>
          <w:szCs w:val="20"/>
        </w:rPr>
      </w:pPr>
      <w:r>
        <w:rPr>
          <w:sz w:val="20"/>
          <w:szCs w:val="20"/>
        </w:rPr>
        <w:t>[45] Li, Xiang, et al. "Generalized Focal Loss: Towards Efficient Representation Learning for Dense Object Detection." IEEE Transactions on Pattern Analysis and Machine Intelligence, vol. 45, no. 3, 2023, pp. 3139–3153. DOI: 10.1109/TPAMI.2022.3180392.</w:t>
      </w:r>
    </w:p>
    <w:p w14:paraId="3A94180E">
      <w:pPr>
        <w:spacing w:after="60"/>
        <w:rPr>
          <w:sz w:val="20"/>
          <w:szCs w:val="20"/>
          <w:lang w:eastAsia="zh"/>
        </w:rPr>
      </w:pPr>
      <w:r>
        <w:rPr>
          <w:rFonts w:hint="eastAsia"/>
          <w:sz w:val="20"/>
          <w:szCs w:val="20"/>
          <w:lang w:eastAsia="zh"/>
        </w:rPr>
        <w:t>[46]</w:t>
      </w:r>
      <w:r>
        <w:rPr>
          <w:sz w:val="20"/>
          <w:szCs w:val="20"/>
        </w:rPr>
        <w:t>Guo, Chuan, Geoff Pleiss, Yu Sun, and Kilian Q. Weinberger. "On Calibration of Modern Neural Networks." Proceedings of the 34th International Conference on Machine Learning, PMLR, 2017, pp. 1321–1330.</w:t>
      </w:r>
      <w:r>
        <w:rPr>
          <w:rFonts w:hint="eastAsia"/>
          <w:sz w:val="20"/>
          <w:szCs w:val="20"/>
          <w:lang w:eastAsia="zh"/>
        </w:rPr>
        <w:t xml:space="preserve">  </w:t>
      </w:r>
    </w:p>
    <w:p w14:paraId="59DAAFED">
      <w:pPr>
        <w:spacing w:after="60"/>
        <w:rPr>
          <w:sz w:val="20"/>
          <w:szCs w:val="20"/>
          <w:lang w:eastAsia="zh"/>
        </w:rPr>
      </w:pPr>
      <w:r>
        <w:rPr>
          <w:rFonts w:hint="eastAsia"/>
          <w:sz w:val="20"/>
          <w:szCs w:val="20"/>
          <w:lang w:eastAsia="zh"/>
        </w:rPr>
        <w:t xml:space="preserve">[47]Duan, L., Wen, M. &amp; Xiong, Y. MLDSJ: a multi-level feature joint attribution method for APT group based on threat intelligence. EURASIP J. on Info. Security 2026, 2 (2026). </w:t>
      </w:r>
      <w:r>
        <w:fldChar w:fldCharType="begin"/>
      </w:r>
      <w:r>
        <w:instrText xml:space="preserve"> HYPERLINK "https://doi.org/10.1186/s13635-025-00222-6" </w:instrText>
      </w:r>
      <w:r>
        <w:fldChar w:fldCharType="separate"/>
      </w:r>
      <w:r>
        <w:rPr>
          <w:rStyle w:val="16"/>
          <w:rFonts w:hint="eastAsia"/>
          <w:sz w:val="20"/>
          <w:szCs w:val="20"/>
          <w:lang w:eastAsia="zh"/>
        </w:rPr>
        <w:t>https://doi.org/10.1186/s13635-025-00222-6</w:t>
      </w:r>
      <w:r>
        <w:rPr>
          <w:rStyle w:val="16"/>
          <w:rFonts w:hint="eastAsia"/>
          <w:sz w:val="20"/>
          <w:szCs w:val="20"/>
          <w:lang w:eastAsia="zh"/>
        </w:rPr>
        <w:fldChar w:fldCharType="end"/>
      </w:r>
    </w:p>
    <w:p w14:paraId="2AEC052B">
      <w:pPr>
        <w:spacing w:after="60"/>
        <w:rPr>
          <w:sz w:val="20"/>
          <w:szCs w:val="20"/>
          <w:lang w:eastAsia="zh"/>
        </w:rPr>
      </w:pPr>
      <w:r>
        <w:rPr>
          <w:rFonts w:hint="eastAsia"/>
          <w:sz w:val="20"/>
          <w:szCs w:val="20"/>
          <w:lang w:eastAsia="zh"/>
        </w:rPr>
        <w:t>[48]King, I. J., R. Ramirez, B. Bowman, and H. H. Huang. "TRAIL: A Knowledge Graph-Based Approach for Attributing Advanced Persistent Threats." 2025 IEEE 41st International Conference on Data Engineering (ICDE), Hong Kong, 2025, pp. 1207-1220. DOI: 10.1109/ICDE65448.2025.00095.</w:t>
      </w:r>
    </w:p>
    <w:p w14:paraId="59241413">
      <w:pPr>
        <w:rPr>
          <w:lang w:eastAsia="zh"/>
        </w:rPr>
      </w:pPr>
    </w:p>
    <w:sectPr>
      <w:pgSz w:w="11906" w:h="16838"/>
      <w:pgMar w:top="1440" w:right="1800" w:bottom="1440" w:left="1800" w:header="851" w:footer="992" w:gutter="0"/>
      <w:cols w:space="72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小猴子" w:date="2026-04-14T07:38:00Z" w:initials="">
    <w:p w14:paraId="14DD7B70">
      <w:pPr>
        <w:pStyle w:val="6"/>
      </w:pPr>
      <w:r>
        <w:rPr>
          <w:rFonts w:hint="eastAsia"/>
        </w:rPr>
        <w:t>需要实验</w:t>
      </w:r>
    </w:p>
  </w:comment>
  <w:comment w:id="1" w:author="小猴子" w:date="2026-03-25T03:49:00Z" w:initials="">
    <w:p w14:paraId="145C89CB">
      <w:pPr>
        <w:pStyle w:val="6"/>
      </w:pPr>
      <w:r>
        <w:rPr>
          <w:rFonts w:hint="eastAsia"/>
        </w:rPr>
        <w:t>参数实验</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4DD7B70" w15:done="0"/>
  <w15:commentEx w15:paraId="145C89CB"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Open Sans">
    <w:altName w:val="Times New Roman"/>
    <w:panose1 w:val="00000000000000000000"/>
    <w:charset w:val="00"/>
    <w:family w:val="swiss"/>
    <w:pitch w:val="default"/>
    <w:sig w:usb0="00000000" w:usb1="00000000" w:usb2="00000028" w:usb3="00000000" w:csb0="0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小猴子">
    <w15:presenceInfo w15:providerId="None" w15:userId="小猴子"/>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B4842F7"/>
    <w:rsid w:val="000C41CA"/>
    <w:rsid w:val="00122D12"/>
    <w:rsid w:val="001478B7"/>
    <w:rsid w:val="00183F70"/>
    <w:rsid w:val="00213A4A"/>
    <w:rsid w:val="002526AA"/>
    <w:rsid w:val="002539B5"/>
    <w:rsid w:val="002823FE"/>
    <w:rsid w:val="00350A8E"/>
    <w:rsid w:val="0036100D"/>
    <w:rsid w:val="00377D9B"/>
    <w:rsid w:val="0039451B"/>
    <w:rsid w:val="003B6B66"/>
    <w:rsid w:val="005259EA"/>
    <w:rsid w:val="005F2C30"/>
    <w:rsid w:val="0077232D"/>
    <w:rsid w:val="00777AD2"/>
    <w:rsid w:val="00780FEF"/>
    <w:rsid w:val="007A3507"/>
    <w:rsid w:val="00875631"/>
    <w:rsid w:val="00882944"/>
    <w:rsid w:val="008C4C98"/>
    <w:rsid w:val="008F2974"/>
    <w:rsid w:val="00934835"/>
    <w:rsid w:val="009F4668"/>
    <w:rsid w:val="00A4527D"/>
    <w:rsid w:val="00A5114A"/>
    <w:rsid w:val="00A5235B"/>
    <w:rsid w:val="00AB458C"/>
    <w:rsid w:val="00B721CA"/>
    <w:rsid w:val="00C82686"/>
    <w:rsid w:val="00D37776"/>
    <w:rsid w:val="00E80B57"/>
    <w:rsid w:val="00FD02CE"/>
    <w:rsid w:val="019D6E7E"/>
    <w:rsid w:val="01D51717"/>
    <w:rsid w:val="022B099C"/>
    <w:rsid w:val="0B4842F7"/>
    <w:rsid w:val="110A19B6"/>
    <w:rsid w:val="16798181"/>
    <w:rsid w:val="193B0232"/>
    <w:rsid w:val="1CFFA3B7"/>
    <w:rsid w:val="1FF9E4A0"/>
    <w:rsid w:val="23032650"/>
    <w:rsid w:val="24CFC2FF"/>
    <w:rsid w:val="27B93E9E"/>
    <w:rsid w:val="27BBEA7E"/>
    <w:rsid w:val="338B6BE8"/>
    <w:rsid w:val="33D7977F"/>
    <w:rsid w:val="34C6B2D7"/>
    <w:rsid w:val="35ED2FBC"/>
    <w:rsid w:val="37FB9F62"/>
    <w:rsid w:val="37FD0ADE"/>
    <w:rsid w:val="3B5F3C2A"/>
    <w:rsid w:val="3BDB095C"/>
    <w:rsid w:val="3C7F409D"/>
    <w:rsid w:val="3CB8B361"/>
    <w:rsid w:val="3D1B8298"/>
    <w:rsid w:val="3F753773"/>
    <w:rsid w:val="3FB172F5"/>
    <w:rsid w:val="3FB64680"/>
    <w:rsid w:val="3FBF044A"/>
    <w:rsid w:val="3FE7374E"/>
    <w:rsid w:val="3FEBCC45"/>
    <w:rsid w:val="4E76F62C"/>
    <w:rsid w:val="4E8357C9"/>
    <w:rsid w:val="4FDF9C1A"/>
    <w:rsid w:val="573B0513"/>
    <w:rsid w:val="57FB3429"/>
    <w:rsid w:val="5A3449D5"/>
    <w:rsid w:val="5AFFAAFE"/>
    <w:rsid w:val="5BDFF671"/>
    <w:rsid w:val="5D26D52C"/>
    <w:rsid w:val="5ED7BCAD"/>
    <w:rsid w:val="5EF7D6CC"/>
    <w:rsid w:val="5EF95769"/>
    <w:rsid w:val="5FDF18CA"/>
    <w:rsid w:val="5FE4FE03"/>
    <w:rsid w:val="67FFBA16"/>
    <w:rsid w:val="69DBC3B3"/>
    <w:rsid w:val="6AEA0306"/>
    <w:rsid w:val="6BDE49E0"/>
    <w:rsid w:val="6BFFA031"/>
    <w:rsid w:val="6FCF1C41"/>
    <w:rsid w:val="71F764F7"/>
    <w:rsid w:val="721F6EB3"/>
    <w:rsid w:val="72D7DE4A"/>
    <w:rsid w:val="73F11274"/>
    <w:rsid w:val="75A4B2F9"/>
    <w:rsid w:val="75FB069C"/>
    <w:rsid w:val="765FE45A"/>
    <w:rsid w:val="773C620E"/>
    <w:rsid w:val="77DDAD1A"/>
    <w:rsid w:val="78FE5337"/>
    <w:rsid w:val="79A55A07"/>
    <w:rsid w:val="7ABE539D"/>
    <w:rsid w:val="7AFD120F"/>
    <w:rsid w:val="7B57B956"/>
    <w:rsid w:val="7BE60D03"/>
    <w:rsid w:val="7BFB1BC8"/>
    <w:rsid w:val="7D993ACD"/>
    <w:rsid w:val="7DCFFDB6"/>
    <w:rsid w:val="7DEDDBA4"/>
    <w:rsid w:val="7DF9E1E0"/>
    <w:rsid w:val="7E36B7DA"/>
    <w:rsid w:val="7E3B586D"/>
    <w:rsid w:val="7E75563B"/>
    <w:rsid w:val="7E7D3D48"/>
    <w:rsid w:val="7EA7D22B"/>
    <w:rsid w:val="7EFFA6DC"/>
    <w:rsid w:val="7F37050A"/>
    <w:rsid w:val="7F6BE7E9"/>
    <w:rsid w:val="7F7512AF"/>
    <w:rsid w:val="7F77431C"/>
    <w:rsid w:val="7F8E6D7A"/>
    <w:rsid w:val="7FDB44BF"/>
    <w:rsid w:val="7FDCF516"/>
    <w:rsid w:val="7FDEA849"/>
    <w:rsid w:val="7FDF91BE"/>
    <w:rsid w:val="7FF1DFF0"/>
    <w:rsid w:val="7FFF1EEB"/>
    <w:rsid w:val="8FE989DD"/>
    <w:rsid w:val="975D7BC2"/>
    <w:rsid w:val="9BCF643A"/>
    <w:rsid w:val="9DDA9B3D"/>
    <w:rsid w:val="9DEE670B"/>
    <w:rsid w:val="9DFBCCF8"/>
    <w:rsid w:val="9FAFB414"/>
    <w:rsid w:val="9FF78650"/>
    <w:rsid w:val="A3FDFB53"/>
    <w:rsid w:val="AADF70EA"/>
    <w:rsid w:val="ABFD8C44"/>
    <w:rsid w:val="AD3EDB75"/>
    <w:rsid w:val="ADB6BBAC"/>
    <w:rsid w:val="AEDB2129"/>
    <w:rsid w:val="B2FFA8CA"/>
    <w:rsid w:val="B33D1652"/>
    <w:rsid w:val="B39A7E51"/>
    <w:rsid w:val="B7B73887"/>
    <w:rsid w:val="B7BD5048"/>
    <w:rsid w:val="B7EFE87A"/>
    <w:rsid w:val="BC7F8A88"/>
    <w:rsid w:val="BCBEEB10"/>
    <w:rsid w:val="BEDEC1E8"/>
    <w:rsid w:val="BEDF0AE2"/>
    <w:rsid w:val="BFCF9D8E"/>
    <w:rsid w:val="BFDDFB40"/>
    <w:rsid w:val="BFF20D3A"/>
    <w:rsid w:val="BFFF9B06"/>
    <w:rsid w:val="D73F6567"/>
    <w:rsid w:val="D7FF1F5B"/>
    <w:rsid w:val="DABA835A"/>
    <w:rsid w:val="DB3F3DE9"/>
    <w:rsid w:val="DBFE8384"/>
    <w:rsid w:val="DC2962EA"/>
    <w:rsid w:val="DD3F22FC"/>
    <w:rsid w:val="DD6A75F3"/>
    <w:rsid w:val="DDDB4813"/>
    <w:rsid w:val="DDFF6ABF"/>
    <w:rsid w:val="DE2F22D6"/>
    <w:rsid w:val="DEEF0BBA"/>
    <w:rsid w:val="DF06AB71"/>
    <w:rsid w:val="DF3F537D"/>
    <w:rsid w:val="DF7F5762"/>
    <w:rsid w:val="DF95B39F"/>
    <w:rsid w:val="DFAE88AA"/>
    <w:rsid w:val="DFBFE04C"/>
    <w:rsid w:val="DFEE8E3E"/>
    <w:rsid w:val="DFEF4B2A"/>
    <w:rsid w:val="DFFFC306"/>
    <w:rsid w:val="E7B75B9D"/>
    <w:rsid w:val="E7EBA8AE"/>
    <w:rsid w:val="E7F74743"/>
    <w:rsid w:val="E7FFC47C"/>
    <w:rsid w:val="EB5749D4"/>
    <w:rsid w:val="EDFFBA17"/>
    <w:rsid w:val="EE5531A8"/>
    <w:rsid w:val="EEFFA069"/>
    <w:rsid w:val="EF12FE28"/>
    <w:rsid w:val="EF570D1E"/>
    <w:rsid w:val="EF7D1B73"/>
    <w:rsid w:val="EF7F06F0"/>
    <w:rsid w:val="F34F175A"/>
    <w:rsid w:val="F3B5F184"/>
    <w:rsid w:val="F6E97DE8"/>
    <w:rsid w:val="F73D1D51"/>
    <w:rsid w:val="F7514590"/>
    <w:rsid w:val="F7EF5246"/>
    <w:rsid w:val="F7FB46EA"/>
    <w:rsid w:val="F8EE4FDF"/>
    <w:rsid w:val="F96D67C3"/>
    <w:rsid w:val="F9EB9E56"/>
    <w:rsid w:val="F9F8B4A2"/>
    <w:rsid w:val="FA54FDBC"/>
    <w:rsid w:val="FB3F43C9"/>
    <w:rsid w:val="FBBE1A6B"/>
    <w:rsid w:val="FBCE1AA9"/>
    <w:rsid w:val="FBEBEF25"/>
    <w:rsid w:val="FBEFFD34"/>
    <w:rsid w:val="FBFFD646"/>
    <w:rsid w:val="FCDF11B7"/>
    <w:rsid w:val="FD6B6285"/>
    <w:rsid w:val="FD7E1F8D"/>
    <w:rsid w:val="FD7EA8E2"/>
    <w:rsid w:val="FD93BBDA"/>
    <w:rsid w:val="FDAD7CF3"/>
    <w:rsid w:val="FDB622B4"/>
    <w:rsid w:val="FDBB0636"/>
    <w:rsid w:val="FDC1FF83"/>
    <w:rsid w:val="FDCFB3ED"/>
    <w:rsid w:val="FDEFFA98"/>
    <w:rsid w:val="FDFB5663"/>
    <w:rsid w:val="FDFCFD41"/>
    <w:rsid w:val="FE6FAC0B"/>
    <w:rsid w:val="FE7B593F"/>
    <w:rsid w:val="FE7E8F9F"/>
    <w:rsid w:val="FEBE23DB"/>
    <w:rsid w:val="FED71F53"/>
    <w:rsid w:val="FEF7E4AB"/>
    <w:rsid w:val="FEFB00FA"/>
    <w:rsid w:val="FFBFE39F"/>
    <w:rsid w:val="FFDF5779"/>
    <w:rsid w:val="FFEFBBA4"/>
    <w:rsid w:val="FFFE6CC8"/>
    <w:rsid w:val="FFFEC002"/>
    <w:rsid w:val="FFFF175A"/>
    <w:rsid w:val="FFFF18D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sz w:val="24"/>
      <w:szCs w:val="24"/>
      <w:lang w:val="en-US" w:eastAsia="zh-CN" w:bidi="ar-SA"/>
    </w:rPr>
  </w:style>
  <w:style w:type="paragraph" w:styleId="2">
    <w:name w:val="heading 1"/>
    <w:next w:val="1"/>
    <w:link w:val="20"/>
    <w:qFormat/>
    <w:uiPriority w:val="0"/>
    <w:pPr>
      <w:adjustRightInd w:val="0"/>
      <w:spacing w:before="480" w:after="240"/>
      <w:jc w:val="center"/>
      <w:outlineLvl w:val="0"/>
    </w:pPr>
    <w:rPr>
      <w:rFonts w:ascii="Times New Roman" w:hAnsi="Times New Roman" w:eastAsia="宋体" w:cs="Times New Roman"/>
      <w:b/>
      <w:bCs/>
      <w:color w:val="000000"/>
      <w:kern w:val="2"/>
      <w:sz w:val="32"/>
      <w:szCs w:val="32"/>
      <w:lang w:val="en-US" w:eastAsia="zh-CN" w:bidi="ar-SA"/>
    </w:rPr>
  </w:style>
  <w:style w:type="paragraph" w:styleId="3">
    <w:name w:val="heading 2"/>
    <w:next w:val="1"/>
    <w:link w:val="19"/>
    <w:qFormat/>
    <w:uiPriority w:val="0"/>
    <w:pPr>
      <w:widowControl w:val="0"/>
      <w:adjustRightInd w:val="0"/>
      <w:spacing w:before="240" w:after="157" w:afterLines="50"/>
      <w:outlineLvl w:val="1"/>
    </w:pPr>
    <w:rPr>
      <w:rFonts w:ascii="Times New Roman" w:hAnsi="Times New Roman" w:eastAsia="宋体" w:cs="Times New Roman"/>
      <w:b/>
      <w:bCs/>
      <w:color w:val="000000"/>
      <w:kern w:val="2"/>
      <w:sz w:val="30"/>
      <w:szCs w:val="30"/>
      <w:lang w:val="en-US" w:eastAsia="zh-CN" w:bidi="ar-SA"/>
    </w:rPr>
  </w:style>
  <w:style w:type="paragraph" w:styleId="4">
    <w:name w:val="heading 3"/>
    <w:next w:val="1"/>
    <w:qFormat/>
    <w:uiPriority w:val="0"/>
    <w:pPr>
      <w:widowControl w:val="0"/>
      <w:adjustRightInd w:val="0"/>
      <w:spacing w:before="157" w:beforeLines="50" w:after="157" w:afterLines="50"/>
      <w:outlineLvl w:val="2"/>
    </w:pPr>
    <w:rPr>
      <w:rFonts w:ascii="Times New Roman" w:hAnsi="Times New Roman" w:eastAsia="宋体" w:cs="Times New Roman"/>
      <w:b/>
      <w:bCs/>
      <w:color w:val="000000"/>
      <w:sz w:val="28"/>
      <w:szCs w:val="28"/>
      <w:lang w:val="en-US" w:eastAsia="zh-CN" w:bidi="ar-SA"/>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semiHidden/>
    <w:unhideWhenUsed/>
    <w:qFormat/>
    <w:uiPriority w:val="0"/>
    <w:rPr>
      <w:rFonts w:ascii="Arial" w:hAnsi="Arial" w:eastAsia="黑体"/>
      <w:sz w:val="20"/>
      <w:szCs w:val="20"/>
    </w:rPr>
  </w:style>
  <w:style w:type="paragraph" w:styleId="6">
    <w:name w:val="annotation text"/>
    <w:basedOn w:val="1"/>
    <w:qFormat/>
    <w:uiPriority w:val="0"/>
    <w:pPr>
      <w:jc w:val="left"/>
    </w:pPr>
  </w:style>
  <w:style w:type="paragraph" w:styleId="7">
    <w:name w:val="Body Text"/>
    <w:link w:val="28"/>
    <w:qFormat/>
    <w:uiPriority w:val="0"/>
    <w:pPr>
      <w:widowControl w:val="0"/>
      <w:adjustRightInd w:val="0"/>
      <w:spacing w:line="400" w:lineRule="exact"/>
      <w:ind w:firstLine="480" w:firstLineChars="200"/>
      <w:jc w:val="both"/>
    </w:pPr>
    <w:rPr>
      <w:rFonts w:ascii="Times New Roman" w:hAnsi="Times New Roman" w:eastAsia="宋体" w:cs="Times New Roman"/>
      <w:kern w:val="2"/>
      <w:sz w:val="24"/>
      <w:szCs w:val="24"/>
      <w:lang w:val="en-US" w:eastAsia="zh-CN" w:bidi="ar-SA"/>
    </w:rPr>
  </w:style>
  <w:style w:type="paragraph" w:styleId="8">
    <w:name w:val="footer"/>
    <w:basedOn w:val="1"/>
    <w:link w:val="23"/>
    <w:qFormat/>
    <w:uiPriority w:val="0"/>
    <w:pPr>
      <w:tabs>
        <w:tab w:val="center" w:pos="4153"/>
        <w:tab w:val="right" w:pos="8306"/>
      </w:tabs>
      <w:snapToGrid w:val="0"/>
      <w:jc w:val="left"/>
    </w:pPr>
    <w:rPr>
      <w:sz w:val="18"/>
      <w:szCs w:val="18"/>
    </w:rPr>
  </w:style>
  <w:style w:type="paragraph" w:styleId="9">
    <w:name w:val="header"/>
    <w:basedOn w:val="1"/>
    <w:link w:val="22"/>
    <w:qFormat/>
    <w:uiPriority w:val="0"/>
    <w:pPr>
      <w:tabs>
        <w:tab w:val="center" w:pos="4153"/>
        <w:tab w:val="right" w:pos="8306"/>
      </w:tabs>
      <w:snapToGrid w:val="0"/>
      <w:jc w:val="center"/>
    </w:pPr>
    <w:rPr>
      <w:sz w:val="18"/>
      <w:szCs w:val="18"/>
    </w:rPr>
  </w:style>
  <w:style w:type="paragraph" w:styleId="10">
    <w:name w:val="Normal (Web)"/>
    <w:basedOn w:val="1"/>
    <w:qFormat/>
    <w:uiPriority w:val="0"/>
    <w:pPr>
      <w:spacing w:beforeAutospacing="1" w:afterAutospacing="1"/>
      <w:jc w:val="left"/>
    </w:pPr>
  </w:style>
  <w:style w:type="table" w:styleId="12">
    <w:name w:val="Table Grid"/>
    <w:basedOn w:val="1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tcBorders>
        <w:top w:val="single" w:color="auto" w:sz="4" w:space="0"/>
        <w:left w:val="single" w:color="auto" w:sz="4" w:space="0"/>
        <w:bottom w:val="single" w:color="auto" w:sz="4" w:space="0"/>
        <w:right w:val="single" w:color="auto" w:sz="4" w:space="0"/>
      </w:tcBorders>
    </w:tcPr>
  </w:style>
  <w:style w:type="character" w:styleId="14">
    <w:name w:val="Strong"/>
    <w:basedOn w:val="13"/>
    <w:qFormat/>
    <w:uiPriority w:val="0"/>
    <w:rPr>
      <w:b/>
    </w:rPr>
  </w:style>
  <w:style w:type="character" w:styleId="15">
    <w:name w:val="Emphasis"/>
    <w:basedOn w:val="13"/>
    <w:qFormat/>
    <w:uiPriority w:val="0"/>
    <w:rPr>
      <w:i/>
    </w:rPr>
  </w:style>
  <w:style w:type="character" w:styleId="16">
    <w:name w:val="Hyperlink"/>
    <w:basedOn w:val="13"/>
    <w:qFormat/>
    <w:uiPriority w:val="0"/>
    <w:rPr>
      <w:color w:val="0000FF"/>
      <w:u w:val="single"/>
    </w:rPr>
  </w:style>
  <w:style w:type="character" w:styleId="17">
    <w:name w:val="annotation reference"/>
    <w:basedOn w:val="13"/>
    <w:qFormat/>
    <w:uiPriority w:val="0"/>
    <w:rPr>
      <w:sz w:val="21"/>
      <w:szCs w:val="21"/>
    </w:rPr>
  </w:style>
  <w:style w:type="character" w:customStyle="1" w:styleId="18">
    <w:name w:val="katex-mathml"/>
    <w:basedOn w:val="13"/>
    <w:qFormat/>
    <w:uiPriority w:val="0"/>
  </w:style>
  <w:style w:type="character" w:customStyle="1" w:styleId="19">
    <w:name w:val="标题 2 字符"/>
    <w:link w:val="3"/>
    <w:qFormat/>
    <w:uiPriority w:val="0"/>
    <w:rPr>
      <w:rFonts w:ascii="Times New Roman" w:hAnsi="Times New Roman" w:eastAsia="宋体" w:cs="Times New Roman"/>
      <w:b/>
      <w:bCs/>
      <w:color w:val="000000"/>
      <w:kern w:val="2"/>
      <w:sz w:val="30"/>
      <w:szCs w:val="30"/>
      <w:lang w:val="en-US" w:eastAsia="zh-CN" w:bidi="ar-SA"/>
    </w:rPr>
  </w:style>
  <w:style w:type="character" w:customStyle="1" w:styleId="20">
    <w:name w:val="标题 1 字符"/>
    <w:link w:val="2"/>
    <w:qFormat/>
    <w:uiPriority w:val="0"/>
    <w:rPr>
      <w:rFonts w:ascii="Times New Roman" w:hAnsi="Times New Roman" w:eastAsia="宋体" w:cs="Times New Roman"/>
      <w:b/>
      <w:bCs/>
      <w:color w:val="000000"/>
      <w:kern w:val="2"/>
      <w:sz w:val="32"/>
      <w:szCs w:val="32"/>
      <w:lang w:val="en-US" w:eastAsia="zh-CN" w:bidi="ar-SA"/>
    </w:rPr>
  </w:style>
  <w:style w:type="character" w:customStyle="1" w:styleId="21">
    <w:name w:val="正文 Char"/>
    <w:qFormat/>
    <w:uiPriority w:val="0"/>
    <w:rPr>
      <w:rFonts w:ascii="Times New Roman" w:hAnsi="Times New Roman" w:eastAsia="宋体" w:cs="Times New Roman"/>
      <w:sz w:val="24"/>
      <w:szCs w:val="24"/>
      <w:lang w:val="en-US" w:eastAsia="zh-CN" w:bidi="ar-SA"/>
    </w:rPr>
  </w:style>
  <w:style w:type="character" w:customStyle="1" w:styleId="22">
    <w:name w:val="页眉 字符"/>
    <w:basedOn w:val="13"/>
    <w:link w:val="9"/>
    <w:qFormat/>
    <w:uiPriority w:val="0"/>
    <w:rPr>
      <w:sz w:val="18"/>
      <w:szCs w:val="18"/>
    </w:rPr>
  </w:style>
  <w:style w:type="character" w:customStyle="1" w:styleId="23">
    <w:name w:val="页脚 字符"/>
    <w:basedOn w:val="13"/>
    <w:link w:val="8"/>
    <w:qFormat/>
    <w:uiPriority w:val="0"/>
    <w:rPr>
      <w:sz w:val="18"/>
      <w:szCs w:val="18"/>
    </w:rPr>
  </w:style>
  <w:style w:type="character" w:customStyle="1" w:styleId="24">
    <w:name w:val="10"/>
    <w:basedOn w:val="13"/>
    <w:qFormat/>
    <w:uiPriority w:val="0"/>
    <w:rPr>
      <w:rFonts w:hint="default" w:ascii="Times New Roman" w:hAnsi="Times New Roman" w:cs="Times New Roman"/>
    </w:rPr>
  </w:style>
  <w:style w:type="character" w:customStyle="1" w:styleId="25">
    <w:name w:val="15"/>
    <w:basedOn w:val="13"/>
    <w:qFormat/>
    <w:uiPriority w:val="0"/>
    <w:rPr>
      <w:rFonts w:hint="default" w:ascii="Times New Roman" w:hAnsi="Times New Roman" w:cs="Times New Roman"/>
      <w:color w:val="000000"/>
      <w:sz w:val="18"/>
      <w:szCs w:val="18"/>
    </w:rPr>
  </w:style>
  <w:style w:type="character" w:customStyle="1" w:styleId="26">
    <w:name w:val="16"/>
    <w:basedOn w:val="13"/>
    <w:qFormat/>
    <w:uiPriority w:val="0"/>
    <w:rPr>
      <w:rFonts w:hint="eastAsia" w:ascii="宋体" w:hAnsi="宋体" w:eastAsia="宋体" w:cs="宋体"/>
      <w:color w:val="000000"/>
      <w:sz w:val="18"/>
      <w:szCs w:val="18"/>
    </w:rPr>
  </w:style>
  <w:style w:type="paragraph" w:customStyle="1" w:styleId="27">
    <w:name w:val="MTDisplayEquation"/>
    <w:basedOn w:val="7"/>
    <w:next w:val="1"/>
    <w:link w:val="29"/>
    <w:qFormat/>
    <w:uiPriority w:val="0"/>
    <w:pPr>
      <w:tabs>
        <w:tab w:val="center" w:pos="4160"/>
        <w:tab w:val="right" w:pos="8300"/>
      </w:tabs>
      <w:spacing w:after="60" w:line="240" w:lineRule="auto"/>
      <w:ind w:firstLine="400"/>
    </w:pPr>
    <w:rPr>
      <w:color w:val="000000" w:themeColor="text1"/>
      <w14:textFill>
        <w14:solidFill>
          <w14:schemeClr w14:val="tx1"/>
        </w14:solidFill>
      </w14:textFill>
    </w:rPr>
  </w:style>
  <w:style w:type="character" w:customStyle="1" w:styleId="28">
    <w:name w:val="正文文本 字符"/>
    <w:basedOn w:val="13"/>
    <w:link w:val="7"/>
    <w:qFormat/>
    <w:uiPriority w:val="0"/>
    <w:rPr>
      <w:kern w:val="2"/>
      <w:sz w:val="24"/>
      <w:szCs w:val="24"/>
    </w:rPr>
  </w:style>
  <w:style w:type="character" w:customStyle="1" w:styleId="29">
    <w:name w:val="MTDisplayEquation 字符"/>
    <w:basedOn w:val="28"/>
    <w:link w:val="27"/>
    <w:qFormat/>
    <w:uiPriority w:val="0"/>
    <w:rPr>
      <w:color w:val="000000" w:themeColor="text1"/>
      <w:kern w:val="2"/>
      <w:sz w:val="24"/>
      <w:szCs w:val="24"/>
      <w14:textFill>
        <w14:solidFill>
          <w14:schemeClr w14:val="tx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image" Target="media/image3.wmf"/><Relationship Id="rId8" Type="http://schemas.openxmlformats.org/officeDocument/2006/relationships/oleObject" Target="embeddings/oleObject1.bin"/><Relationship Id="rId7" Type="http://schemas.openxmlformats.org/officeDocument/2006/relationships/image" Target="media/image2.png"/><Relationship Id="rId60" Type="http://schemas.microsoft.com/office/2011/relationships/people" Target="people.xml"/><Relationship Id="rId6" Type="http://schemas.openxmlformats.org/officeDocument/2006/relationships/image" Target="media/image1.png"/><Relationship Id="rId59" Type="http://schemas.openxmlformats.org/officeDocument/2006/relationships/fontTable" Target="fontTable.xml"/><Relationship Id="rId58" Type="http://schemas.openxmlformats.org/officeDocument/2006/relationships/image" Target="media/image34.wmf"/><Relationship Id="rId57" Type="http://schemas.openxmlformats.org/officeDocument/2006/relationships/oleObject" Target="embeddings/oleObject19.bin"/><Relationship Id="rId56" Type="http://schemas.openxmlformats.org/officeDocument/2006/relationships/image" Target="media/image33.wmf"/><Relationship Id="rId55" Type="http://schemas.openxmlformats.org/officeDocument/2006/relationships/oleObject" Target="embeddings/oleObject18.bin"/><Relationship Id="rId54" Type="http://schemas.openxmlformats.org/officeDocument/2006/relationships/image" Target="media/image32.wmf"/><Relationship Id="rId53" Type="http://schemas.openxmlformats.org/officeDocument/2006/relationships/oleObject" Target="embeddings/oleObject17.bin"/><Relationship Id="rId52" Type="http://schemas.openxmlformats.org/officeDocument/2006/relationships/image" Target="media/image31.wmf"/><Relationship Id="rId51" Type="http://schemas.openxmlformats.org/officeDocument/2006/relationships/oleObject" Target="embeddings/oleObject16.bin"/><Relationship Id="rId50" Type="http://schemas.openxmlformats.org/officeDocument/2006/relationships/image" Target="media/image30.wmf"/><Relationship Id="rId5" Type="http://schemas.openxmlformats.org/officeDocument/2006/relationships/theme" Target="theme/theme1.xml"/><Relationship Id="rId49" Type="http://schemas.openxmlformats.org/officeDocument/2006/relationships/oleObject" Target="embeddings/oleObject15.bin"/><Relationship Id="rId48" Type="http://schemas.openxmlformats.org/officeDocument/2006/relationships/image" Target="media/image29.wmf"/><Relationship Id="rId47" Type="http://schemas.openxmlformats.org/officeDocument/2006/relationships/oleObject" Target="embeddings/oleObject14.bin"/><Relationship Id="rId46" Type="http://schemas.openxmlformats.org/officeDocument/2006/relationships/image" Target="media/image28.wmf"/><Relationship Id="rId45" Type="http://schemas.openxmlformats.org/officeDocument/2006/relationships/oleObject" Target="embeddings/oleObject13.bin"/><Relationship Id="rId44" Type="http://schemas.openxmlformats.org/officeDocument/2006/relationships/image" Target="media/image27.wmf"/><Relationship Id="rId43" Type="http://schemas.openxmlformats.org/officeDocument/2006/relationships/oleObject" Target="embeddings/oleObject12.bin"/><Relationship Id="rId42" Type="http://schemas.openxmlformats.org/officeDocument/2006/relationships/image" Target="media/image26.png"/><Relationship Id="rId41" Type="http://schemas.openxmlformats.org/officeDocument/2006/relationships/image" Target="media/image25.png"/><Relationship Id="rId40" Type="http://schemas.openxmlformats.org/officeDocument/2006/relationships/image" Target="media/image24.png"/><Relationship Id="rId4" Type="http://schemas.microsoft.com/office/2011/relationships/commentsExtended" Target="commentsExtended.xml"/><Relationship Id="rId39" Type="http://schemas.openxmlformats.org/officeDocument/2006/relationships/image" Target="media/image23.png"/><Relationship Id="rId38" Type="http://schemas.openxmlformats.org/officeDocument/2006/relationships/image" Target="media/image22.png"/><Relationship Id="rId37" Type="http://schemas.openxmlformats.org/officeDocument/2006/relationships/image" Target="media/image21.wmf"/><Relationship Id="rId36" Type="http://schemas.openxmlformats.org/officeDocument/2006/relationships/oleObject" Target="embeddings/oleObject11.bin"/><Relationship Id="rId35" Type="http://schemas.openxmlformats.org/officeDocument/2006/relationships/image" Target="media/image20.png"/><Relationship Id="rId34" Type="http://schemas.openxmlformats.org/officeDocument/2006/relationships/image" Target="media/image19.png"/><Relationship Id="rId33" Type="http://schemas.openxmlformats.org/officeDocument/2006/relationships/image" Target="media/image18.png"/><Relationship Id="rId32" Type="http://schemas.openxmlformats.org/officeDocument/2006/relationships/image" Target="media/image17.png"/><Relationship Id="rId31" Type="http://schemas.openxmlformats.org/officeDocument/2006/relationships/image" Target="media/image16.wmf"/><Relationship Id="rId30" Type="http://schemas.openxmlformats.org/officeDocument/2006/relationships/oleObject" Target="embeddings/oleObject10.bin"/><Relationship Id="rId3" Type="http://schemas.openxmlformats.org/officeDocument/2006/relationships/comments" Target="comments.xml"/><Relationship Id="rId29" Type="http://schemas.openxmlformats.org/officeDocument/2006/relationships/image" Target="media/image15.wmf"/><Relationship Id="rId28" Type="http://schemas.openxmlformats.org/officeDocument/2006/relationships/oleObject" Target="embeddings/oleObject9.bin"/><Relationship Id="rId27" Type="http://schemas.openxmlformats.org/officeDocument/2006/relationships/image" Target="media/image14.wmf"/><Relationship Id="rId26" Type="http://schemas.openxmlformats.org/officeDocument/2006/relationships/oleObject" Target="embeddings/oleObject8.bin"/><Relationship Id="rId25" Type="http://schemas.openxmlformats.org/officeDocument/2006/relationships/image" Target="media/image13.wmf"/><Relationship Id="rId24" Type="http://schemas.openxmlformats.org/officeDocument/2006/relationships/oleObject" Target="embeddings/oleObject7.bin"/><Relationship Id="rId23" Type="http://schemas.openxmlformats.org/officeDocument/2006/relationships/image" Target="media/image12.wmf"/><Relationship Id="rId22" Type="http://schemas.openxmlformats.org/officeDocument/2006/relationships/oleObject" Target="embeddings/oleObject6.bin"/><Relationship Id="rId21" Type="http://schemas.openxmlformats.org/officeDocument/2006/relationships/image" Target="media/image11.png"/><Relationship Id="rId20" Type="http://schemas.openxmlformats.org/officeDocument/2006/relationships/image" Target="media/image10.wmf"/><Relationship Id="rId2" Type="http://schemas.openxmlformats.org/officeDocument/2006/relationships/settings" Target="settings.xml"/><Relationship Id="rId19" Type="http://schemas.openxmlformats.org/officeDocument/2006/relationships/oleObject" Target="embeddings/oleObject5.bin"/><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wmf"/><Relationship Id="rId14" Type="http://schemas.openxmlformats.org/officeDocument/2006/relationships/oleObject" Target="embeddings/oleObject4.bin"/><Relationship Id="rId13" Type="http://schemas.openxmlformats.org/officeDocument/2006/relationships/image" Target="media/image5.wmf"/><Relationship Id="rId12" Type="http://schemas.openxmlformats.org/officeDocument/2006/relationships/oleObject" Target="embeddings/oleObject3.bin"/><Relationship Id="rId11" Type="http://schemas.openxmlformats.org/officeDocument/2006/relationships/image" Target="media/image4.wmf"/><Relationship Id="rId10" Type="http://schemas.openxmlformats.org/officeDocument/2006/relationships/oleObject" Target="embeddings/oleObject2.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30</Pages>
  <Words>7356</Words>
  <Characters>8400</Characters>
  <Lines>309</Lines>
  <Paragraphs>87</Paragraphs>
  <TotalTime>4</TotalTime>
  <ScaleCrop>false</ScaleCrop>
  <LinksUpToDate>false</LinksUpToDate>
  <CharactersWithSpaces>8462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2026-04-20T12:54:00Z</dcterms:created>
  <dc:creator>ZMY</dc:creator>
  <cp:lastModifiedBy>ZMY</cp:lastModifiedBy>
  <dcterms:modified xsi:type="dcterms:W3CDTF">2026-05-19T06:02:54Z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D629DB4E57B17C0CD4CE0B6AA9ED85BF_43</vt:lpwstr>
  </property>
  <property fmtid="{D5CDD505-2E9C-101B-9397-08002B2CF9AE}" pid="4" name="KSOTemplateDocerSaveRecord">
    <vt:lpwstr>eyJoZGlkIjoiNDFlZjNhMjJkM2MxZTYzYTBlOGFiZWQ3YzU1ZDRjNGQiLCJ1c2VySWQiOiIxMjQ5MzQyNTU1In0=</vt:lpwstr>
  </property>
  <property fmtid="{D5CDD505-2E9C-101B-9397-08002B2CF9AE}" pid="5" name="MTWinEqns">
    <vt:bool>true</vt:bool>
  </property>
</Properties>
</file>