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季度业务复盘报告</w:t>
      </w:r>
    </w:p>
    <w:p>
      <w:r>
        <w:rPr>
          <w:sz w:val="28"/>
        </w:rPr>
        <w:t>本报告汇总了 2026 年第三季度各业务线的核心指标，</w:t>
      </w:r>
      <w:r>
        <w:rPr>
          <w:b/>
          <w:color w:val="C00000"/>
          <w:sz w:val="28"/>
        </w:rPr>
        <w:t>重点标注了异常波动项</w:t>
      </w:r>
      <w:r>
        <w:rPr>
          <w:sz w:val="28"/>
        </w:rPr>
        <w:t>。</w:t>
      </w:r>
    </w:p>
    <w:p>
      <w:r>
        <w:rPr>
          <w:i/>
          <w:sz w:val="24"/>
        </w:rPr>
        <w:t>斜体说明文字：</w:t>
      </w:r>
      <w:r>
        <w:rPr>
          <w:color w:val="1F4E79"/>
          <w:u w:val="single"/>
        </w:rPr>
        <w:t>下划线强调</w:t>
      </w:r>
    </w:p>
    <w:p>
      <w:pPr>
        <w:pStyle w:val="Heading1"/>
      </w:pPr>
      <w:r>
        <w:t>一、核心指标</w:t>
      </w:r>
    </w:p>
    <w:p>
      <w:pPr>
        <w:pStyle w:val="Heading2"/>
      </w:pPr>
      <w:r>
        <w:t>1.1 收入构成</w:t>
      </w:r>
    </w:p>
    <w:p>
      <w:pPr>
        <w:pStyle w:val="ListBullet"/>
      </w:pPr>
      <w:r>
        <w:t>订阅收入：占比 62%，同比 +18%</w:t>
      </w:r>
    </w:p>
    <w:p>
      <w:pPr>
        <w:pStyle w:val="ListBullet"/>
      </w:pPr>
      <w:r>
        <w:t>广告收入：占比 25%，同比 -4%</w:t>
      </w:r>
    </w:p>
    <w:p>
      <w:pPr>
        <w:pStyle w:val="ListBullet"/>
      </w:pPr>
      <w:r>
        <w:t>增值服务：占比 13%，同比 +31%</w:t>
      </w:r>
    </w:p>
    <w:p>
      <w:pPr>
        <w:pStyle w:val="ListNumber"/>
      </w:pPr>
      <w:r>
        <w:t>确认口径调整后的可比基数</w:t>
      </w:r>
    </w:p>
    <w:p>
      <w:pPr>
        <w:pStyle w:val="ListNumber"/>
      </w:pPr>
      <w:r>
        <w:t>剔除一次性减值影响</w:t>
      </w:r>
    </w:p>
    <w:p>
      <w:pPr>
        <w:pStyle w:val="ListNumber"/>
      </w:pPr>
      <w:r>
        <w:t>按区域重新分摊公共成本</w:t>
      </w:r>
    </w:p>
    <w:p>
      <w:pPr>
        <w:spacing w:after="240"/>
        <w:ind w:left="1134" w:right="850" w:firstLine="567"/>
      </w:pPr>
      <w:r>
        <w:t>这是一段带左右缩进与首行缩进的正文，用于验证缩进还原效果。</w:t>
      </w:r>
    </w:p>
    <w:p>
      <w:pPr>
        <w:jc w:val="right"/>
      </w:pPr>
      <w:r>
        <w:t>—— 数据截止 2026-09-30</w:t>
      </w:r>
    </w:p>
    <w:p>
      <w:pPr>
        <w:pStyle w:val="Heading1"/>
      </w:pPr>
      <w:r>
        <w:t>二、分区域明细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b/>
              </w:rPr>
              <w:t>区域</w:t>
            </w:r>
          </w:p>
        </w:tc>
        <w:tc>
          <w:tcPr>
            <w:tcW w:type="dxa" w:w="2076"/>
          </w:tcPr>
          <w:p>
            <w:r>
              <w:rPr>
                <w:b/>
              </w:rPr>
              <w:t>收入(万元)</w:t>
            </w:r>
          </w:p>
        </w:tc>
        <w:tc>
          <w:tcPr>
            <w:tcW w:type="dxa" w:w="2076"/>
          </w:tcPr>
          <w:p>
            <w:r>
              <w:rPr>
                <w:b/>
              </w:rPr>
              <w:t>同比</w:t>
            </w:r>
          </w:p>
        </w:tc>
        <w:tc>
          <w:tcPr>
            <w:tcW w:type="dxa" w:w="2076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076"/>
          </w:tcPr>
          <w:p>
            <w:r>
              <w:t>华东</w:t>
            </w:r>
          </w:p>
        </w:tc>
        <w:tc>
          <w:tcPr>
            <w:tcW w:type="dxa" w:w="2076"/>
          </w:tcPr>
          <w:p>
            <w:r>
              <w:t>4,820</w:t>
            </w:r>
          </w:p>
        </w:tc>
        <w:tc>
          <w:tcPr>
            <w:tcW w:type="dxa" w:w="2076"/>
          </w:tcPr>
          <w:p>
            <w:r>
              <w:t>+12%</w:t>
            </w:r>
          </w:p>
        </w:tc>
        <w:tc>
          <w:tcPr>
            <w:tcW w:type="dxa" w:w="2076"/>
          </w:tcPr>
          <w:p>
            <w:r>
              <w:t>104%</w:t>
            </w:r>
          </w:p>
        </w:tc>
      </w:tr>
      <w:tr>
        <w:tc>
          <w:tcPr>
            <w:tcW w:type="dxa" w:w="2076"/>
          </w:tcPr>
          <w:p>
            <w:r>
              <w:t>华南</w:t>
            </w:r>
          </w:p>
        </w:tc>
        <w:tc>
          <w:tcPr>
            <w:tcW w:type="dxa" w:w="2076"/>
          </w:tcPr>
          <w:p>
            <w:r>
              <w:t>3,150</w:t>
            </w:r>
          </w:p>
        </w:tc>
        <w:tc>
          <w:tcPr>
            <w:tcW w:type="dxa" w:w="2076"/>
          </w:tcPr>
          <w:p>
            <w:r>
              <w:t>+8%</w:t>
            </w:r>
          </w:p>
        </w:tc>
        <w:tc>
          <w:tcPr>
            <w:tcW w:type="dxa" w:w="2076"/>
          </w:tcPr>
          <w:p>
            <w:r>
              <w:t>97%</w:t>
            </w:r>
          </w:p>
        </w:tc>
      </w:tr>
      <w:tr>
        <w:tc>
          <w:tcPr>
            <w:tcW w:type="dxa" w:w="2076"/>
          </w:tcPr>
          <w:p>
            <w:r>
              <w:t>华北</w:t>
            </w:r>
          </w:p>
        </w:tc>
        <w:tc>
          <w:tcPr>
            <w:tcW w:type="dxa" w:w="2076"/>
          </w:tcPr>
          <w:p>
            <w:r>
              <w:t>2,760</w:t>
            </w:r>
          </w:p>
        </w:tc>
        <w:tc>
          <w:tcPr>
            <w:tcW w:type="dxa" w:w="2076"/>
          </w:tcPr>
          <w:p>
            <w:r>
              <w:t>-3%</w:t>
            </w:r>
          </w:p>
        </w:tc>
        <w:tc>
          <w:tcPr>
            <w:tcW w:type="dxa" w:w="2076"/>
          </w:tcPr>
          <w:p>
            <w:r>
              <w:t>88%</w:t>
            </w:r>
          </w:p>
        </w:tc>
      </w:tr>
      <w:tr>
        <w:tc>
          <w:tcPr>
            <w:tcW w:type="dxa" w:w="2076"/>
          </w:tcPr>
          <w:p>
            <w:r>
              <w:t>西部</w:t>
            </w:r>
          </w:p>
        </w:tc>
        <w:tc>
          <w:tcPr>
            <w:tcW w:type="dxa" w:w="2076"/>
          </w:tcPr>
          <w:p>
            <w:r>
              <w:t>1,430</w:t>
            </w:r>
          </w:p>
        </w:tc>
        <w:tc>
          <w:tcPr>
            <w:tcW w:type="dxa" w:w="2076"/>
          </w:tcPr>
          <w:p>
            <w:r>
              <w:t>+25%</w:t>
            </w:r>
          </w:p>
        </w:tc>
        <w:tc>
          <w:tcPr>
            <w:tcW w:type="dxa" w:w="2076"/>
          </w:tcPr>
          <w:p>
            <w:r>
              <w:t>112%</w:t>
            </w:r>
          </w:p>
        </w:tc>
      </w:tr>
    </w:tbl>
    <w:p>
      <w:pPr>
        <w:pStyle w:val="Heading1"/>
      </w:pPr>
      <w:r>
        <w:t>三、趋势图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四、附录：明细说明</w:t>
      </w:r>
    </w:p>
    <w:p>
      <w:pPr>
        <w:spacing w:after="80"/>
      </w:pPr>
      <w:r>
        <w:t>附录第 1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2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3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4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5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6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7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8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9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10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11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12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13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14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15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16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17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18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19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20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21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22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23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24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25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26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27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28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29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30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31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32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33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34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35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36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37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38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39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40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41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42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43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44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45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46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47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48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49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50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51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52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53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54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55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56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57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58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59 条：本条目用于增加文档体量，验证解析耗时。包含若干中文与 English 混排文本，以及数字 123456 与符号 。</w:t>
      </w:r>
    </w:p>
    <w:p>
      <w:pPr>
        <w:spacing w:after="80"/>
      </w:pPr>
      <w:r>
        <w:t>附录第 60 条：本条目用于增加文档体量，验证解析耗时。包含若干中文与 English 混排文本，以及数字 123456 与符号 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