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360" w:lineRule="auto" w:after="120"/>
      </w:pPr>
      <w:r>
        <w:t>Yu Zhang</w:t>
      </w:r>
    </w:p>
    <w:p>
      <w:pPr>
        <w:spacing w:line="360" w:lineRule="auto" w:after="120"/>
      </w:pPr>
      <w:r>
        <w:t>Clinical Pharmacy Program, School of Pharmacy, Anhui Medical University, Hefei, Anhui, China</w:t>
      </w:r>
    </w:p>
    <w:p>
      <w:pPr>
        <w:spacing w:line="360" w:lineRule="auto" w:after="120"/>
      </w:pPr>
      <w:r>
        <w:t>Correspondence: mengyufanqiu@gmail.com</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cross-matched the result against the 1,111-compound gold standard of Seal et al. (2024) by PubChem InChIKey, and recomputed all cross-source statistics under three matching tiers (strict full-InChIKey; full + InChIKey14; identity conflicts excluded). The full official FDA DILIst dataset (1,279 drugs) was additionally matched against DILIrank 1.0. No new predictive model was developed; previously reproduced held-out predictions and cross-validation-derived scores for the 23 reclassified training-set compounds were analyzed descriptively under the original pipeline's convention (disclosed; Supplementary Information, Tables S1–S2).</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Among the matched ambiguous compounds: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ambiguous class and is directional: the 1.0→2.0 update moved drugs only into defined concern categories, and the ambiguous class is labeled negative in the full DILIst dataset (120/122) yet carries binary labels of opposite direction across the benchmark's two disjoint channels. These are descriptive properties of the shipped data, not claims about label correctness. Benchmarks should treat the ambiguous class explicitly and record per-drug label provenance.</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We report three checkable quantities: the directionally asymmetric reclassification pattern of the 1.0→2.0 update; the source-dependent binary labels that compounds classified as ambiguous in DILIrank 1.0 carry in a published benchmark; and the same-drug label correspondence between DILIrank 1.0 and the full official DILIst dataset. The analysis is descriptive and reproducible, and no claim of improved prediction is made.</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No new predictive model was developed. Previously reproduced held-out predictions (the 223-compound probability vector of the Seal et al. FeatureNet model, verified against the authors' published predictions to floating-point precision in earlier work; see Data availability) and cross-validation-derived scores for the 23 reclassified training-set compounds were analyzed descriptively. The scores use the original pipeline's own cross-validation convention — the 4-fold cross_val_predict of the selected final model that the authors themselves use for threshold selection; model selection used all 888 training labels, as in the original pipeline, and this convention is disclosed, not presented as leakage-free nested cross-validation estimates (Table S2). The Youden threshold (0.6386) is the published value reported by Seal et al. [6]; it was not refitted on the held-out set for this work.</w:t>
      </w:r>
    </w:p>
    <w:p>
      <w:pPr>
        <w:spacing w:line="360" w:lineRule="auto" w:after="120"/>
      </w:pPr>
      <w:r>
        <w:rPr>
          <w:b/>
        </w:rPr>
        <w:t>Generative AI use.</w:t>
      </w:r>
      <w:r>
        <w:t xml:space="preserve"> Generative AI tools were used during the preparation of this work: ChatGPT (OpenAI) assisted research positioning, literature discussion, and iterative manuscript review and revision; Claude (Anthropic) assisted drafting and revising manuscript text, language editing, and the generation and debugging of the reproduction and analysis scripts (`repro/generate_analysis.py`, `repro/full_dilist_comparison.py`, `repro/make_figures.py`, and the document converter). The study design and analytical decisions were refined through iterative review of successive drafts. The author verified every reported finding against the source data and analysis outputs and takes responsibility for the final manuscript.</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i-DILI [4] harmonizes seven sources into one binary label with a confidence score, reports kappa = 0.888 over 480 shared drugs under a most/less→positive, no→negative binarization that drops the ambiguous class, and uses only DILIrank 2.0. StateFlux [5]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the present audit addresses the version drift and source-dependent labeling of one DILI-specific reference-label system, without model-performance claims. Label-provenance effects and stereochemical-matching effects are therefore treated as established [10]; what is reported here is the specific accounting for the DILI reference labels — the directionally asymmetric reclassification pattern, the path by which ambiguous compounds arrive in a published benchmark with binary labels, and the same-drug label correspondence between DILIrank 1.0 and the full official DILIst dataset.</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checks may help identify label discrepancies before model evaluation.</w:t>
      </w:r>
    </w:p>
    <w:p>
      <w:pPr>
        <w:pStyle w:val="Heading1"/>
      </w:pPr>
      <w:r>
        <w:t>Declarations</w:t>
      </w:r>
    </w:p>
    <w:p>
      <w:pPr>
        <w:spacing w:line="360" w:lineRule="auto" w:after="120"/>
      </w:pPr>
      <w:r>
        <w:t>Declarations of interest: none. Funding: none. This study used only public datasets and previously published data; no ethical approval was required.</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Zhu W, Liu Y, Wang Y, Feng P.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