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rPr>
          <w:sz w:val="32"/>
        </w:rPr>
        <w:t>Supplementary Information — DILI label stability data note (v1.0)</w:t>
      </w:r>
    </w:p>
    <w:p>
      <w:pPr>
        <w:spacing w:line="360" w:lineRule="auto" w:after="120"/>
      </w:pPr>
      <w:r>
        <w:rPr>
          <w:b/>
        </w:rPr>
        <w:t>Table S1. The five Tier-B held-out reclassified drugs (all carry a "less" label in DILIrank 2.0).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  <w:t>Drug</w:t>
            </w:r>
          </w:p>
        </w:tc>
        <w:tc>
          <w:tcPr>
            <w:tcW w:type="dxa" w:w="1728"/>
          </w:tcPr>
          <w:p>
            <w:r>
              <w:rPr>
                <w:b/>
              </w:rPr>
              <w:t>Change (1.0 → 2.0)</w:t>
            </w:r>
          </w:p>
        </w:tc>
        <w:tc>
          <w:tcPr>
            <w:tcW w:type="dxa" w:w="1728"/>
          </w:tcPr>
          <w:p>
            <w:r>
              <w:rPr>
                <w:b/>
              </w:rPr>
              <w:t>Match quality</w:t>
            </w:r>
          </w:p>
        </w:tc>
        <w:tc>
          <w:tcPr>
            <w:tcW w:type="dxa" w:w="1728"/>
          </w:tcPr>
          <w:p>
            <w:r>
              <w:rPr>
                <w:b/>
              </w:rPr>
              <w:t>P(y=1)</w:t>
            </w:r>
          </w:p>
        </w:tc>
        <w:tc>
          <w:tcPr>
            <w:tcW w:type="dxa" w:w="1728"/>
          </w:tcPr>
          <w:p>
            <w:r>
              <w:rPr>
                <w:b/>
              </w:rPr>
              <w:t>Predicted at Youden (0.6386)</w:t>
            </w:r>
          </w:p>
        </w:tc>
      </w:tr>
      <w:tr>
        <w:tc>
          <w:tcPr>
            <w:tcW w:type="dxa" w:w="1728"/>
          </w:tcPr>
          <w:p>
            <w:r>
              <w:t>raloxifene</w:t>
            </w:r>
          </w:p>
        </w:tc>
        <w:tc>
          <w:tcPr>
            <w:tcW w:type="dxa" w:w="1728"/>
          </w:tcPr>
          <w:p>
            <w:r>
              <w:t>no → less</w:t>
            </w:r>
          </w:p>
        </w:tc>
        <w:tc>
          <w:tcPr>
            <w:tcW w:type="dxa" w:w="1728"/>
          </w:tcPr>
          <w:p>
            <w:r>
              <w:t>full InChIKey</w:t>
            </w:r>
          </w:p>
        </w:tc>
        <w:tc>
          <w:tcPr>
            <w:tcW w:type="dxa" w:w="1728"/>
          </w:tcPr>
          <w:p>
            <w:r>
              <w:t>0.693</w:t>
            </w:r>
          </w:p>
        </w:tc>
        <w:tc>
          <w:tcPr>
            <w:tcW w:type="dxa" w:w="1728"/>
          </w:tcPr>
          <w:p>
            <w:r>
              <w:t>positive</w:t>
            </w:r>
          </w:p>
        </w:tc>
      </w:tr>
      <w:tr>
        <w:tc>
          <w:tcPr>
            <w:tcW w:type="dxa" w:w="1728"/>
          </w:tcPr>
          <w:p>
            <w:r>
              <w:t>flavoxate</w:t>
            </w:r>
          </w:p>
        </w:tc>
        <w:tc>
          <w:tcPr>
            <w:tcW w:type="dxa" w:w="1728"/>
          </w:tcPr>
          <w:p>
            <w:r>
              <w:t>no → less</w:t>
            </w:r>
          </w:p>
        </w:tc>
        <w:tc>
          <w:tcPr>
            <w:tcW w:type="dxa" w:w="1728"/>
          </w:tcPr>
          <w:p>
            <w:r>
              <w:t>full InChIKey</w:t>
            </w:r>
          </w:p>
        </w:tc>
        <w:tc>
          <w:tcPr>
            <w:tcW w:type="dxa" w:w="1728"/>
          </w:tcPr>
          <w:p>
            <w:r>
              <w:t>0.717</w:t>
            </w:r>
          </w:p>
        </w:tc>
        <w:tc>
          <w:tcPr>
            <w:tcW w:type="dxa" w:w="1728"/>
          </w:tcPr>
          <w:p>
            <w:r>
              <w:t>positive</w:t>
            </w:r>
          </w:p>
        </w:tc>
      </w:tr>
      <w:tr>
        <w:tc>
          <w:tcPr>
            <w:tcW w:type="dxa" w:w="1728"/>
          </w:tcPr>
          <w:p>
            <w:r>
              <w:t>saxagliptin</w:t>
            </w:r>
          </w:p>
        </w:tc>
        <w:tc>
          <w:tcPr>
            <w:tcW w:type="dxa" w:w="1728"/>
          </w:tcPr>
          <w:p>
            <w:r>
              <w:t>no → less</w:t>
            </w:r>
          </w:p>
        </w:tc>
        <w:tc>
          <w:tcPr>
            <w:tcW w:type="dxa" w:w="1728"/>
          </w:tcPr>
          <w:p>
            <w:r>
              <w:t>InChIKey14-only</w:t>
            </w:r>
          </w:p>
        </w:tc>
        <w:tc>
          <w:tcPr>
            <w:tcW w:type="dxa" w:w="1728"/>
          </w:tcPr>
          <w:p>
            <w:r>
              <w:t>0.515</w:t>
            </w:r>
          </w:p>
        </w:tc>
        <w:tc>
          <w:tcPr>
            <w:tcW w:type="dxa" w:w="1728"/>
          </w:tcPr>
          <w:p>
            <w:r>
              <w:t>negative</w:t>
            </w:r>
          </w:p>
        </w:tc>
      </w:tr>
      <w:tr>
        <w:tc>
          <w:tcPr>
            <w:tcW w:type="dxa" w:w="1728"/>
          </w:tcPr>
          <w:p>
            <w:r>
              <w:t>tadalafil</w:t>
            </w:r>
          </w:p>
        </w:tc>
        <w:tc>
          <w:tcPr>
            <w:tcW w:type="dxa" w:w="1728"/>
          </w:tcPr>
          <w:p>
            <w:r>
              <w:t>ambiguous → less</w:t>
            </w:r>
          </w:p>
        </w:tc>
        <w:tc>
          <w:tcPr>
            <w:tcW w:type="dxa" w:w="1728"/>
          </w:tcPr>
          <w:p>
            <w:r>
              <w:t>InChIKey14-only</w:t>
            </w:r>
          </w:p>
        </w:tc>
        <w:tc>
          <w:tcPr>
            <w:tcW w:type="dxa" w:w="1728"/>
          </w:tcPr>
          <w:p>
            <w:r>
              <w:t>0.625</w:t>
            </w:r>
          </w:p>
        </w:tc>
        <w:tc>
          <w:tcPr>
            <w:tcW w:type="dxa" w:w="1728"/>
          </w:tcPr>
          <w:p>
            <w:r>
              <w:t>negative</w:t>
            </w:r>
          </w:p>
        </w:tc>
      </w:tr>
      <w:tr>
        <w:tc>
          <w:tcPr>
            <w:tcW w:type="dxa" w:w="1728"/>
          </w:tcPr>
          <w:p>
            <w:r>
              <w:t>oseltamivir</w:t>
            </w:r>
          </w:p>
        </w:tc>
        <w:tc>
          <w:tcPr>
            <w:tcW w:type="dxa" w:w="1728"/>
          </w:tcPr>
          <w:p>
            <w:r>
              <w:t>ambiguous → less</w:t>
            </w:r>
          </w:p>
        </w:tc>
        <w:tc>
          <w:tcPr>
            <w:tcW w:type="dxa" w:w="1728"/>
          </w:tcPr>
          <w:p>
            <w:r>
              <w:t>InChIKey14-only</w:t>
            </w:r>
          </w:p>
        </w:tc>
        <w:tc>
          <w:tcPr>
            <w:tcW w:type="dxa" w:w="1728"/>
          </w:tcPr>
          <w:p>
            <w:r>
              <w:t>0.576</w:t>
            </w:r>
          </w:p>
        </w:tc>
        <w:tc>
          <w:tcPr>
            <w:tcW w:type="dxa" w:w="1728"/>
          </w:tcPr>
          <w:p>
            <w:r>
              <w:t>negative</w:t>
            </w:r>
          </w:p>
        </w:tc>
      </w:tr>
    </w:tbl>
    <w:p/>
    <w:p>
      <w:pPr>
        <w:spacing w:line="360" w:lineRule="auto" w:after="120"/>
      </w:pPr>
      <w:r>
        <w:t>Provenance: probabilities are the previously reproduced 223-compound held-out probability vector of the Seal et al. FeatureNet model, verified against the authors' published predictions to floating-point precision; the threshold (0.6386) is the published Youden value reported by Seal et al. and was not refitted on the held-out set. All five drugs are DILIst-negative in the benchmark (`TOXICITY = 0`, `Source_rank = 1`). Under strict full-InChIKey matching, only raloxifene and flavoxate remain (both predicted positive).</w:t>
      </w:r>
    </w:p>
    <w:p>
      <w:pPr>
        <w:spacing w:line="360" w:lineRule="auto" w:after="120"/>
      </w:pPr>
      <w:r>
        <w:rPr>
          <w:b/>
        </w:rPr>
        <w:t>Table S2. Out-of-fold predictions for the 23 training-set reclassified drugs (Tier B; threshold 0.6386).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  <w:t>Drug</w:t>
            </w:r>
          </w:p>
        </w:tc>
        <w:tc>
          <w:tcPr>
            <w:tcW w:type="dxa" w:w="1728"/>
          </w:tcPr>
          <w:p>
            <w:r>
              <w:rPr>
                <w:b/>
              </w:rPr>
              <w:t>Change (1.0 → 2.0)</w:t>
            </w:r>
          </w:p>
        </w:tc>
        <w:tc>
          <w:tcPr>
            <w:tcW w:type="dxa" w:w="1728"/>
          </w:tcPr>
          <w:p>
            <w:r>
              <w:rPr>
                <w:b/>
              </w:rPr>
              <w:t>Match quality</w:t>
            </w:r>
          </w:p>
        </w:tc>
        <w:tc>
          <w:tcPr>
            <w:tcW w:type="dxa" w:w="1728"/>
          </w:tcPr>
          <w:p>
            <w:r>
              <w:rPr>
                <w:b/>
              </w:rPr>
              <w:t>OOF P(y=1)</w:t>
            </w:r>
          </w:p>
        </w:tc>
        <w:tc>
          <w:tcPr>
            <w:tcW w:type="dxa" w:w="1728"/>
          </w:tcPr>
          <w:p>
            <w:r>
              <w:rPr>
                <w:b/>
              </w:rPr>
              <w:t>Predicted at Youden (0.6386)</w:t>
            </w:r>
          </w:p>
        </w:tc>
      </w:tr>
      <w:tr>
        <w:tc>
          <w:tcPr>
            <w:tcW w:type="dxa" w:w="1728"/>
          </w:tcPr>
          <w:p>
            <w:r>
              <w:t>vinblastine</w:t>
            </w:r>
          </w:p>
        </w:tc>
        <w:tc>
          <w:tcPr>
            <w:tcW w:type="dxa" w:w="1728"/>
          </w:tcPr>
          <w:p>
            <w:r>
              <w:t>no → less</w:t>
            </w:r>
          </w:p>
        </w:tc>
        <w:tc>
          <w:tcPr>
            <w:tcW w:type="dxa" w:w="1728"/>
          </w:tcPr>
          <w:p>
            <w:r>
              <w:t>InChIKey14-only</w:t>
            </w:r>
          </w:p>
        </w:tc>
        <w:tc>
          <w:tcPr>
            <w:tcW w:type="dxa" w:w="1728"/>
          </w:tcPr>
          <w:p>
            <w:r>
              <w:t>0.576</w:t>
            </w:r>
          </w:p>
        </w:tc>
        <w:tc>
          <w:tcPr>
            <w:tcW w:type="dxa" w:w="1728"/>
          </w:tcPr>
          <w:p>
            <w:r>
              <w:t>negative</w:t>
            </w:r>
          </w:p>
        </w:tc>
      </w:tr>
      <w:tr>
        <w:tc>
          <w:tcPr>
            <w:tcW w:type="dxa" w:w="1728"/>
          </w:tcPr>
          <w:p>
            <w:r>
              <w:t>diazepam</w:t>
            </w:r>
          </w:p>
        </w:tc>
        <w:tc>
          <w:tcPr>
            <w:tcW w:type="dxa" w:w="1728"/>
          </w:tcPr>
          <w:p>
            <w:r>
              <w:t>ambiguous → less</w:t>
            </w:r>
          </w:p>
        </w:tc>
        <w:tc>
          <w:tcPr>
            <w:tcW w:type="dxa" w:w="1728"/>
          </w:tcPr>
          <w:p>
            <w:r>
              <w:t>full InChIKey</w:t>
            </w:r>
          </w:p>
        </w:tc>
        <w:tc>
          <w:tcPr>
            <w:tcW w:type="dxa" w:w="1728"/>
          </w:tcPr>
          <w:p>
            <w:r>
              <w:t>0.808</w:t>
            </w:r>
          </w:p>
        </w:tc>
        <w:tc>
          <w:tcPr>
            <w:tcW w:type="dxa" w:w="1728"/>
          </w:tcPr>
          <w:p>
            <w:r>
              <w:t>positive</w:t>
            </w:r>
          </w:p>
        </w:tc>
      </w:tr>
      <w:tr>
        <w:tc>
          <w:tcPr>
            <w:tcW w:type="dxa" w:w="1728"/>
          </w:tcPr>
          <w:p>
            <w:r>
              <w:t>flurbiprofen</w:t>
            </w:r>
          </w:p>
        </w:tc>
        <w:tc>
          <w:tcPr>
            <w:tcW w:type="dxa" w:w="1728"/>
          </w:tcPr>
          <w:p>
            <w:r>
              <w:t>ambiguous → less</w:t>
            </w:r>
          </w:p>
        </w:tc>
        <w:tc>
          <w:tcPr>
            <w:tcW w:type="dxa" w:w="1728"/>
          </w:tcPr>
          <w:p>
            <w:r>
              <w:t>full InChIKey</w:t>
            </w:r>
          </w:p>
        </w:tc>
        <w:tc>
          <w:tcPr>
            <w:tcW w:type="dxa" w:w="1728"/>
          </w:tcPr>
          <w:p>
            <w:r>
              <w:t>0.870</w:t>
            </w:r>
          </w:p>
        </w:tc>
        <w:tc>
          <w:tcPr>
            <w:tcW w:type="dxa" w:w="1728"/>
          </w:tcPr>
          <w:p>
            <w:r>
              <w:t>positive</w:t>
            </w:r>
          </w:p>
        </w:tc>
      </w:tr>
      <w:tr>
        <w:tc>
          <w:tcPr>
            <w:tcW w:type="dxa" w:w="1728"/>
          </w:tcPr>
          <w:p>
            <w:r>
              <w:t>tretinoin</w:t>
            </w:r>
          </w:p>
        </w:tc>
        <w:tc>
          <w:tcPr>
            <w:tcW w:type="dxa" w:w="1728"/>
          </w:tcPr>
          <w:p>
            <w:r>
              <w:t>ambiguous → less</w:t>
            </w:r>
          </w:p>
        </w:tc>
        <w:tc>
          <w:tcPr>
            <w:tcW w:type="dxa" w:w="1728"/>
          </w:tcPr>
          <w:p>
            <w:r>
              <w:t>identity-conflict*</w:t>
            </w:r>
          </w:p>
        </w:tc>
        <w:tc>
          <w:tcPr>
            <w:tcW w:type="dxa" w:w="1728"/>
          </w:tcPr>
          <w:p>
            <w:r>
              <w:t>0.740</w:t>
            </w:r>
          </w:p>
        </w:tc>
        <w:tc>
          <w:tcPr>
            <w:tcW w:type="dxa" w:w="1728"/>
          </w:tcPr>
          <w:p>
            <w:r>
              <w:t>positive</w:t>
            </w:r>
          </w:p>
        </w:tc>
      </w:tr>
      <w:tr>
        <w:tc>
          <w:tcPr>
            <w:tcW w:type="dxa" w:w="1728"/>
          </w:tcPr>
          <w:p>
            <w:r>
              <w:t>trifluoperazine</w:t>
            </w:r>
          </w:p>
        </w:tc>
        <w:tc>
          <w:tcPr>
            <w:tcW w:type="dxa" w:w="1728"/>
          </w:tcPr>
          <w:p>
            <w:r>
              <w:t>ambiguous → less</w:t>
            </w:r>
          </w:p>
        </w:tc>
        <w:tc>
          <w:tcPr>
            <w:tcW w:type="dxa" w:w="1728"/>
          </w:tcPr>
          <w:p>
            <w:r>
              <w:t>full InChIKey</w:t>
            </w:r>
          </w:p>
        </w:tc>
        <w:tc>
          <w:tcPr>
            <w:tcW w:type="dxa" w:w="1728"/>
          </w:tcPr>
          <w:p>
            <w:r>
              <w:t>0.655</w:t>
            </w:r>
          </w:p>
        </w:tc>
        <w:tc>
          <w:tcPr>
            <w:tcW w:type="dxa" w:w="1728"/>
          </w:tcPr>
          <w:p>
            <w:r>
              <w:t>positive</w:t>
            </w:r>
          </w:p>
        </w:tc>
      </w:tr>
      <w:tr>
        <w:tc>
          <w:tcPr>
            <w:tcW w:type="dxa" w:w="1728"/>
          </w:tcPr>
          <w:p>
            <w:r>
              <w:t>mepivacaine</w:t>
            </w:r>
          </w:p>
        </w:tc>
        <w:tc>
          <w:tcPr>
            <w:tcW w:type="dxa" w:w="1728"/>
          </w:tcPr>
          <w:p>
            <w:r>
              <w:t>no → less</w:t>
            </w:r>
          </w:p>
        </w:tc>
        <w:tc>
          <w:tcPr>
            <w:tcW w:type="dxa" w:w="1728"/>
          </w:tcPr>
          <w:p>
            <w:r>
              <w:t>full InChIKey</w:t>
            </w:r>
          </w:p>
        </w:tc>
        <w:tc>
          <w:tcPr>
            <w:tcW w:type="dxa" w:w="1728"/>
          </w:tcPr>
          <w:p>
            <w:r>
              <w:t>0.506</w:t>
            </w:r>
          </w:p>
        </w:tc>
        <w:tc>
          <w:tcPr>
            <w:tcW w:type="dxa" w:w="1728"/>
          </w:tcPr>
          <w:p>
            <w:r>
              <w:t>negative</w:t>
            </w:r>
          </w:p>
        </w:tc>
      </w:tr>
      <w:tr>
        <w:tc>
          <w:tcPr>
            <w:tcW w:type="dxa" w:w="1728"/>
          </w:tcPr>
          <w:p>
            <w:r>
              <w:t>oxycodone</w:t>
            </w:r>
          </w:p>
        </w:tc>
        <w:tc>
          <w:tcPr>
            <w:tcW w:type="dxa" w:w="1728"/>
          </w:tcPr>
          <w:p>
            <w:r>
              <w:t>no → less</w:t>
            </w:r>
          </w:p>
        </w:tc>
        <w:tc>
          <w:tcPr>
            <w:tcW w:type="dxa" w:w="1728"/>
          </w:tcPr>
          <w:p>
            <w:r>
              <w:t>InChIKey14-only</w:t>
            </w:r>
          </w:p>
        </w:tc>
        <w:tc>
          <w:tcPr>
            <w:tcW w:type="dxa" w:w="1728"/>
          </w:tcPr>
          <w:p>
            <w:r>
              <w:t>0.438</w:t>
            </w:r>
          </w:p>
        </w:tc>
        <w:tc>
          <w:tcPr>
            <w:tcW w:type="dxa" w:w="1728"/>
          </w:tcPr>
          <w:p>
            <w:r>
              <w:t>negative</w:t>
            </w:r>
          </w:p>
        </w:tc>
      </w:tr>
      <w:tr>
        <w:tc>
          <w:tcPr>
            <w:tcW w:type="dxa" w:w="1728"/>
          </w:tcPr>
          <w:p>
            <w:r>
              <w:t>tolterodine</w:t>
            </w:r>
          </w:p>
        </w:tc>
        <w:tc>
          <w:tcPr>
            <w:tcW w:type="dxa" w:w="1728"/>
          </w:tcPr>
          <w:p>
            <w:r>
              <w:t>no → less</w:t>
            </w:r>
          </w:p>
        </w:tc>
        <w:tc>
          <w:tcPr>
            <w:tcW w:type="dxa" w:w="1728"/>
          </w:tcPr>
          <w:p>
            <w:r>
              <w:t>InChIKey14-only</w:t>
            </w:r>
          </w:p>
        </w:tc>
        <w:tc>
          <w:tcPr>
            <w:tcW w:type="dxa" w:w="1728"/>
          </w:tcPr>
          <w:p>
            <w:r>
              <w:t>0.579</w:t>
            </w:r>
          </w:p>
        </w:tc>
        <w:tc>
          <w:tcPr>
            <w:tcW w:type="dxa" w:w="1728"/>
          </w:tcPr>
          <w:p>
            <w:r>
              <w:t>negative</w:t>
            </w:r>
          </w:p>
        </w:tc>
      </w:tr>
      <w:tr>
        <w:tc>
          <w:tcPr>
            <w:tcW w:type="dxa" w:w="1728"/>
          </w:tcPr>
          <w:p>
            <w:r>
              <w:t>rizatriptan</w:t>
            </w:r>
          </w:p>
        </w:tc>
        <w:tc>
          <w:tcPr>
            <w:tcW w:type="dxa" w:w="1728"/>
          </w:tcPr>
          <w:p>
            <w:r>
              <w:t>no → less</w:t>
            </w:r>
          </w:p>
        </w:tc>
        <w:tc>
          <w:tcPr>
            <w:tcW w:type="dxa" w:w="1728"/>
          </w:tcPr>
          <w:p>
            <w:r>
              <w:t>full InChIKey</w:t>
            </w:r>
          </w:p>
        </w:tc>
        <w:tc>
          <w:tcPr>
            <w:tcW w:type="dxa" w:w="1728"/>
          </w:tcPr>
          <w:p>
            <w:r>
              <w:t>0.533</w:t>
            </w:r>
          </w:p>
        </w:tc>
        <w:tc>
          <w:tcPr>
            <w:tcW w:type="dxa" w:w="1728"/>
          </w:tcPr>
          <w:p>
            <w:r>
              <w:t>negative</w:t>
            </w:r>
          </w:p>
        </w:tc>
      </w:tr>
      <w:tr>
        <w:tc>
          <w:tcPr>
            <w:tcW w:type="dxa" w:w="1728"/>
          </w:tcPr>
          <w:p>
            <w:r>
              <w:t>dofetilide</w:t>
            </w:r>
          </w:p>
        </w:tc>
        <w:tc>
          <w:tcPr>
            <w:tcW w:type="dxa" w:w="1728"/>
          </w:tcPr>
          <w:p>
            <w:r>
              <w:t>no → less</w:t>
            </w:r>
          </w:p>
        </w:tc>
        <w:tc>
          <w:tcPr>
            <w:tcW w:type="dxa" w:w="1728"/>
          </w:tcPr>
          <w:p>
            <w:r>
              <w:t>full InChIKey</w:t>
            </w:r>
          </w:p>
        </w:tc>
        <w:tc>
          <w:tcPr>
            <w:tcW w:type="dxa" w:w="1728"/>
          </w:tcPr>
          <w:p>
            <w:r>
              <w:t>0.703</w:t>
            </w:r>
          </w:p>
        </w:tc>
        <w:tc>
          <w:tcPr>
            <w:tcW w:type="dxa" w:w="1728"/>
          </w:tcPr>
          <w:p>
            <w:r>
              <w:t>positive</w:t>
            </w:r>
          </w:p>
        </w:tc>
      </w:tr>
      <w:tr>
        <w:tc>
          <w:tcPr>
            <w:tcW w:type="dxa" w:w="1728"/>
          </w:tcPr>
          <w:p>
            <w:r>
              <w:t>olmesartan</w:t>
            </w:r>
          </w:p>
        </w:tc>
        <w:tc>
          <w:tcPr>
            <w:tcW w:type="dxa" w:w="1728"/>
          </w:tcPr>
          <w:p>
            <w:r>
              <w:t>ambiguous → less</w:t>
            </w:r>
          </w:p>
        </w:tc>
        <w:tc>
          <w:tcPr>
            <w:tcW w:type="dxa" w:w="1728"/>
          </w:tcPr>
          <w:p>
            <w:r>
              <w:t>full InChIKey</w:t>
            </w:r>
          </w:p>
        </w:tc>
        <w:tc>
          <w:tcPr>
            <w:tcW w:type="dxa" w:w="1728"/>
          </w:tcPr>
          <w:p>
            <w:r>
              <w:t>0.797</w:t>
            </w:r>
          </w:p>
        </w:tc>
        <w:tc>
          <w:tcPr>
            <w:tcW w:type="dxa" w:w="1728"/>
          </w:tcPr>
          <w:p>
            <w:r>
              <w:t>positive</w:t>
            </w:r>
          </w:p>
        </w:tc>
      </w:tr>
      <w:tr>
        <w:tc>
          <w:tcPr>
            <w:tcW w:type="dxa" w:w="1728"/>
          </w:tcPr>
          <w:p>
            <w:r>
              <w:t>aripiprazole</w:t>
            </w:r>
          </w:p>
        </w:tc>
        <w:tc>
          <w:tcPr>
            <w:tcW w:type="dxa" w:w="1728"/>
          </w:tcPr>
          <w:p>
            <w:r>
              <w:t>ambiguous → less</w:t>
            </w:r>
          </w:p>
        </w:tc>
        <w:tc>
          <w:tcPr>
            <w:tcW w:type="dxa" w:w="1728"/>
          </w:tcPr>
          <w:p>
            <w:r>
              <w:t>full InChIKey</w:t>
            </w:r>
          </w:p>
        </w:tc>
        <w:tc>
          <w:tcPr>
            <w:tcW w:type="dxa" w:w="1728"/>
          </w:tcPr>
          <w:p>
            <w:r>
              <w:t>0.645</w:t>
            </w:r>
          </w:p>
        </w:tc>
        <w:tc>
          <w:tcPr>
            <w:tcW w:type="dxa" w:w="1728"/>
          </w:tcPr>
          <w:p>
            <w:r>
              <w:t>positive</w:t>
            </w:r>
          </w:p>
        </w:tc>
      </w:tr>
      <w:tr>
        <w:tc>
          <w:tcPr>
            <w:tcW w:type="dxa" w:w="1728"/>
          </w:tcPr>
          <w:p>
            <w:r>
              <w:t>solifenacin</w:t>
            </w:r>
          </w:p>
        </w:tc>
        <w:tc>
          <w:tcPr>
            <w:tcW w:type="dxa" w:w="1728"/>
          </w:tcPr>
          <w:p>
            <w:r>
              <w:t>ambiguous → less</w:t>
            </w:r>
          </w:p>
        </w:tc>
        <w:tc>
          <w:tcPr>
            <w:tcW w:type="dxa" w:w="1728"/>
          </w:tcPr>
          <w:p>
            <w:r>
              <w:t>InChIKey14-only</w:t>
            </w:r>
          </w:p>
        </w:tc>
        <w:tc>
          <w:tcPr>
            <w:tcW w:type="dxa" w:w="1728"/>
          </w:tcPr>
          <w:p>
            <w:r>
              <w:t>0.466</w:t>
            </w:r>
          </w:p>
        </w:tc>
        <w:tc>
          <w:tcPr>
            <w:tcW w:type="dxa" w:w="1728"/>
          </w:tcPr>
          <w:p>
            <w:r>
              <w:t>negative</w:t>
            </w:r>
          </w:p>
        </w:tc>
      </w:tr>
      <w:tr>
        <w:tc>
          <w:tcPr>
            <w:tcW w:type="dxa" w:w="1728"/>
          </w:tcPr>
          <w:p>
            <w:r>
              <w:t>anidulafungin</w:t>
            </w:r>
          </w:p>
        </w:tc>
        <w:tc>
          <w:tcPr>
            <w:tcW w:type="dxa" w:w="1728"/>
          </w:tcPr>
          <w:p>
            <w:r>
              <w:t>ambiguous → most</w:t>
            </w:r>
          </w:p>
        </w:tc>
        <w:tc>
          <w:tcPr>
            <w:tcW w:type="dxa" w:w="1728"/>
          </w:tcPr>
          <w:p>
            <w:r>
              <w:t>InChIKey14-only</w:t>
            </w:r>
          </w:p>
        </w:tc>
        <w:tc>
          <w:tcPr>
            <w:tcW w:type="dxa" w:w="1728"/>
          </w:tcPr>
          <w:p>
            <w:r>
              <w:t>0.557</w:t>
            </w:r>
          </w:p>
        </w:tc>
        <w:tc>
          <w:tcPr>
            <w:tcW w:type="dxa" w:w="1728"/>
          </w:tcPr>
          <w:p>
            <w:r>
              <w:t>negative</w:t>
            </w:r>
          </w:p>
        </w:tc>
      </w:tr>
      <w:tr>
        <w:tc>
          <w:tcPr>
            <w:tcW w:type="dxa" w:w="1728"/>
          </w:tcPr>
          <w:p>
            <w:r>
              <w:t>cladribine</w:t>
            </w:r>
          </w:p>
        </w:tc>
        <w:tc>
          <w:tcPr>
            <w:tcW w:type="dxa" w:w="1728"/>
          </w:tcPr>
          <w:p>
            <w:r>
              <w:t>ambiguous → less</w:t>
            </w:r>
          </w:p>
        </w:tc>
        <w:tc>
          <w:tcPr>
            <w:tcW w:type="dxa" w:w="1728"/>
          </w:tcPr>
          <w:p>
            <w:r>
              <w:t>InChIKey14-only</w:t>
            </w:r>
          </w:p>
        </w:tc>
        <w:tc>
          <w:tcPr>
            <w:tcW w:type="dxa" w:w="1728"/>
          </w:tcPr>
          <w:p>
            <w:r>
              <w:t>0.605</w:t>
            </w:r>
          </w:p>
        </w:tc>
        <w:tc>
          <w:tcPr>
            <w:tcW w:type="dxa" w:w="1728"/>
          </w:tcPr>
          <w:p>
            <w:r>
              <w:t>negative</w:t>
            </w:r>
          </w:p>
        </w:tc>
      </w:tr>
      <w:tr>
        <w:tc>
          <w:tcPr>
            <w:tcW w:type="dxa" w:w="1728"/>
          </w:tcPr>
          <w:p>
            <w:r>
              <w:t>paliperidone</w:t>
            </w:r>
          </w:p>
        </w:tc>
        <w:tc>
          <w:tcPr>
            <w:tcW w:type="dxa" w:w="1728"/>
          </w:tcPr>
          <w:p>
            <w:r>
              <w:t>no → less</w:t>
            </w:r>
          </w:p>
        </w:tc>
        <w:tc>
          <w:tcPr>
            <w:tcW w:type="dxa" w:w="1728"/>
          </w:tcPr>
          <w:p>
            <w:r>
              <w:t>full InChIKey</w:t>
            </w:r>
          </w:p>
        </w:tc>
        <w:tc>
          <w:tcPr>
            <w:tcW w:type="dxa" w:w="1728"/>
          </w:tcPr>
          <w:p>
            <w:r>
              <w:t>0.621</w:t>
            </w:r>
          </w:p>
        </w:tc>
        <w:tc>
          <w:tcPr>
            <w:tcW w:type="dxa" w:w="1728"/>
          </w:tcPr>
          <w:p>
            <w:r>
              <w:t>negative</w:t>
            </w:r>
          </w:p>
        </w:tc>
      </w:tr>
      <w:tr>
        <w:tc>
          <w:tcPr>
            <w:tcW w:type="dxa" w:w="1728"/>
          </w:tcPr>
          <w:p>
            <w:r>
              <w:t>posaconazole</w:t>
            </w:r>
          </w:p>
        </w:tc>
        <w:tc>
          <w:tcPr>
            <w:tcW w:type="dxa" w:w="1728"/>
          </w:tcPr>
          <w:p>
            <w:r>
              <w:t>ambiguous → most</w:t>
            </w:r>
          </w:p>
        </w:tc>
        <w:tc>
          <w:tcPr>
            <w:tcW w:type="dxa" w:w="1728"/>
          </w:tcPr>
          <w:p>
            <w:r>
              <w:t>InChIKey14-only</w:t>
            </w:r>
          </w:p>
        </w:tc>
        <w:tc>
          <w:tcPr>
            <w:tcW w:type="dxa" w:w="1728"/>
          </w:tcPr>
          <w:p>
            <w:r>
              <w:t>0.674</w:t>
            </w:r>
          </w:p>
        </w:tc>
        <w:tc>
          <w:tcPr>
            <w:tcW w:type="dxa" w:w="1728"/>
          </w:tcPr>
          <w:p>
            <w:r>
              <w:t>positive</w:t>
            </w:r>
          </w:p>
        </w:tc>
      </w:tr>
      <w:tr>
        <w:tc>
          <w:tcPr>
            <w:tcW w:type="dxa" w:w="1728"/>
          </w:tcPr>
          <w:p>
            <w:r>
              <w:t>doxazosin</w:t>
            </w:r>
          </w:p>
        </w:tc>
        <w:tc>
          <w:tcPr>
            <w:tcW w:type="dxa" w:w="1728"/>
          </w:tcPr>
          <w:p>
            <w:r>
              <w:t>ambiguous → less</w:t>
            </w:r>
          </w:p>
        </w:tc>
        <w:tc>
          <w:tcPr>
            <w:tcW w:type="dxa" w:w="1728"/>
          </w:tcPr>
          <w:p>
            <w:r>
              <w:t>full InChIKey</w:t>
            </w:r>
          </w:p>
        </w:tc>
        <w:tc>
          <w:tcPr>
            <w:tcW w:type="dxa" w:w="1728"/>
          </w:tcPr>
          <w:p>
            <w:r>
              <w:t>0.738</w:t>
            </w:r>
          </w:p>
        </w:tc>
        <w:tc>
          <w:tcPr>
            <w:tcW w:type="dxa" w:w="1728"/>
          </w:tcPr>
          <w:p>
            <w:r>
              <w:t>positive</w:t>
            </w:r>
          </w:p>
        </w:tc>
      </w:tr>
      <w:tr>
        <w:tc>
          <w:tcPr>
            <w:tcW w:type="dxa" w:w="1728"/>
          </w:tcPr>
          <w:p>
            <w:r>
              <w:t>ribavirin</w:t>
            </w:r>
          </w:p>
        </w:tc>
        <w:tc>
          <w:tcPr>
            <w:tcW w:type="dxa" w:w="1728"/>
          </w:tcPr>
          <w:p>
            <w:r>
              <w:t>ambiguous → less</w:t>
            </w:r>
          </w:p>
        </w:tc>
        <w:tc>
          <w:tcPr>
            <w:tcW w:type="dxa" w:w="1728"/>
          </w:tcPr>
          <w:p>
            <w:r>
              <w:t>InChIKey14-only</w:t>
            </w:r>
          </w:p>
        </w:tc>
        <w:tc>
          <w:tcPr>
            <w:tcW w:type="dxa" w:w="1728"/>
          </w:tcPr>
          <w:p>
            <w:r>
              <w:t>0.523</w:t>
            </w:r>
          </w:p>
        </w:tc>
        <w:tc>
          <w:tcPr>
            <w:tcW w:type="dxa" w:w="1728"/>
          </w:tcPr>
          <w:p>
            <w:r>
              <w:t>negative</w:t>
            </w:r>
          </w:p>
        </w:tc>
      </w:tr>
      <w:tr>
        <w:tc>
          <w:tcPr>
            <w:tcW w:type="dxa" w:w="1728"/>
          </w:tcPr>
          <w:p>
            <w:r>
              <w:t>tramadol</w:t>
            </w:r>
          </w:p>
        </w:tc>
        <w:tc>
          <w:tcPr>
            <w:tcW w:type="dxa" w:w="1728"/>
          </w:tcPr>
          <w:p>
            <w:r>
              <w:t>ambiguous → less</w:t>
            </w:r>
          </w:p>
        </w:tc>
        <w:tc>
          <w:tcPr>
            <w:tcW w:type="dxa" w:w="1728"/>
          </w:tcPr>
          <w:p>
            <w:r>
              <w:t>InChIKey14-only</w:t>
            </w:r>
          </w:p>
        </w:tc>
        <w:tc>
          <w:tcPr>
            <w:tcW w:type="dxa" w:w="1728"/>
          </w:tcPr>
          <w:p>
            <w:r>
              <w:t>0.504</w:t>
            </w:r>
          </w:p>
        </w:tc>
        <w:tc>
          <w:tcPr>
            <w:tcW w:type="dxa" w:w="1728"/>
          </w:tcPr>
          <w:p>
            <w:r>
              <w:t>negative</w:t>
            </w:r>
          </w:p>
        </w:tc>
      </w:tr>
      <w:tr>
        <w:tc>
          <w:tcPr>
            <w:tcW w:type="dxa" w:w="1728"/>
          </w:tcPr>
          <w:p>
            <w:r>
              <w:t>capecitabine</w:t>
            </w:r>
          </w:p>
        </w:tc>
        <w:tc>
          <w:tcPr>
            <w:tcW w:type="dxa" w:w="1728"/>
          </w:tcPr>
          <w:p>
            <w:r>
              <w:t>ambiguous → less</w:t>
            </w:r>
          </w:p>
        </w:tc>
        <w:tc>
          <w:tcPr>
            <w:tcW w:type="dxa" w:w="1728"/>
          </w:tcPr>
          <w:p>
            <w:r>
              <w:t>InChIKey14-only</w:t>
            </w:r>
          </w:p>
        </w:tc>
        <w:tc>
          <w:tcPr>
            <w:tcW w:type="dxa" w:w="1728"/>
          </w:tcPr>
          <w:p>
            <w:r>
              <w:t>0.672</w:t>
            </w:r>
          </w:p>
        </w:tc>
        <w:tc>
          <w:tcPr>
            <w:tcW w:type="dxa" w:w="1728"/>
          </w:tcPr>
          <w:p>
            <w:r>
              <w:t>positive</w:t>
            </w:r>
          </w:p>
        </w:tc>
      </w:tr>
      <w:tr>
        <w:tc>
          <w:tcPr>
            <w:tcW w:type="dxa" w:w="1728"/>
          </w:tcPr>
          <w:p>
            <w:r>
              <w:t>pyridostigmine</w:t>
            </w:r>
          </w:p>
        </w:tc>
        <w:tc>
          <w:tcPr>
            <w:tcW w:type="dxa" w:w="1728"/>
          </w:tcPr>
          <w:p>
            <w:r>
              <w:t>no → less</w:t>
            </w:r>
          </w:p>
        </w:tc>
        <w:tc>
          <w:tcPr>
            <w:tcW w:type="dxa" w:w="1728"/>
          </w:tcPr>
          <w:p>
            <w:r>
              <w:t>full InChIKey</w:t>
            </w:r>
          </w:p>
        </w:tc>
        <w:tc>
          <w:tcPr>
            <w:tcW w:type="dxa" w:w="1728"/>
          </w:tcPr>
          <w:p>
            <w:r>
              <w:t>0.457</w:t>
            </w:r>
          </w:p>
        </w:tc>
        <w:tc>
          <w:tcPr>
            <w:tcW w:type="dxa" w:w="1728"/>
          </w:tcPr>
          <w:p>
            <w:r>
              <w:t>negative</w:t>
            </w:r>
          </w:p>
        </w:tc>
      </w:tr>
      <w:tr>
        <w:tc>
          <w:tcPr>
            <w:tcW w:type="dxa" w:w="1728"/>
          </w:tcPr>
          <w:p>
            <w:r>
              <w:t>oxybutynin</w:t>
            </w:r>
          </w:p>
        </w:tc>
        <w:tc>
          <w:tcPr>
            <w:tcW w:type="dxa" w:w="1728"/>
          </w:tcPr>
          <w:p>
            <w:r>
              <w:t>no → less</w:t>
            </w:r>
          </w:p>
        </w:tc>
        <w:tc>
          <w:tcPr>
            <w:tcW w:type="dxa" w:w="1728"/>
          </w:tcPr>
          <w:p>
            <w:r>
              <w:t>full InChIKey</w:t>
            </w:r>
          </w:p>
        </w:tc>
        <w:tc>
          <w:tcPr>
            <w:tcW w:type="dxa" w:w="1728"/>
          </w:tcPr>
          <w:p>
            <w:r>
              <w:t>0.371</w:t>
            </w:r>
          </w:p>
        </w:tc>
        <w:tc>
          <w:tcPr>
            <w:tcW w:type="dxa" w:w="1728"/>
          </w:tcPr>
          <w:p>
            <w:r>
              <w:t>negative</w:t>
            </w:r>
          </w:p>
        </w:tc>
      </w:tr>
    </w:tbl>
    <w:p/>
    <w:p>
      <w:pPr>
        <w:spacing w:line="360" w:lineRule="auto" w:after="120"/>
      </w:pPr>
      <w:r>
        <w:t>\* Identity-conflict row (skeleton InChIKey shared with isotretinoin); shown for completeness, not reliably attributable (see main text).</w:t>
      </w:r>
    </w:p>
    <w:p>
      <w:pPr>
        <w:spacing w:line="360" w:lineRule="auto" w:after="120"/>
      </w:pPr>
      <w:r>
        <w:t>Provenance and conventions: the OOF probabilities are the 4-fold `cross_val_predict` values of the selected final FeatureNet model on the 888-compound training set — the identical computation the original pipeline performs to derive the published Youden threshold (0.6386). The hyperparameter/model selection itself used all 888 training labels, following the original pipeline exactly; this convention is disclosed rather than presented as leakage-free. The 23 rows are reported separately from the 5 held-out compounds (Table S1); the two groups are not pooled and no inferential claims are made. Summary: 10 predicted positive / 13 negative at the published threshold; |P−0.5| ranges 0.004–0.370.</w:t>
      </w:r>
    </w:p>
    <w:p>
      <w:pPr>
        <w:spacing w:line="360" w:lineRule="auto" w:after="120"/>
      </w:pPr>
      <w:r>
        <w:rPr>
          <w:b/>
        </w:rPr>
        <w:t>Table S3. Comparison of the i-DILI overlap analysis and this audit.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Dimension</w:t>
            </w:r>
          </w:p>
        </w:tc>
        <w:tc>
          <w:tcPr>
            <w:tcW w:type="dxa" w:w="2880"/>
          </w:tcPr>
          <w:p>
            <w:r>
              <w:rPr>
                <w:b/>
              </w:rPr>
              <w:t>i-DILI (Shende &amp; Tembhurne 2026 [4])</w:t>
            </w:r>
          </w:p>
        </w:tc>
        <w:tc>
          <w:tcPr>
            <w:tcW w:type="dxa" w:w="2880"/>
          </w:tcPr>
          <w:p>
            <w:r>
              <w:rPr>
                <w:b/>
              </w:rPr>
              <w:t>This audit</w:t>
            </w:r>
          </w:p>
        </w:tc>
      </w:tr>
      <w:tr>
        <w:tc>
          <w:tcPr>
            <w:tcW w:type="dxa" w:w="2880"/>
          </w:tcPr>
          <w:p>
            <w:r>
              <w:t>DILIrank version</w:t>
            </w:r>
          </w:p>
        </w:tc>
        <w:tc>
          <w:tcPr>
            <w:tcW w:type="dxa" w:w="2880"/>
          </w:tcPr>
          <w:p>
            <w:r>
              <w:t>2.0 only</w:t>
            </w:r>
          </w:p>
        </w:tc>
        <w:tc>
          <w:tcPr>
            <w:tcW w:type="dxa" w:w="2880"/>
          </w:tcPr>
          <w:p>
            <w:r>
              <w:t>1.0 and 2.0 (version drift quantified)</w:t>
            </w:r>
          </w:p>
        </w:tc>
      </w:tr>
      <w:tr>
        <w:tc>
          <w:tcPr>
            <w:tcW w:type="dxa" w:w="2880"/>
          </w:tcPr>
          <w:p>
            <w:r>
              <w:t>DILIst input</w:t>
            </w:r>
          </w:p>
        </w:tc>
        <w:tc>
          <w:tcPr>
            <w:tcW w:type="dxa" w:w="2880"/>
          </w:tcPr>
          <w:p>
            <w:r>
              <w:t>multi-source integrated labels</w:t>
            </w:r>
          </w:p>
        </w:tc>
        <w:tc>
          <w:tcPr>
            <w:tcW w:type="dxa" w:w="2880"/>
          </w:tcPr>
          <w:p>
            <w:r>
              <w:t>full official FDA DILIst workbook (1,279 drugs)</w:t>
            </w:r>
          </w:p>
        </w:tc>
      </w:tr>
      <w:tr>
        <w:tc>
          <w:tcPr>
            <w:tcW w:type="dxa" w:w="2880"/>
          </w:tcPr>
          <w:p>
            <w:r>
              <w:t>Overlap statistic</w:t>
            </w:r>
          </w:p>
        </w:tc>
        <w:tc>
          <w:tcPr>
            <w:tcW w:type="dxa" w:w="2880"/>
          </w:tcPr>
          <w:p>
            <w:r>
              <w:t>Cohen's kappa = 0.888 over 480 shared drugs</w:t>
            </w:r>
          </w:p>
        </w:tc>
        <w:tc>
          <w:tcPr>
            <w:tcW w:type="dxa" w:w="2880"/>
          </w:tcPr>
          <w:p>
            <w:r>
              <w:t>836 structure-matched drugs; defined-class agreement 707/708 (Tier A) / 713/714 (Tier B); 707/707 and 713/713 excluding the identified entity-normalization anomaly</w:t>
            </w:r>
          </w:p>
        </w:tc>
      </w:tr>
      <w:tr>
        <w:tc>
          <w:tcPr>
            <w:tcW w:type="dxa" w:w="2880"/>
          </w:tcPr>
          <w:p>
            <w:r>
              <w:t>Binarization</w:t>
            </w:r>
          </w:p>
        </w:tc>
        <w:tc>
          <w:tcPr>
            <w:tcW w:type="dxa" w:w="2880"/>
          </w:tcPr>
          <w:p>
            <w:r>
              <w:t>most/less → positive, no → negative; ambiguous excluded</w:t>
            </w:r>
          </w:p>
        </w:tc>
        <w:tc>
          <w:tcPr>
            <w:tcW w:type="dxa" w:w="2880"/>
          </w:tcPr>
          <w:p>
            <w:r>
              <w:t>four classes preserved; ambiguous handled per source and reported per channel and per matching tier</w:t>
            </w:r>
          </w:p>
        </w:tc>
      </w:tr>
      <w:tr>
        <w:tc>
          <w:tcPr>
            <w:tcW w:type="dxa" w:w="2880"/>
          </w:tcPr>
          <w:p>
            <w:r>
              <w:t>Matching method</w:t>
            </w:r>
          </w:p>
        </w:tc>
        <w:tc>
          <w:tcPr>
            <w:tcW w:type="dxa" w:w="2880"/>
          </w:tcPr>
          <w:p>
            <w:r>
              <w:t>not examined in this audit</w:t>
            </w:r>
          </w:p>
        </w:tc>
        <w:tc>
          <w:tcPr>
            <w:tcW w:type="dxa" w:w="2880"/>
          </w:tcPr>
          <w:p>
            <w:r>
              <w:t>structure-based (PubChem InChIKey; full-key priority, tiered)</w:t>
            </w:r>
          </w:p>
        </w:tc>
      </w:tr>
      <w:tr>
        <w:tc>
          <w:tcPr>
            <w:tcW w:type="dxa" w:w="2880"/>
          </w:tcPr>
          <w:p>
            <w:r>
              <w:t>Notes</w:t>
            </w:r>
          </w:p>
        </w:tc>
        <w:tc>
          <w:tcPr>
            <w:tcW w:type="dxa" w:w="2880"/>
          </w:tcPr>
          <w:p>
            <w:r>
              <w:t>The overlap counts are not directly comparable: different DILIrank versions, label rules, and inclusion criteria are involved; the difference is not presented as evidence of novelty.</w:t>
            </w:r>
          </w:p>
        </w:tc>
        <w:tc>
          <w:tcPr>
            <w:tcW w:type="dxa" w:w="2880"/>
          </w:tcPr>
          <w:p>
            <w:r/>
          </w:p>
        </w:tc>
      </w:tr>
    </w:tbl>
    <w:p/>
    <w:p>
      <w:pPr>
        <w:spacing w:line="360" w:lineRule="auto" w:after="120"/>
      </w:pPr>
      <w:r>
        <w:rPr>
          <w:b/>
        </w:rPr>
        <w:t>Figure captions.</w:t>
      </w:r>
    </w:p>
    <w:p>
      <w:pPr>
        <w:spacing w:line="360" w:lineRule="auto" w:after="120"/>
      </w:pPr>
      <w:r>
        <w:t>Figure 1. DILIrank 1.0 → 2.0 reclassification directions (n = 49): 18 escalations within the defined concern categories (no → less) and 31 resolutions of classification uncertainty from the ambiguous category (27 to less, 4 to most); zero defined-class downgrades. Transition widths are proportional to counts.</w:t>
      </w:r>
    </w:p>
    <w:p>
      <w:pPr>
        <w:spacing w:line="360" w:lineRule="auto" w:after="120"/>
      </w:pPr>
      <w:r>
        <w:t>Figure 2. Cross-source sample filtering. (a) The ambiguous-class pathway from DILIrank 1.0 into the Seal et al. benchmark: 254 ambiguous drugs, 231 with a resolvable structure, 112 InChIKey14 hits in the gold standard, 2 identity-conflict hits excluded, 110 tallied (80 negative via the DILIst-sourced channel; 30 positive via the "CP Overlap" channel). (b) Gold-standard matching tallies by source channel (Tier B).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