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Supplementary Information — DILI label stability data note (v0.5)</w:t>
      </w:r>
    </w:p>
    <w:p>
      <w:pPr>
        <w:spacing w:line="360" w:lineRule="auto" w:after="120"/>
      </w:pPr>
      <w:r>
        <w:rPr>
          <w:b/>
        </w:rPr>
        <w:t>Table S1. The five Tier-B held-out reclassified drugs (all carry a "less" label in DILIrank 2.0).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Drug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 (1.0 → 2.0)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Match quality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P(y=1)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Predicted at Youden (0.6386)</w:t>
            </w:r>
          </w:p>
        </w:tc>
      </w:tr>
      <w:tr>
        <w:tc>
          <w:tcPr>
            <w:tcW w:type="dxa" w:w="1728"/>
          </w:tcPr>
          <w:p>
            <w:r>
              <w:t>raloxifene</w:t>
            </w:r>
          </w:p>
        </w:tc>
        <w:tc>
          <w:tcPr>
            <w:tcW w:type="dxa" w:w="1728"/>
          </w:tcPr>
          <w:p>
            <w:r>
              <w:t>no → less</w:t>
            </w:r>
          </w:p>
        </w:tc>
        <w:tc>
          <w:tcPr>
            <w:tcW w:type="dxa" w:w="1728"/>
          </w:tcPr>
          <w:p>
            <w:r>
              <w:t>full InChIKey</w:t>
            </w:r>
          </w:p>
        </w:tc>
        <w:tc>
          <w:tcPr>
            <w:tcW w:type="dxa" w:w="1728"/>
          </w:tcPr>
          <w:p>
            <w:r>
              <w:t>0.693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flavoxate</w:t>
            </w:r>
          </w:p>
        </w:tc>
        <w:tc>
          <w:tcPr>
            <w:tcW w:type="dxa" w:w="1728"/>
          </w:tcPr>
          <w:p>
            <w:r>
              <w:t>no → less</w:t>
            </w:r>
          </w:p>
        </w:tc>
        <w:tc>
          <w:tcPr>
            <w:tcW w:type="dxa" w:w="1728"/>
          </w:tcPr>
          <w:p>
            <w:r>
              <w:t>full InChIKey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saxagliptin</w:t>
            </w:r>
          </w:p>
        </w:tc>
        <w:tc>
          <w:tcPr>
            <w:tcW w:type="dxa" w:w="1728"/>
          </w:tcPr>
          <w:p>
            <w:r>
              <w:t>no → less</w:t>
            </w:r>
          </w:p>
        </w:tc>
        <w:tc>
          <w:tcPr>
            <w:tcW w:type="dxa" w:w="1728"/>
          </w:tcPr>
          <w:p>
            <w:r>
              <w:t>InChIKey14-only</w:t>
            </w:r>
          </w:p>
        </w:tc>
        <w:tc>
          <w:tcPr>
            <w:tcW w:type="dxa" w:w="1728"/>
          </w:tcPr>
          <w:p>
            <w:r>
              <w:t>0.515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  <w:tr>
        <w:tc>
          <w:tcPr>
            <w:tcW w:type="dxa" w:w="1728"/>
          </w:tcPr>
          <w:p>
            <w:r>
              <w:t>tadalafil</w:t>
            </w:r>
          </w:p>
        </w:tc>
        <w:tc>
          <w:tcPr>
            <w:tcW w:type="dxa" w:w="1728"/>
          </w:tcPr>
          <w:p>
            <w:r>
              <w:t>ambiguous → less</w:t>
            </w:r>
          </w:p>
        </w:tc>
        <w:tc>
          <w:tcPr>
            <w:tcW w:type="dxa" w:w="1728"/>
          </w:tcPr>
          <w:p>
            <w:r>
              <w:t>InChIKey14-only</w:t>
            </w:r>
          </w:p>
        </w:tc>
        <w:tc>
          <w:tcPr>
            <w:tcW w:type="dxa" w:w="1728"/>
          </w:tcPr>
          <w:p>
            <w:r>
              <w:t>0.625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  <w:tr>
        <w:tc>
          <w:tcPr>
            <w:tcW w:type="dxa" w:w="1728"/>
          </w:tcPr>
          <w:p>
            <w:r>
              <w:t>oseltamivir</w:t>
            </w:r>
          </w:p>
        </w:tc>
        <w:tc>
          <w:tcPr>
            <w:tcW w:type="dxa" w:w="1728"/>
          </w:tcPr>
          <w:p>
            <w:r>
              <w:t>ambiguous → less</w:t>
            </w:r>
          </w:p>
        </w:tc>
        <w:tc>
          <w:tcPr>
            <w:tcW w:type="dxa" w:w="1728"/>
          </w:tcPr>
          <w:p>
            <w:r>
              <w:t>InChIKey14-only</w:t>
            </w:r>
          </w:p>
        </w:tc>
        <w:tc>
          <w:tcPr>
            <w:tcW w:type="dxa" w:w="1728"/>
          </w:tcPr>
          <w:p>
            <w:r>
              <w:t>0.576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</w:tbl>
    <w:p/>
    <w:p>
      <w:pPr>
        <w:spacing w:line="360" w:lineRule="auto" w:after="120"/>
      </w:pPr>
      <w:r>
        <w:t>Provenance: probabilities are the previously reproduced 223-compound held-out probability vector of the Seal et al. FeatureNet model, verified against the authors' published predictions to floating-point precision; the threshold (0.6386) is the published Youden value reported by Seal et al. and was not refitted on the held-out set. All five drugs are DILIst-negative in the benchmark (`TOXICITY = 0`, `Source_rank = 1`). Under strict full-InChIKey matching, only raloxifene and flavoxate remain (both predicted positive).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