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Version drift and source-dependent binary labeling of ambiguous drugs in a drug-induced liver injury benchmark: a provenance audit</w:t>
      </w:r>
    </w:p>
    <w:p>
      <w:pPr>
        <w:spacing w:line="276" w:lineRule="auto"/>
      </w:pPr>
      <w:r>
        <w:rPr>
          <w:i/>
        </w:rPr>
        <w:t>Draft v0.6 — research note / data note. Not yet submission-ready. All numeric claims below are reproduced from local data by the scripts in `repro/` (see Data availability). No new model was trained and no label was modified. Revision v0.5→v0.6: added a same-drug cross-source comparison across the full official FDA DILIst dataset (new §3.5, Table 5; 836/1,279 drugs matched to DILIrank 1.0); the benchmark's DILIst-sourced subset and the full official DILIst dataset are now reported as distinct objects; two compounds (armodafinil, tretinoin) are shown to be absent from the official DILIst dataset despite appearing as positive DILIst-sourced rows in the benchmark; the "no same-drug comparison" limitation is correspondingly revised.</w:t>
      </w:r>
    </w:p>
    <w:p>
      <w:pPr>
        <w:pStyle w:val="Heading1"/>
      </w:pPr>
      <w:r>
        <w:t>Abstract</w:t>
      </w:r>
    </w:p>
    <w:p>
      <w:pPr>
        <w:spacing w:line="360" w:lineRule="auto" w:after="120"/>
      </w:pPr>
      <w:r>
        <w:rPr>
          <w:b/>
        </w:rPr>
        <w:t>Background.</w:t>
      </w:r>
      <w:r>
        <w:t xml:space="preserve"> Machine-learning models for drug-induced liver injury (DILI) are trained and benchmarked against reference labels compiled from heterogeneous sources whose evidence rules differ and which are periodically revised. If reference labels are unstable, the target a model is asked to predict — and the meaning of its reported performance — can drift without any change to the model itself. This instability is rarely quantified before training.</w:t>
      </w:r>
    </w:p>
    <w:p>
      <w:pPr>
        <w:spacing w:line="360" w:lineRule="auto" w:after="120"/>
      </w:pPr>
      <w:r>
        <w:rPr>
          <w:b/>
        </w:rPr>
        <w:t>Methods.</w:t>
      </w:r>
      <w:r>
        <w:t xml:space="preserve"> We aligned the two U.S. FDA releases of DILIrank (1.0, n = 1,036; 2.0, n = 1,336) by LTKB identifier, and cross-matched the result against the 1,111-compound gold standard of Seal et al. (2024), the publicly released DILIPredictor benchmark, using PubChem InChIKey bridging. Match quality was stratified into full-InChIKey, InChIKey14-only, identity-conflict, and unmatchable, and all cross-source statistics were recomputed under three matching tiers (strict full-InChIKey; full + InChIKey14; and excluding identity conflicts) as a sensitivity analysis. We further matched the full official FDA DILIst dataset (1,279 drugs) against DILIrank 1.0 for a same-drug comparison. No model was retrained; the only prediction-level evidence is the previously reproduced 223-compound held-out probability vector of the Seal et al. model.</w:t>
      </w:r>
    </w:p>
    <w:p>
      <w:pPr>
        <w:spacing w:line="360" w:lineRule="auto" w:after="120"/>
      </w:pPr>
      <w:r>
        <w:rPr>
          <w:b/>
        </w:rPr>
        <w:t>Results.</w:t>
      </w:r>
      <w:r>
        <w:t xml:space="preserve"> Between versions, 0 drugs were removed and 300 were added; 49 were reclassified. All 49 reclassifications ended in a defined concern category; among transitions between defined concern categories, 18 were escalations (no → less) and none were downgrades. The remaining 31 transitions resolved the ambiguous category to a defined concern category (27 to less, 4 to most). In the benchmark, among 559 DILIst-sourced compounds with a DILIrank-1.0 class, the non-ambiguous classes agree with DILIst (476/476) — an agreement that is partly definitional, because DILIst was constructed on top of DILIrank with a stated most/less→positive, no→negative rule [2], and we therefore treat it as a consistency check of that rule rather than independent corroboration. The informative pattern is the ambiguous class: in the matched ambiguous subset of the benchmark, 80 DILIrank-1.0-ambiguous drugs carry a negative label in the DILIst-sourced channel and 30 a positive label in the pre-binarized, DILIrank-derived "CP Overlap" channel; the same directional split holds under strict full-InChIKey matching (44 negative / 17 positive). In the full official DILIst dataset, 836 drugs match DILIrank 1.0 at the structure level: the non-ambiguous classes agree in 713/714 cases (the single exception is the norgestrel/levonorgestrel racemate pair), and 122 matched ambiguous drugs carry 120 negative and 2 positive DILIst labels (norethindrone; zopiclone). Two compounds (armodafinil, tretinoin) appear as positive DILIst-sourced rows in the benchmark but are absent from the official DILIst dataset. Of the 49 reclassified drugs, 28 fall inside the Seal gold standard (23 train / 5 held-out); the 5 held-out drugs all carry a "less" label in version 2.0, and their reproduced DILIPredictor probabilities straddle the published Youden threshold (0.6386): 2 predicted positive, 3 negative, and all five lie within 0.22 of equiprobability.</w:t>
      </w:r>
    </w:p>
    <w:p>
      <w:pPr>
        <w:spacing w:line="360" w:lineRule="auto" w:after="120"/>
      </w:pPr>
      <w:r>
        <w:rPr>
          <w:b/>
        </w:rPr>
        <w:t>Conclusions.</w:t>
      </w:r>
      <w:r>
        <w:t xml:space="preserve"> DILI reference-label instability is concentrated in the epistemically uncertain class and is directional in three senses: all 49 reclassifications ended in a defined concern category (18 escalations and no downgrades among defined-class transitions); in a widely used shipped benchmark the ambiguous class carries binary labels that differ in direction between two disjoint source channels; and in the full official DILIst dataset the ambiguous class is labeled negative for 120 of 122 same-drug matched cases, with two named exceptions. The benchmark's DILIst-sourced rows and the official DILIst dataset are not the same object, and two benchmark rows have no counterpart in the official dataset. These are descriptive properties of the shipped data, not claims about label correctness. Benchmarks should treat the ambiguous class explicitly and report per-drug label provenance instead of silently merging or discarding it. The small number of reclassified held-out compounds (n = 5; n = 2 under strict matching) limits this work to a descriptive audit; larger out-of-fold samples would be needed for inferential claims about model behaviour.</w:t>
      </w:r>
    </w:p>
    <w:p>
      <w:pPr>
        <w:pStyle w:val="Heading1"/>
      </w:pPr>
      <w:r>
        <w:t>1. Introduction</w:t>
      </w:r>
    </w:p>
    <w:p>
      <w:pPr>
        <w:spacing w:line="360" w:lineRule="auto" w:after="120"/>
      </w:pPr>
      <w:r>
        <w:t>Drug-induced liver injury (DILI) is a leading cause of drug attrition and post-market withdrawal, and a large body of machine-learning work aims to predict it from chemical structure [6]. These models are only as trustworthy as the labels they are trained and scored on. DILI reference labels, however, are not a single ground truth: they are compiled from sources with different evidence rules — FDA drug-label language (DILIrank [1,3]), the literature-augmented binary DILIst classification [2], and clinical hepatotoxicity likelihood scores (LiverTox [8]) — and these sources are periodically revised. DILIrank 2.0 expanded the original list by 300 drugs and reclassified a further 49 [3].</w:t>
      </w:r>
    </w:p>
    <w:p>
      <w:pPr>
        <w:spacing w:line="360" w:lineRule="auto" w:after="120"/>
      </w:pPr>
      <w:r>
        <w:t xml:space="preserve">Two consequences follow. First, </w:t>
      </w:r>
      <w:r>
        <w:rPr>
          <w:i/>
        </w:rPr>
        <w:t>version drift</w:t>
      </w:r>
      <w:r>
        <w:t xml:space="preserve">: when a reference dataset is revised, a model trained on the old labels may be evaluated against, or applied to, drugs whose labels have since changed. Second, </w:t>
      </w:r>
      <w:r>
        <w:rPr>
          <w:i/>
        </w:rPr>
        <w:t>cross-source disagreement</w:t>
      </w:r>
      <w:r>
        <w:t xml:space="preserve">: when multiple sources are merged into one training set, the same drug can carry contradictory labels depending on which source is treated as authoritative. A recent multi-source database, i-DILI, quantified pairwise agreement with Cohen's kappa and introduced a confidence score, but explicitly </w:t>
      </w:r>
      <w:r>
        <w:rPr>
          <w:b/>
        </w:rPr>
        <w:t>drops</w:t>
      </w:r>
      <w:r>
        <w:t xml:space="preserve"> DILIrank's ambiguous class and works only from version 2.0 [4]. A related study used DILIrank 2.0's 300 added drugs as a temporal test, but its subject was feature representation, not label stability [5]. Recent perspectives note that DILI dataset annotation rules differ across resources and that models can learn different definitions of DILI positivity [9].</w:t>
      </w:r>
    </w:p>
    <w:p>
      <w:pPr>
        <w:spacing w:line="360" w:lineRule="auto" w:after="120"/>
      </w:pPr>
      <w:r>
        <w:t>Here we do not build a new database or a new predictor. We audit the labels themselves: (i) how many drugs changed class between DILIrank 1.0 and 2.0, and in which direction; (ii) how compounds classified as ambiguous in DILIrank 1.0 carry binary labels across two disjoint source channels in a published benchmark — the Seal et al. (2024) gold standard [6] — and how the resulting label distribution depends on source provenance; (iii) how the same drugs are labeled in the full official DILIst dataset, as a same-drug comparison rather than a channel-level comparison; and (iv) what the reclassified compounds that survive into that benchmark's held-out set look like under the reproduced model. Prior work has examined how the choice of features, endpoints, and negative-sample definitions affects reported DILI model performance [7]; to our knowledge, neither the direction of version drift nor the source-dependent binary labeling of DILIrank's ambiguous class has been quantified. Our contribution is limited to checkable, quantitative facts about label provenance — the directionally asymmetric reclassification pattern of the 1.0→2.0 update, the specific path by which compounds classified as ambiguous in DILIrank 1.0 arrive in a published benchmark with binary labels, and the same-drug label correspondence between DILIrank 1.0 and the full DILIst dataset — reported as a descriptive, reproducible characterization that supports "benchmark hygiene" decisions, not a claim of improved prediction.</w:t>
      </w:r>
    </w:p>
    <w:p>
      <w:pPr>
        <w:pStyle w:val="Heading1"/>
      </w:pPr>
      <w:r>
        <w:t>2. Methods</w:t>
      </w:r>
    </w:p>
    <w:p>
      <w:pPr>
        <w:spacing w:line="360" w:lineRule="auto" w:after="120"/>
      </w:pPr>
      <w:r>
        <w:rPr>
          <w:b/>
        </w:rPr>
        <w:t>DILIrank versions.</w:t>
      </w:r>
      <w:r>
        <w:t xml:space="preserve"> The two FDA releases were read from a single official workbook ("version 1" and "version 2" sheets; 1,036 and 1,336 rows). The four-class label was normalized to most / less / no / ambiguous. Following the FDA definition, most, less, and no are defined concern categories with a severity ordering, whereas ambiguous denotes undetermined causality [3]; transitions out of the ambiguous category are therefore treated as resolutions of classification uncertainty, not as ordinal severity upgrades. The two sheets were aligned by `LTKBID`, which is unique in both releases.</w:t>
      </w:r>
    </w:p>
    <w:p>
      <w:pPr>
        <w:spacing w:line="360" w:lineRule="auto" w:after="120"/>
      </w:pPr>
      <w:r>
        <w:rPr>
          <w:b/>
        </w:rPr>
        <w:t>Construction dependence of the DILIst comparison.</w:t>
      </w:r>
      <w:r>
        <w:t xml:space="preserve"> DILIst extends DILIrank with four literature-derived datasets and maps most/less to positive and no to negative [2]. For drugs matched between DILIst and DILIrank, agreement on non-ambiguous classes is therefore expected by construction. We report that agreement as a consistency check of the stated rule, not as independent corroboration; independence of DILIst labels is not claimed and is addressed further in Limitations.</w:t>
      </w:r>
    </w:p>
    <w:p>
      <w:pPr>
        <w:spacing w:line="360" w:lineRule="auto" w:after="120"/>
      </w:pPr>
      <w:r>
        <w:rPr>
          <w:b/>
        </w:rPr>
        <w:t>Structure bridging.</w:t>
      </w:r>
      <w:r>
        <w:t xml:space="preserve"> Drug-name → structure mapping for DILIrank 1.0 was taken from our earlier PubChem PUG REST pass (curl-based, CSV-quoted; see Data availability), which produced canonical InChIKey / InChIKey14 per name. Names without a resolvable small-molecule structure (biologics, antibodies, peptides) are recorded as unmatchable.</w:t>
      </w:r>
    </w:p>
    <w:p>
      <w:pPr>
        <w:spacing w:line="360" w:lineRule="auto" w:after="120"/>
      </w:pPr>
      <w:r>
        <w:rPr>
          <w:b/>
        </w:rPr>
        <w:t>Seal gold standard and splits.</w:t>
      </w:r>
      <w:r>
        <w:t xml:space="preserve"> We used the shipped `DILI_Goldstandard_1111.csv` (1,111 compounds with `Source_rank`, `Source`, `TOXICITY`, `InChIKey`, `InChIKey14`) and the 888 / 223 split files. The gold standard's `Source_rank` field identifies two label channels: `Source_rank = 1` is the literature-augmented DILIst subset (990 rows), and `Source_rank = 13` is a pre-binarized, DILIrank-derived subset shipped as `Source = "DILIrank dataset CP Overlap REpsilber"` (121 rows, 97 positive / 24 negative); the upstream selection and binarization rule of this subset is not documented in the benchmark's public repository.</w:t>
      </w:r>
    </w:p>
    <w:p>
      <w:pPr>
        <w:spacing w:line="360" w:lineRule="auto" w:after="120"/>
      </w:pPr>
      <w:r>
        <w:rPr>
          <w:b/>
        </w:rPr>
        <w:t>Full-DILIst same-drug comparison.</w:t>
      </w:r>
      <w:r>
        <w:t xml:space="preserve"> The official FDA DILIst workbook (1,279 drugs; 768 positive / 511 negative) was downloaded from the FDA DILIst dataset page and matched to DILIrank 1.0 by structure. Names already covered by our PubChem pass were reused; the remaining 455 names were resolved via PubChem PUG REST (name → CID with salt-suffix-stripped fallbacks; 364 resolved, 91 without a PubChem record). Matching used the same full-InChIKey-priority rule as the benchmark analysis; because both sides resolve through PubChem canonical keys, the identity-conflict screen of the benchmark analysis does not arise here. Results are reported separately from the benchmark subset: the benchmark's DILIst-sourced rows are an upstream snapshot and are not the same object as the full official DILIst dataset.</w:t>
      </w:r>
    </w:p>
    <w:p>
      <w:pPr>
        <w:spacing w:line="360" w:lineRule="auto" w:after="120"/>
      </w:pPr>
      <w:r>
        <w:rPr>
          <w:b/>
        </w:rPr>
        <w:t>Match tiers (sensitivity analysis).</w:t>
      </w:r>
      <w:r>
        <w:t xml:space="preserve"> Matching between DILIrank and Seal was graded into four quality classes: </w:t>
      </w:r>
      <w:r>
        <w:rPr>
          <w:b/>
        </w:rPr>
        <w:t>full-InChIKey match</w:t>
      </w:r>
      <w:r>
        <w:t xml:space="preserve"> (identical 27-character InChIKey), </w:t>
      </w:r>
      <w:r>
        <w:rPr>
          <w:b/>
        </w:rPr>
        <w:t>InChIKey14-only</w:t>
      </w:r>
      <w:r>
        <w:t xml:space="preserve"> (skeleton match, stereo differs — Seal stores `-UHFFFAOYSA-` for many entries), </w:t>
      </w:r>
      <w:r>
        <w:rPr>
          <w:b/>
        </w:rPr>
        <w:t>identity-conflict</w:t>
      </w:r>
      <w:r>
        <w:t xml:space="preserve"> (the same InChIKey14 maps to more than one DILIrank drug of different classes), and </w:t>
      </w:r>
      <w:r>
        <w:rPr>
          <w:b/>
        </w:rPr>
        <w:t>unmatchable</w:t>
      </w:r>
      <w:r>
        <w:t xml:space="preserve"> (no structure). Because Seal's stored keys frequently omit stereo, skeleton matching can merge distinct stereoisomers; to bound this risk we recompute all cross-source statistics under three tiers: </w:t>
      </w:r>
      <w:r>
        <w:rPr>
          <w:b/>
        </w:rPr>
        <w:t>Tier A</w:t>
      </w:r>
      <w:r>
        <w:t xml:space="preserve">, full-InChIKey matches only; </w:t>
      </w:r>
      <w:r>
        <w:rPr>
          <w:b/>
        </w:rPr>
        <w:t>Tier B</w:t>
      </w:r>
      <w:r>
        <w:t xml:space="preserve">, Tier A plus InChIKey14-only matches (main analysis); and </w:t>
      </w:r>
      <w:r>
        <w:rPr>
          <w:b/>
        </w:rPr>
        <w:t>Tier C</w:t>
      </w:r>
      <w:r>
        <w:t>, Tier B with identity-conflict rows excluded. Exact InChIKey matches were preferred when assigning matches in Tiers A and B. Separately, Tier C excluded any row whose InChIKey14 mapped to multiple DILIrank entries with different classes, including cases in which an exact-key match was available. This additional conflict screen excludes the amphetamine row responsible for the single Tier-A non-ambiguous discordance (Table 4).</w:t>
      </w:r>
    </w:p>
    <w:p>
      <w:pPr>
        <w:spacing w:line="360" w:lineRule="auto" w:after="120"/>
      </w:pPr>
      <w:r>
        <w:rPr>
          <w:b/>
        </w:rPr>
        <w:t>Predictions.</w:t>
      </w:r>
      <w:r>
        <w:t xml:space="preserve"> Only the already-reproduced 223-compound held-out probability vector of the Seal et al. FeatureNet model was used (verified against the authors' published predictions to floating-point precision in earlier work; see Data availability). The Youden threshold (0.6386) is the published value reported by Seal et al. [6]; it was not refitted on the held-out set for this work. No model was trained or re-run, and no training-set prediction was used to characterize generalization.</w:t>
      </w:r>
    </w:p>
    <w:p>
      <w:pPr>
        <w:pStyle w:val="Heading1"/>
      </w:pPr>
      <w:r>
        <w:t>3. Results</w:t>
      </w:r>
    </w:p>
    <w:p>
      <w:pPr>
        <w:pStyle w:val="Heading2"/>
      </w:pPr>
      <w:r>
        <w:t>3.1 Version reconciliation and reclassification direction</w:t>
      </w:r>
    </w:p>
    <w:p>
      <w:pPr>
        <w:spacing w:line="360" w:lineRule="auto" w:after="120"/>
      </w:pPr>
      <w:r>
        <w:t>Aligning DILIrank 1.0 and 2.0 by LTKBID recovers the published claim exactly: 0 drugs removed, 300 added, 49 reclassified (Table 1). The reclassification pattern is directionally asymmetric rather than uniformly upward across all four labels: eighteen drugs moved from no to less DILI concern, an escalation within the defined concern categories, and 31 drugs moved from the ambiguous category to a defined concern category (27 to less, 4 to most). Because FDA defines Ambiguous-DILI-concern as a category of undetermined causality [3], the latter transitions are resolutions of classification uncertainty, not ordinal severity upgrades. No drug moved from a defined concern category to a lower defined concern category.</w:t>
      </w:r>
    </w:p>
    <w:p>
      <w:pPr>
        <w:spacing w:line="360" w:lineRule="auto" w:after="120"/>
      </w:pPr>
      <w:r>
        <w:rPr>
          <w:b/>
        </w:rPr>
        <w:t>Table 1. DILIrank 1.0 → 2.0 reclassification (n = 49): 18 concern escalations and 31 resolutions from the ambiguous category.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Change</w:t>
            </w:r>
          </w:p>
        </w:tc>
        <w:tc>
          <w:tcPr>
            <w:tcW w:type="dxa" w:w="2880"/>
          </w:tcPr>
          <w:p>
            <w:r>
              <w:rPr>
                <w:b/>
              </w:rPr>
              <w:t>Count</w:t>
            </w:r>
          </w:p>
        </w:tc>
        <w:tc>
          <w:tcPr>
            <w:tcW w:type="dxa" w:w="2880"/>
          </w:tcPr>
          <w:p>
            <w:r>
              <w:rPr>
                <w:b/>
              </w:rPr>
              <w:t>Interpretation</w:t>
            </w:r>
          </w:p>
        </w:tc>
      </w:tr>
      <w:tr>
        <w:tc>
          <w:tcPr>
            <w:tcW w:type="dxa" w:w="2880"/>
          </w:tcPr>
          <w:p>
            <w:r>
              <w:t>no → less</w:t>
            </w:r>
          </w:p>
        </w:tc>
        <w:tc>
          <w:tcPr>
            <w:tcW w:type="dxa" w:w="2880"/>
          </w:tcPr>
          <w:p>
            <w:r>
              <w:t>18</w:t>
            </w:r>
          </w:p>
        </w:tc>
        <w:tc>
          <w:tcPr>
            <w:tcW w:type="dxa" w:w="2880"/>
          </w:tcPr>
          <w:p>
            <w:r>
              <w:t>escalation within the defined concern categories</w:t>
            </w:r>
          </w:p>
        </w:tc>
      </w:tr>
      <w:tr>
        <w:tc>
          <w:tcPr>
            <w:tcW w:type="dxa" w:w="2880"/>
          </w:tcPr>
          <w:p>
            <w:r>
              <w:t>ambiguous → less</w:t>
            </w:r>
          </w:p>
        </w:tc>
        <w:tc>
          <w:tcPr>
            <w:tcW w:type="dxa" w:w="2880"/>
          </w:tcPr>
          <w:p>
            <w:r>
              <w:t>27</w:t>
            </w:r>
          </w:p>
        </w:tc>
        <w:tc>
          <w:tcPr>
            <w:tcW w:type="dxa" w:w="2880"/>
          </w:tcPr>
          <w:p>
            <w:r>
              <w:t>resolution of classification uncertainty to a defined concern category</w:t>
            </w:r>
          </w:p>
        </w:tc>
      </w:tr>
      <w:tr>
        <w:tc>
          <w:tcPr>
            <w:tcW w:type="dxa" w:w="2880"/>
          </w:tcPr>
          <w:p>
            <w:r>
              <w:t>ambiguous → most</w:t>
            </w:r>
          </w:p>
        </w:tc>
        <w:tc>
          <w:tcPr>
            <w:tcW w:type="dxa" w:w="2880"/>
          </w:tcPr>
          <w:p>
            <w:r>
              <w:t>4</w:t>
            </w:r>
          </w:p>
        </w:tc>
        <w:tc>
          <w:tcPr>
            <w:tcW w:type="dxa" w:w="2880"/>
          </w:tcPr>
          <w:p>
            <w:r>
              <w:t>resolution of classification uncertainty to a defined concern category</w:t>
            </w:r>
          </w:p>
        </w:tc>
      </w:tr>
      <w:tr>
        <w:tc>
          <w:tcPr>
            <w:tcW w:type="dxa" w:w="2880"/>
          </w:tcPr>
          <w:p>
            <w:r>
              <w:t>(defined-class downgrade)</w:t>
            </w:r>
          </w:p>
        </w:tc>
        <w:tc>
          <w:tcPr>
            <w:tcW w:type="dxa" w:w="2880"/>
          </w:tcPr>
          <w:p>
            <w:r>
              <w:t>0</w:t>
            </w:r>
          </w:p>
        </w:tc>
        <w:tc>
          <w:tcPr>
            <w:tcW w:type="dxa" w:w="2880"/>
          </w:tcPr>
          <w:p>
            <w:r>
              <w:t>—</w:t>
            </w:r>
          </w:p>
        </w:tc>
      </w:tr>
    </w:tbl>
    <w:p/>
    <w:p>
      <w:pPr>
        <w:pStyle w:val="Heading2"/>
      </w:pPr>
      <w:r>
        <w:t>3.2 How the ambiguous class is labelled across source channels — and what is by construction</w:t>
      </w:r>
    </w:p>
    <w:p>
      <w:pPr>
        <w:spacing w:line="360" w:lineRule="auto" w:after="120"/>
      </w:pPr>
      <w:r>
        <w:t>We report the cross-source comparison in three layers.</w:t>
      </w:r>
    </w:p>
    <w:p>
      <w:pPr>
        <w:spacing w:line="360" w:lineRule="auto" w:after="120"/>
      </w:pPr>
      <w:r>
        <w:rPr>
          <w:i/>
        </w:rPr>
        <w:t>Layer 1 — the construction-consistent core.</w:t>
      </w:r>
      <w:r>
        <w:t xml:space="preserve"> Across the 556 tallied DILIst compounds with an unambiguous DILIrank-1.0 match (559 matched, 3 identity-conflict rows excluded; Table 2 note), the non-ambiguous classes agree with DILIst without exception (476/476): every most/less drug is DILIst-positive and every no drug is DILIst-negative. Because DILIst's stated construction rule maps most/less to positive and no to negative [2], this layer is a consistency check of that rule, not independent evidence.</w:t>
      </w:r>
    </w:p>
    <w:p>
      <w:pPr>
        <w:spacing w:line="360" w:lineRule="auto" w:after="120"/>
      </w:pPr>
      <w:r>
        <w:rPr>
          <w:i/>
        </w:rPr>
        <w:t>Layer 2 — the part that cannot be audited.</w:t>
      </w:r>
      <w:r>
        <w:t xml:space="preserve"> 431 of 990 DILIst-sourced rows and 32 of 121 "CP Overlap"-sourced rows do not match any DILIrank-1.0 drug and fall outside this audit. Those rows carry the benchmark's binary labels without a comparable DILIrank class; we do not use them to support any independence claim, and we did not re-trace their per-drug literature provenance (Limitations).</w:t>
      </w:r>
    </w:p>
    <w:p>
      <w:pPr>
        <w:spacing w:line="360" w:lineRule="auto" w:after="120"/>
      </w:pPr>
      <w:r>
        <w:rPr>
          <w:i/>
        </w:rPr>
        <w:t>Layer 3 — the ambiguous class, which the stated rules do not determine.</w:t>
      </w:r>
      <w:r>
        <w:t xml:space="preserve"> In the Tier-B primary analysis, all disagreement in the matched set is confined to the ambiguous class, and it is directional in the shipped benchmark (under strict Tier-A matching, a single non-ambiguous discordance appears instead; Table 4). In the DILIst-sourced channel, every tallied ambiguous drug (80) is negative; in the DILIrank-derived "CP Overlap" channel (89 matched, 1 identity-conflict row excluded), every tallied ambiguous drug (30) is positive. Seal et al. describe their DILIrank-sourced labels as mapping most/less to positive and no to negative, with ambiguous excluded [6]; the shipped benchmark nonetheless carries binary labels for all 110 tallied compounds that DILIrank 1.0 classifies as ambiguous. Because the upstream rule of the "CP Overlap" subset is not documented in the repository, we characterize this distribution empirically and do not attribute the labels to any documented rule; and because the two channels are disjoint (Source_rank is mutually exclusive), this is a property of the benchmark's shipped label distribution rather than a same-drug comparison across two adjudications. §3.5 reports the same-drug comparison across the full official DILIst dataset.</w:t>
      </w:r>
    </w:p>
    <w:p>
      <w:pPr>
        <w:spacing w:line="360" w:lineRule="auto" w:after="120"/>
      </w:pPr>
      <w:r>
        <w:rPr>
          <w:b/>
        </w:rPr>
        <w:t>Table 2. Cross-source agreement, by DILIrank-1.0 class (Tier 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Source (Seal)</w:t>
            </w:r>
          </w:p>
        </w:tc>
        <w:tc>
          <w:tcPr>
            <w:tcW w:type="dxa" w:w="1728"/>
          </w:tcPr>
          <w:p>
            <w:r>
              <w:rPr>
                <w:b/>
              </w:rPr>
              <w:t>no</w:t>
            </w:r>
          </w:p>
        </w:tc>
        <w:tc>
          <w:tcPr>
            <w:tcW w:type="dxa" w:w="1728"/>
          </w:tcPr>
          <w:p>
            <w:r>
              <w:rPr>
                <w:b/>
              </w:rPr>
              <w:t>less</w:t>
            </w:r>
          </w:p>
        </w:tc>
        <w:tc>
          <w:tcPr>
            <w:tcW w:type="dxa" w:w="1728"/>
          </w:tcPr>
          <w:p>
            <w:r>
              <w:rPr>
                <w:b/>
              </w:rPr>
              <w:t>most</w:t>
            </w:r>
          </w:p>
        </w:tc>
        <w:tc>
          <w:tcPr>
            <w:tcW w:type="dxa" w:w="1728"/>
          </w:tcPr>
          <w:p>
            <w:r>
              <w:rPr>
                <w:b/>
              </w:rPr>
              <w:t>ambiguous</w:t>
            </w:r>
          </w:p>
        </w:tc>
      </w:tr>
      <w:tr>
        <w:tc>
          <w:tcPr>
            <w:tcW w:type="dxa" w:w="1728"/>
          </w:tcPr>
          <w:p>
            <w:r>
              <w:t>DILIst-sourced (Source_rank = 1), TOXICITY = 0</w:t>
            </w:r>
          </w:p>
        </w:tc>
        <w:tc>
          <w:tcPr>
            <w:tcW w:type="dxa" w:w="1728"/>
          </w:tcPr>
          <w:p>
            <w:r>
              <w:t>164</w:t>
            </w:r>
          </w:p>
        </w:tc>
        <w:tc>
          <w:tcPr>
            <w:tcW w:type="dxa" w:w="1728"/>
          </w:tcPr>
          <w:p>
            <w:r>
              <w:t>0</w:t>
            </w:r>
          </w:p>
        </w:tc>
        <w:tc>
          <w:tcPr>
            <w:tcW w:type="dxa" w:w="1728"/>
          </w:tcPr>
          <w:p>
            <w:r>
              <w:t>0</w:t>
            </w:r>
          </w:p>
        </w:tc>
        <w:tc>
          <w:tcPr>
            <w:tcW w:type="dxa" w:w="1728"/>
          </w:tcPr>
          <w:p>
            <w:r>
              <w:rPr>
                <w:b/>
              </w:rPr>
              <w:t>80</w:t>
            </w:r>
          </w:p>
        </w:tc>
      </w:tr>
      <w:tr>
        <w:tc>
          <w:tcPr>
            <w:tcW w:type="dxa" w:w="1728"/>
          </w:tcPr>
          <w:p>
            <w:r>
              <w:t>DILIst-sourced (Source_rank = 1), TOXICITY = 1</w:t>
            </w:r>
          </w:p>
        </w:tc>
        <w:tc>
          <w:tcPr>
            <w:tcW w:type="dxa" w:w="1728"/>
          </w:tcPr>
          <w:p>
            <w:r>
              <w:t>0</w:t>
            </w:r>
          </w:p>
        </w:tc>
        <w:tc>
          <w:tcPr>
            <w:tcW w:type="dxa" w:w="1728"/>
          </w:tcPr>
          <w:p>
            <w:r>
              <w:t>174</w:t>
            </w:r>
          </w:p>
        </w:tc>
        <w:tc>
          <w:tcPr>
            <w:tcW w:type="dxa" w:w="1728"/>
          </w:tcPr>
          <w:p>
            <w:r>
              <w:t>138</w:t>
            </w:r>
          </w:p>
        </w:tc>
        <w:tc>
          <w:tcPr>
            <w:tcW w:type="dxa" w:w="1728"/>
          </w:tcPr>
          <w:p>
            <w:r>
              <w:t>0</w:t>
            </w:r>
          </w:p>
        </w:tc>
      </w:tr>
      <w:tr>
        <w:tc>
          <w:tcPr>
            <w:tcW w:type="dxa" w:w="1728"/>
          </w:tcPr>
          <w:p>
            <w:r>
              <w:t>"CP Overlap" (Source_rank = 13), TOXICITY = 0</w:t>
            </w:r>
          </w:p>
        </w:tc>
        <w:tc>
          <w:tcPr>
            <w:tcW w:type="dxa" w:w="1728"/>
          </w:tcPr>
          <w:p>
            <w:r>
              <w:t>18</w:t>
            </w:r>
          </w:p>
        </w:tc>
        <w:tc>
          <w:tcPr>
            <w:tcW w:type="dxa" w:w="1728"/>
          </w:tcPr>
          <w:p>
            <w:r>
              <w:t>0</w:t>
            </w:r>
          </w:p>
        </w:tc>
        <w:tc>
          <w:tcPr>
            <w:tcW w:type="dxa" w:w="1728"/>
          </w:tcPr>
          <w:p>
            <w:r>
              <w:t>0</w:t>
            </w:r>
          </w:p>
        </w:tc>
        <w:tc>
          <w:tcPr>
            <w:tcW w:type="dxa" w:w="1728"/>
          </w:tcPr>
          <w:p>
            <w:r>
              <w:t>0</w:t>
            </w:r>
          </w:p>
        </w:tc>
      </w:tr>
      <w:tr>
        <w:tc>
          <w:tcPr>
            <w:tcW w:type="dxa" w:w="1728"/>
          </w:tcPr>
          <w:p>
            <w:r>
              <w:t>"CP Overlap" (Source_rank = 13), TOXICITY = 1</w:t>
            </w:r>
          </w:p>
        </w:tc>
        <w:tc>
          <w:tcPr>
            <w:tcW w:type="dxa" w:w="1728"/>
          </w:tcPr>
          <w:p>
            <w:r>
              <w:t>0</w:t>
            </w:r>
          </w:p>
        </w:tc>
        <w:tc>
          <w:tcPr>
            <w:tcW w:type="dxa" w:w="1728"/>
          </w:tcPr>
          <w:p>
            <w:r>
              <w:t>30</w:t>
            </w:r>
          </w:p>
        </w:tc>
        <w:tc>
          <w:tcPr>
            <w:tcW w:type="dxa" w:w="1728"/>
          </w:tcPr>
          <w:p>
            <w:r>
              <w:t>10</w:t>
            </w:r>
          </w:p>
        </w:tc>
        <w:tc>
          <w:tcPr>
            <w:tcW w:type="dxa" w:w="1728"/>
          </w:tcPr>
          <w:p>
            <w:r>
              <w:rPr>
                <w:b/>
              </w:rPr>
              <w:t>30</w:t>
            </w:r>
          </w:p>
        </w:tc>
      </w:tr>
    </w:tbl>
    <w:p/>
    <w:p>
      <w:pPr>
        <w:spacing w:line="360" w:lineRule="auto" w:after="120"/>
      </w:pPr>
      <w:r>
        <w:rPr>
          <w:i/>
        </w:rPr>
        <w:t>Note: four gold-standard rows (1 DILIst-negative, 2 DILIst-positive, 1 "CP Overlap"-positive) received two DILIrank-1.0 drug mappings of different classes via a shared InChIKey14 and are excluded from the agreement tallies. The four shared keys correspond to the pairs amphetamine/dextroamphetamine, armodafinil/modafinil, tretinoin/isotretinoin, and ofloxacin/levofloxacin.</w:t>
      </w:r>
    </w:p>
    <w:p>
      <w:pPr>
        <w:pStyle w:val="Heading2"/>
      </w:pPr>
      <w:r>
        <w:t>3.3 Reclassified drugs inside the Seal benchmark</w:t>
      </w:r>
    </w:p>
    <w:p>
      <w:pPr>
        <w:spacing w:line="360" w:lineRule="auto" w:after="120"/>
      </w:pPr>
      <w:r>
        <w:t>Of the 49 reclassified drugs, 42 have a resolvable structure and 28 fall inside the Seal gold standard (23 in the 888-compound training set, 5 in the 223-compound held-out set); 14 have structure but are not in Seal, and 7 are unmatchable (biologics/antibodies/peptides). Match quality among the 28 in-Seal drugs was 14 full-InChIKey, 13 InChIKey14-only, and 1 identity-conflict (tretinoin, whose skeleton InChIKey is shared with isotretinoin), so 27 are reliably attributable and 1 is not. The five Tier-B held-out reclassified compounds yielded two positive and three negative predictions at the published threshold. Under strict full-InChIKey matching, only raloxifene and flavoxate remained, and both were predicted positive. These observations are exploratory and are not used for inferential claims; compound-level probabilities are provided in the Supplementary Information (Table S1).</w:t>
      </w:r>
    </w:p>
    <w:p>
      <w:pPr>
        <w:pStyle w:val="Heading2"/>
      </w:pPr>
      <w:r>
        <w:t>3.4 Sensitivity to match stringency</w:t>
      </w:r>
    </w:p>
    <w:p>
      <w:pPr>
        <w:spacing w:line="360" w:lineRule="auto" w:after="120"/>
      </w:pPr>
      <w:r>
        <w:t xml:space="preserve">Table 4 recomputes the cross-source statistics and the in-benchmark reclassified counts under the three matching tiers, presented side by side so that the effect of the matching rule is visible; Tier C is a conditional result obtained after an additional conflict screen, not an independent corroboration of Tier B. Three points survive stringency changes. (i) </w:t>
      </w:r>
      <w:r>
        <w:rPr>
          <w:b/>
        </w:rPr>
        <w:t>The directional split of the ambiguous class is tier-invariant</w:t>
      </w:r>
      <w:r>
        <w:t xml:space="preserve">: in every tier in which a drug is matched, DILIst-channel ambiguous drugs are negative (44/44 at Tier A; 80/80 at Tiers B–C) and "CP Overlap"-channel ambiguous drugs are positive (17/17; 30/30). (ii) </w:t>
      </w:r>
      <w:r>
        <w:rPr>
          <w:b/>
        </w:rPr>
        <w:t>Non-ambiguous agreement is near-perfect even under strict matching</w:t>
      </w:r>
      <w:r>
        <w:t xml:space="preserve">: 313/314 at Tier A (the single exception, amphetamine — DILIrank "less" versus a DILIst-negative label — is one of the four identity-conflict rows excluded at Tier C), and 476/476 at Tiers B–C. (iii) </w:t>
      </w:r>
      <w:r>
        <w:rPr>
          <w:b/>
        </w:rPr>
        <w:t>The in-benchmark reclassified set shrinks but keeps its structure</w:t>
      </w:r>
      <w:r>
        <w:t>: 28 drugs (23 train / 5 held-out) at Tier B, 14 (12 / 2) under strict full-key matching, and the two strictly matched held-out drugs (raloxifene, flavoxate) are both predicted positive, in the same direction as the full held-out set.</w:t>
      </w:r>
    </w:p>
    <w:p>
      <w:pPr>
        <w:spacing w:line="360" w:lineRule="auto" w:after="120"/>
      </w:pPr>
      <w:r>
        <w:rPr>
          <w:b/>
        </w:rPr>
        <w:t>Table 4. Sensitivity of cross-source statistics to match stringency.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Tier</w:t>
            </w:r>
          </w:p>
        </w:tc>
        <w:tc>
          <w:tcPr>
            <w:tcW w:type="dxa" w:w="960"/>
          </w:tcPr>
          <w:p>
            <w:r>
              <w:rPr>
                <w:b/>
              </w:rPr>
              <w:t>Matching rule</w:t>
            </w:r>
          </w:p>
        </w:tc>
        <w:tc>
          <w:tcPr>
            <w:tcW w:type="dxa" w:w="960"/>
          </w:tcPr>
          <w:p>
            <w:r>
              <w:rPr>
                <w:b/>
              </w:rPr>
              <w:t>DILIst matched (tallied)</w:t>
            </w:r>
          </w:p>
        </w:tc>
        <w:tc>
          <w:tcPr>
            <w:tcW w:type="dxa" w:w="960"/>
          </w:tcPr>
          <w:p>
            <w:r>
              <w:rPr>
                <w:b/>
              </w:rPr>
              <w:t>CP matched (tallied)</w:t>
            </w:r>
          </w:p>
        </w:tc>
        <w:tc>
          <w:tcPr>
            <w:tcW w:type="dxa" w:w="960"/>
          </w:tcPr>
          <w:p>
            <w:r>
              <w:rPr>
                <w:b/>
              </w:rPr>
              <w:t>ambiguous, DILIst channel</w:t>
            </w:r>
          </w:p>
        </w:tc>
        <w:tc>
          <w:tcPr>
            <w:tcW w:type="dxa" w:w="960"/>
          </w:tcPr>
          <w:p>
            <w:r>
              <w:rPr>
                <w:b/>
              </w:rPr>
              <w:t>ambiguous, CP channel</w:t>
            </w:r>
          </w:p>
        </w:tc>
        <w:tc>
          <w:tcPr>
            <w:tcW w:type="dxa" w:w="960"/>
          </w:tcPr>
          <w:p>
            <w:r>
              <w:rPr>
                <w:b/>
              </w:rPr>
              <w:t>Non-ambiguous agreement</w:t>
            </w:r>
          </w:p>
        </w:tc>
        <w:tc>
          <w:tcPr>
            <w:tcW w:type="dxa" w:w="960"/>
          </w:tcPr>
          <w:p>
            <w:r>
              <w:rPr>
                <w:b/>
              </w:rPr>
              <w:t>Identity-conflict rows</w:t>
            </w:r>
          </w:p>
        </w:tc>
        <w:tc>
          <w:tcPr>
            <w:tcW w:type="dxa" w:w="960"/>
          </w:tcPr>
          <w:p>
            <w:r>
              <w:rPr>
                <w:b/>
              </w:rPr>
              <w:t>Reclassified in Seal (train/held)</w:t>
            </w:r>
          </w:p>
        </w:tc>
      </w:tr>
      <w:tr>
        <w:tc>
          <w:tcPr>
            <w:tcW w:type="dxa" w:w="960"/>
          </w:tcPr>
          <w:p>
            <w:r>
              <w:t>A</w:t>
            </w:r>
          </w:p>
        </w:tc>
        <w:tc>
          <w:tcPr>
            <w:tcW w:type="dxa" w:w="960"/>
          </w:tcPr>
          <w:p>
            <w:r>
              <w:t>full InChIKey only</w:t>
            </w:r>
          </w:p>
        </w:tc>
        <w:tc>
          <w:tcPr>
            <w:tcW w:type="dxa" w:w="960"/>
          </w:tcPr>
          <w:p>
            <w:r>
              <w:t>358</w:t>
            </w:r>
          </w:p>
        </w:tc>
        <w:tc>
          <w:tcPr>
            <w:tcW w:type="dxa" w:w="960"/>
          </w:tcPr>
          <w:p>
            <w:r>
              <w:t>30</w:t>
            </w:r>
          </w:p>
        </w:tc>
        <w:tc>
          <w:tcPr>
            <w:tcW w:type="dxa" w:w="960"/>
          </w:tcPr>
          <w:p>
            <w:r>
              <w:t>44 negative / 0 positive</w:t>
            </w:r>
          </w:p>
        </w:tc>
        <w:tc>
          <w:tcPr>
            <w:tcW w:type="dxa" w:w="960"/>
          </w:tcPr>
          <w:p>
            <w:r>
              <w:t>0 negative / 17 positive</w:t>
            </w:r>
          </w:p>
        </w:tc>
        <w:tc>
          <w:tcPr>
            <w:tcW w:type="dxa" w:w="960"/>
          </w:tcPr>
          <w:p>
            <w:r>
              <w:t>313/314*</w:t>
            </w:r>
          </w:p>
        </w:tc>
        <w:tc>
          <w:tcPr>
            <w:tcW w:type="dxa" w:w="960"/>
          </w:tcPr>
          <w:p>
            <w:r>
              <w:t>0</w:t>
            </w:r>
          </w:p>
        </w:tc>
        <w:tc>
          <w:tcPr>
            <w:tcW w:type="dxa" w:w="960"/>
          </w:tcPr>
          <w:p>
            <w:r>
              <w:t>14 (12 / 2)</w:t>
            </w:r>
          </w:p>
        </w:tc>
      </w:tr>
      <w:tr>
        <w:tc>
          <w:tcPr>
            <w:tcW w:type="dxa" w:w="960"/>
          </w:tcPr>
          <w:p>
            <w:r>
              <w:t>B</w:t>
            </w:r>
          </w:p>
        </w:tc>
        <w:tc>
          <w:tcPr>
            <w:tcW w:type="dxa" w:w="960"/>
          </w:tcPr>
          <w:p>
            <w:r>
              <w:t>+ InChIKey14-only (main)</w:t>
            </w:r>
          </w:p>
        </w:tc>
        <w:tc>
          <w:tcPr>
            <w:tcW w:type="dxa" w:w="960"/>
          </w:tcPr>
          <w:p>
            <w:r>
              <w:t>559 (556)</w:t>
            </w:r>
          </w:p>
        </w:tc>
        <w:tc>
          <w:tcPr>
            <w:tcW w:type="dxa" w:w="960"/>
          </w:tcPr>
          <w:p>
            <w:r>
              <w:t>89 (88)</w:t>
            </w:r>
          </w:p>
        </w:tc>
        <w:tc>
          <w:tcPr>
            <w:tcW w:type="dxa" w:w="960"/>
          </w:tcPr>
          <w:p>
            <w:r>
              <w:t>80 negative / 0 positive</w:t>
            </w:r>
          </w:p>
        </w:tc>
        <w:tc>
          <w:tcPr>
            <w:tcW w:type="dxa" w:w="960"/>
          </w:tcPr>
          <w:p>
            <w:r>
              <w:t>0 negative / 30 positive</w:t>
            </w:r>
          </w:p>
        </w:tc>
        <w:tc>
          <w:tcPr>
            <w:tcW w:type="dxa" w:w="960"/>
          </w:tcPr>
          <w:p>
            <w:r>
              <w:t>476/476</w:t>
            </w:r>
          </w:p>
        </w:tc>
        <w:tc>
          <w:tcPr>
            <w:tcW w:type="dxa" w:w="960"/>
          </w:tcPr>
          <w:p>
            <w:r>
              <w:t>4</w:t>
            </w:r>
          </w:p>
        </w:tc>
        <w:tc>
          <w:tcPr>
            <w:tcW w:type="dxa" w:w="960"/>
          </w:tcPr>
          <w:p>
            <w:r>
              <w:t>28 (23 / 5)</w:t>
            </w:r>
          </w:p>
        </w:tc>
      </w:tr>
      <w:tr>
        <w:tc>
          <w:tcPr>
            <w:tcW w:type="dxa" w:w="960"/>
          </w:tcPr>
          <w:p>
            <w:r>
              <w:t>C</w:t>
            </w:r>
          </w:p>
        </w:tc>
        <w:tc>
          <w:tcPr>
            <w:tcW w:type="dxa" w:w="960"/>
          </w:tcPr>
          <w:p>
            <w:r>
              <w:t>B, conflicts excluded</w:t>
            </w:r>
          </w:p>
        </w:tc>
        <w:tc>
          <w:tcPr>
            <w:tcW w:type="dxa" w:w="960"/>
          </w:tcPr>
          <w:p>
            <w:r>
              <w:t>556</w:t>
            </w:r>
          </w:p>
        </w:tc>
        <w:tc>
          <w:tcPr>
            <w:tcW w:type="dxa" w:w="960"/>
          </w:tcPr>
          <w:p>
            <w:r>
              <w:t>88</w:t>
            </w:r>
          </w:p>
        </w:tc>
        <w:tc>
          <w:tcPr>
            <w:tcW w:type="dxa" w:w="960"/>
          </w:tcPr>
          <w:p>
            <w:r>
              <w:t>80 negative / 0 positive</w:t>
            </w:r>
          </w:p>
        </w:tc>
        <w:tc>
          <w:tcPr>
            <w:tcW w:type="dxa" w:w="960"/>
          </w:tcPr>
          <w:p>
            <w:r>
              <w:t>0 negative / 30 positive</w:t>
            </w:r>
          </w:p>
        </w:tc>
        <w:tc>
          <w:tcPr>
            <w:tcW w:type="dxa" w:w="960"/>
          </w:tcPr>
          <w:p>
            <w:r>
              <w:t>476/476</w:t>
            </w:r>
          </w:p>
        </w:tc>
        <w:tc>
          <w:tcPr>
            <w:tcW w:type="dxa" w:w="960"/>
          </w:tcPr>
          <w:p>
            <w:r>
              <w:t>0</w:t>
            </w:r>
          </w:p>
        </w:tc>
        <w:tc>
          <w:tcPr>
            <w:tcW w:type="dxa" w:w="960"/>
          </w:tcPr>
          <w:p>
            <w:r>
              <w:t>27 (22 / 5)</w:t>
            </w:r>
          </w:p>
        </w:tc>
      </w:tr>
    </w:tbl>
    <w:p/>
    <w:p>
      <w:pPr>
        <w:spacing w:line="360" w:lineRule="auto" w:after="120"/>
      </w:pPr>
      <w:r>
        <w:t>\* The single Tier-A exception is the amphetamine row (DILIrank "less" vs DILIst negative); under skeleton matching this row also receives a dextroamphetamine mapping of a different class and is excluded by the Tier-C conflict screen (see Methods), even though an exact-key match was available for it.</w:t>
      </w:r>
    </w:p>
    <w:p>
      <w:pPr>
        <w:pStyle w:val="Heading2"/>
      </w:pPr>
      <w:r>
        <w:t>3.5 Same-drug comparison across the full official DILIst dataset</w:t>
      </w:r>
    </w:p>
    <w:p>
      <w:pPr>
        <w:spacing w:line="360" w:lineRule="auto" w:after="120"/>
      </w:pPr>
      <w:r>
        <w:t>Of the 1,279 drugs in the official FDA DILIst dataset, 836 match a DILIrank-1.0 drug at the structure level (Table 5); 443 do not — 352 have a PubChem record but no DILIrank-1.0 counterpart (the literature-augmented pool), and 91 have no PubChem record. The non-ambiguous classes agree with DILIst in 713/714 matched cases at Tier B (707/708 under strict full-InChIKey matching). The single exception is a racemate pair: norgestrel is DILIst-positive while its matched DILIrank-1.0 counterpart levonorgestrel is classified "no" — and DILIst itself labels norgestrel positive and levonorgestrel negative, so the discordance exists within DILIst as well as across sources. The ambiguous class — the part of the correspondence not determined by DILIst's stated construction rule — is labeled negative in 120 of 122 matched cases. The two positive exceptions are norethindrone (full-key match) and zopiclone (InChIKey14-only match to eszopiclone; DILIst itself labels zopiclone positive and eszopiclone negative, a second enantiomer pair). Under strict full-InChIKey matching, 121 ambiguous drugs remain (120 negative / 1 positive). This same-drug evidence is consistent with, and extends, the benchmark-level observation: the DILIst-side treatment of the ambiguous class is overwhelmingly negative (120/122), while the 30 positive ambiguous labels in the benchmark arrive exclusively through the "CP Overlap" channel.</w:t>
      </w:r>
    </w:p>
    <w:p>
      <w:pPr>
        <w:spacing w:line="360" w:lineRule="auto" w:after="120"/>
      </w:pPr>
      <w:r>
        <w:t>The benchmark's DILIst-sourced rows and the official DILIst dataset are not the same object. Two compounds that the benchmark's DILIst-sourced channel labels positive — armodafinil and tretinoin, whose skeleton keys YFGHCGITMMYXAQ and SHGAZHPCJJPHSC appear in the benchmark with `TOXICITY = 1` and `Source_rank = 1` — are absent from the official DILIst dataset (name-level and substring checks). These are precisely the two DILIst-positive rows excluded from Table 2's ambiguous tallies as identity conflicts. We report this benchmark-vs-official discrepancy as a checkable fact without attributing its cause, which could be an upstream snapshot difference, a pre-binarization rule, or a curation choice not documented in the benchmark's public repository.</w:t>
      </w:r>
    </w:p>
    <w:p>
      <w:pPr>
        <w:spacing w:line="360" w:lineRule="auto" w:after="120"/>
      </w:pPr>
      <w:r>
        <w:rPr>
          <w:b/>
        </w:rPr>
        <w:t>Table 5. Same-drug label correspondence between the full official DILIst dataset and DILIrank 1.0 (Tier B; 836 matched of 1,279).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DILIrank-1.0 class</w:t>
            </w:r>
          </w:p>
        </w:tc>
        <w:tc>
          <w:tcPr>
            <w:tcW w:type="dxa" w:w="2160"/>
          </w:tcPr>
          <w:p>
            <w:r>
              <w:rPr>
                <w:b/>
              </w:rPr>
              <w:t>DILIst negative (n)</w:t>
            </w:r>
          </w:p>
        </w:tc>
        <w:tc>
          <w:tcPr>
            <w:tcW w:type="dxa" w:w="2160"/>
          </w:tcPr>
          <w:p>
            <w:r>
              <w:rPr>
                <w:b/>
              </w:rPr>
              <w:t>DILIst positive (n)</w:t>
            </w:r>
          </w:p>
        </w:tc>
        <w:tc>
          <w:tcPr>
            <w:tcW w:type="dxa" w:w="2160"/>
          </w:tcPr>
          <w:p>
            <w:r>
              <w:rPr>
                <w:b/>
              </w:rPr>
              <w:t>Notes</w:t>
            </w:r>
          </w:p>
        </w:tc>
      </w:tr>
      <w:tr>
        <w:tc>
          <w:tcPr>
            <w:tcW w:type="dxa" w:w="2160"/>
          </w:tcPr>
          <w:p>
            <w:r>
              <w:t>most</w:t>
            </w:r>
          </w:p>
        </w:tc>
        <w:tc>
          <w:tcPr>
            <w:tcW w:type="dxa" w:w="2160"/>
          </w:tcPr>
          <w:p>
            <w:r>
              <w:t>0</w:t>
            </w:r>
          </w:p>
        </w:tc>
        <w:tc>
          <w:tcPr>
            <w:tcW w:type="dxa" w:w="2160"/>
          </w:tcPr>
          <w:p>
            <w:r>
              <w:t>183</w:t>
            </w:r>
          </w:p>
        </w:tc>
        <w:tc>
          <w:tcPr>
            <w:tcW w:type="dxa" w:w="2160"/>
          </w:tcPr>
          <w:p>
            <w:r/>
          </w:p>
        </w:tc>
      </w:tr>
      <w:tr>
        <w:tc>
          <w:tcPr>
            <w:tcW w:type="dxa" w:w="2160"/>
          </w:tcPr>
          <w:p>
            <w:r>
              <w:t>less</w:t>
            </w:r>
          </w:p>
        </w:tc>
        <w:tc>
          <w:tcPr>
            <w:tcW w:type="dxa" w:w="2160"/>
          </w:tcPr>
          <w:p>
            <w:r>
              <w:t>0</w:t>
            </w:r>
          </w:p>
        </w:tc>
        <w:tc>
          <w:tcPr>
            <w:tcW w:type="dxa" w:w="2160"/>
          </w:tcPr>
          <w:p>
            <w:r>
              <w:t>267</w:t>
            </w:r>
          </w:p>
        </w:tc>
        <w:tc>
          <w:tcPr>
            <w:tcW w:type="dxa" w:w="2160"/>
          </w:tcPr>
          <w:p>
            <w:r/>
          </w:p>
        </w:tc>
      </w:tr>
      <w:tr>
        <w:tc>
          <w:tcPr>
            <w:tcW w:type="dxa" w:w="2160"/>
          </w:tcPr>
          <w:p>
            <w:r>
              <w:t>no</w:t>
            </w:r>
          </w:p>
        </w:tc>
        <w:tc>
          <w:tcPr>
            <w:tcW w:type="dxa" w:w="2160"/>
          </w:tcPr>
          <w:p>
            <w:r>
              <w:t>263</w:t>
            </w:r>
          </w:p>
        </w:tc>
        <w:tc>
          <w:tcPr>
            <w:tcW w:type="dxa" w:w="2160"/>
          </w:tcPr>
          <w:p>
            <w:r>
              <w:t>1</w:t>
            </w:r>
          </w:p>
        </w:tc>
        <w:tc>
          <w:tcPr>
            <w:tcW w:type="dxa" w:w="2160"/>
          </w:tcPr>
          <w:p>
            <w:r>
              <w:t>exception: norgestrel (racemate of levonorgestrel; DILIst-internal labels: norgestrel 1, levonorgestrel 0)</w:t>
            </w:r>
          </w:p>
        </w:tc>
      </w:tr>
      <w:tr>
        <w:tc>
          <w:tcPr>
            <w:tcW w:type="dxa" w:w="2160"/>
          </w:tcPr>
          <w:p>
            <w:r>
              <w:t>ambiguous</w:t>
            </w:r>
          </w:p>
        </w:tc>
        <w:tc>
          <w:tcPr>
            <w:tcW w:type="dxa" w:w="2160"/>
          </w:tcPr>
          <w:p>
            <w:r>
              <w:t>120</w:t>
            </w:r>
          </w:p>
        </w:tc>
        <w:tc>
          <w:tcPr>
            <w:tcW w:type="dxa" w:w="2160"/>
          </w:tcPr>
          <w:p>
            <w:r>
              <w:t>2</w:t>
            </w:r>
          </w:p>
        </w:tc>
        <w:tc>
          <w:tcPr>
            <w:tcW w:type="dxa" w:w="2160"/>
          </w:tcPr>
          <w:p>
            <w:r>
              <w:t>exceptions: norethindrone (full key); zopiclone (InChIKey14-only; DILIst-internal labels: zopiclone 1, eszopiclone 0)</w:t>
            </w:r>
          </w:p>
        </w:tc>
      </w:tr>
    </w:tbl>
    <w:p/>
    <w:p>
      <w:pPr>
        <w:pStyle w:val="Heading1"/>
      </w:pPr>
      <w:r>
        <w:t>4. Discussion</w:t>
      </w:r>
    </w:p>
    <w:p>
      <w:pPr>
        <w:spacing w:line="360" w:lineRule="auto" w:after="120"/>
      </w:pPr>
      <w:r>
        <w:t xml:space="preserve">Three descriptive findings follow from this audit. First, the 1.0→2.0 update showed a </w:t>
      </w:r>
      <w:r>
        <w:rPr>
          <w:b/>
        </w:rPr>
        <w:t>directionally asymmetric reclassification pattern</w:t>
      </w:r>
      <w:r>
        <w:t xml:space="preserve">, rather than a strictly monotone change across all four labels. Eighteen drugs moved from no to less DILI concern, whereas 31 moved from the ambiguous category to a defined concern category. Because FDA defines Ambiguous-DILI-concern as a category of undetermined causality, these 31 transitions are interpreted as resolution of classification uncertainty, not as ordinal severity upgrades. No drugs moved from a defined concern category to a lower defined concern category. For models that binarize or exclude ambiguous labels, the effect of these revisions on the effective prediction target depends on how the ambiguous category is handled. Second, in the Tier-B primary analysis, cross-source disagreement in the benchmark is </w:t>
      </w:r>
      <w:r>
        <w:rPr>
          <w:b/>
        </w:rPr>
        <w:t>not uniform</w:t>
      </w:r>
      <w:r>
        <w:t xml:space="preserve"> — it is confined to the ambiguous class, and it is directional in the shipped benchmark (DILIst-sourced channel → negative, "CP Overlap" channel → positive); strict Tier-A matching surfaces a single non-ambiguous discordance instead (Table 4). The 476/476 non-ambiguous agreement must be read with its construction caveat: DILIst was built on top of DILIrank with an explicit most/less→positive, no→negative rule [2], so that agreement is a consistency check of the rule. The same-drug comparison across the full official DILIst dataset (§3.5) shows that the construction-consistent core holds at full scale (713/714), that the ambiguous class is labeled negative in 120 of 122 same-drug matched cases with two named exceptions, and that the benchmark's DILIst-sourced rows are an upstream snapshot that is not identical to the official dataset — two benchmark rows (armodafinil, tretinoin) have no counterpart in the official DILIst release. We characterize these distributions empirically and do not interpret them as violations of any documented rule, because the upstream binarization of the "CP Overlap" subset is undocumented; nor do we claim to adjudicate which source is correct. Third, the common shortcut of silently dropping or binary-flattening the ambiguous class does not remove the problem; it relocates it, in a source-dependent direction, into the training labels of the benchmark. The direction of that treatment is a property of the channel, not of the drug.</w:t>
      </w:r>
    </w:p>
    <w:p>
      <w:pPr>
        <w:spacing w:line="360" w:lineRule="auto" w:after="120"/>
      </w:pPr>
      <w:r>
        <w:t>Our findings are complementary to, and deliberately narrower than, i-DILI [4], which harmonizes seven sources into one binary label with a confidence score but drops the ambiguous class and uses only DILIrank 2.0; and StateFlux [5], which used the 300 added drugs as a temporal test for feature representations. We do not claim those works are incomplete; we claim checkable, quantitative facts about label provenance that neither reports: the directionally asymmetric reclassification pattern of the 1.0→2.0 update, the specific path by which compounds classified as ambiguous in DILIrank 1.0 arrive in a published benchmark with binary labels, and the same-drug label correspondence between DILIrank 1.0 and the full official DILIst dataset. All remain descriptive statements about data provenance; they do not require, and we do not offer, a claim that any benchmark's labels are wrong or that any model's performance is misreported.</w:t>
      </w:r>
    </w:p>
    <w:p>
      <w:pPr>
        <w:spacing w:line="360" w:lineRule="auto" w:after="120"/>
      </w:pPr>
      <w:r>
        <w:rPr>
          <w:b/>
        </w:rPr>
        <w:t>Limitations.</w:t>
      </w:r>
      <w:r>
        <w:t xml:space="preserve"> (i) Structure bridging is InChIKey-based; the mapping pass stored no SMILES, so a SMILES-level cross-check was unavailable, and 13 of 28 in-Seal matches are InChIKey14-only (Seal stores `-UHFFFAOYSA-`), so their stereo identity is unverified; the Tier-A column of Table 4 bounds the effect of this choice. (ii) One in-Seal reclassified drug (tretinoin) shares a skeleton InChIKey with another DILIrank drug and cannot be uniquely attributed. (iii) Only 559 of the 990 DILIst-sourced rows and 89 of the 121 "CP Overlap"-sourced rows could be matched to a DILIrank-1.0 class, so the benchmark agreement matrix covers the matched subset; the 431 and 32 outside rows are outside the audit by construction. In the full-DILIst comparison, 443 of 1,279 DILIst drugs fall outside DILIrank 1.0 (352 with structure, 91 without a PubChem record) and carry no comparable class. (iv) The held-out reclassified sample is n = 5 (n = 2 under strict matching), so the model-behaviour portion is exploratory only and is reported in the Supplementary Information; the 23 training-set reclassified drugs lack out-of-fold predictions and were not used. (v) We did not verify that DILIrank-1.0 labels themselves are "correct" against primary literature; we characterize </w:t>
      </w:r>
      <w:r>
        <w:rPr>
          <w:i/>
        </w:rPr>
        <w:t>agreement between sources and versions</w:t>
      </w:r>
      <w:r>
        <w:t xml:space="preserve">, not ground truth. (vi) The upstream selection and binarization rule of the "CP Overlap" subset is not documented in the benchmark's public repository; its label policy is characterized here empirically (30/30 matched ambiguous compounds positive) rather than from a stated rule. (vii) The non-ambiguous same-drug agreement is reported as construction-consistent because DILIst was built on top of DILIrank; </w:t>
      </w:r>
      <w:r>
        <w:rPr>
          <w:b/>
        </w:rPr>
        <w:t>independence of the two sources is not demonstrated</w:t>
      </w:r>
      <w:r>
        <w:t xml:space="preserve"> anywhere in this audit, and the cause of the benchmark-vs-official discrepancies (armodafinil, tretinoin) is not attributed. (viii) Two of the same-drug exceptions (norgestrel/levonorgestrel; zopiclone/eszopiclone) involve racemate/enantiomer pairs whose identity resolution depends on the PubChem records used; the DILIst-internal label opposition within each pair is verifiable directly from the official workbook.</w:t>
      </w:r>
    </w:p>
    <w:p>
      <w:pPr>
        <w:spacing w:line="360" w:lineRule="auto" w:after="120"/>
      </w:pPr>
      <w:r>
        <w:rPr>
          <w:b/>
        </w:rPr>
        <w:t>Benchmark-hygiene recommendation.</w:t>
      </w:r>
      <w:r>
        <w:t xml:space="preserve"> When compiling or reusing a DILI benchmark: keep the ambiguous class as a third state (or an explicit exclusion flag with a recorded direction), report per-drug label provenance, re-check version alignment before reporting model performance, and audit the shipped labels against the benchmark's stated label policy, recording any undocumented upstream binarization steps (here: the "CP Overlap" subset, whose rule is not documented in the repository) and any divergence between the shipped snapshot and the official source dataset it names (here: armodafinil and tretinoin). These are inexpensive steps that prevent label instability from being mistaken for model error.</w:t>
      </w:r>
    </w:p>
    <w:p>
      <w:pPr>
        <w:pStyle w:val="Heading1"/>
      </w:pPr>
      <w:r>
        <w:t>Data availability</w:t>
      </w:r>
    </w:p>
    <w:p>
      <w:pPr>
        <w:spacing w:line="360" w:lineRule="auto" w:after="120"/>
      </w:pPr>
      <w:r>
        <w:t>The full per-drug match table (Tier B; all matched drugs with class, channel, toxicity, match tier, and conflict flag), the 49-row reclassification table, the sensitivity summary, the full-DILIst per-drug match table and agreement matrices, the PubChem lookup records for the 455 additional DILIst names (including salt-stripped variants and no-hit names), and an input manifest (paths, sizes, sha256, sources) are generated by `repro/generate_analysis.py` and `repro/full_dilist_comparison.py` (Python 3.10, pandas) from the raw inputs listed in the manifest, and are provided in `repro_outputs/`. The previously produced per-drug alignment table for the 49 reclassified drugs remains at `d2_pilot/D2_label_stability_alignment.csv`. A versioned public repository is available at https://github.com/mengyufanqiu-maker/-dili-label-provenance-audit. DILIrank versions and the DILIst dataset are the official FDA workbooks (FDA DILIrank 2.0 and DILIst dataset pages); the Seal et al. gold standard and split files are from the authors' public repository [6]; the held-out probability vector and the 0.6386 Youden threshold come from our earlier reproduction of the Seal et al. pipeline, verified against the authors' published predictions. Table S1 is in the Supplementary Information.</w:t>
      </w:r>
    </w:p>
    <w:p>
      <w:pPr>
        <w:pStyle w:val="Heading1"/>
      </w:pPr>
      <w:r>
        <w:t>References</w:t>
      </w:r>
    </w:p>
    <w:p>
      <w:pPr>
        <w:spacing w:line="360" w:lineRule="auto" w:after="120"/>
      </w:pPr>
      <w:r>
        <w:t xml:space="preserve">1. Chen M, et al. DILIrank: the largest reference drug list ranked by the risk for developing drug-induced liver injury in humans. </w:t>
      </w:r>
      <w:r>
        <w:rPr>
          <w:i/>
        </w:rPr>
        <w:t>Drug Discov Today</w:t>
      </w:r>
      <w:r>
        <w:t xml:space="preserve"> 2016;21:648–653. doi:10.1016/j.drudis.2016.02.015. PMID 26948801.</w:t>
      </w:r>
    </w:p>
    <w:p>
      <w:pPr>
        <w:spacing w:line="360" w:lineRule="auto" w:after="120"/>
      </w:pPr>
      <w:r>
        <w:t xml:space="preserve">2. Thakkar S, et al. Drug-induced liver injury severity and toxicity (DILIst): binary classification of 1279 drugs by human hepatotoxicity. </w:t>
      </w:r>
      <w:r>
        <w:rPr>
          <w:i/>
        </w:rPr>
        <w:t>Drug Discov Today</w:t>
      </w:r>
      <w:r>
        <w:t xml:space="preserve"> 2020;25(1):201–208. doi:10.1016/j.drudis.2019.09.022. PMID 31669330.</w:t>
      </w:r>
    </w:p>
    <w:p>
      <w:pPr>
        <w:spacing w:line="360" w:lineRule="auto" w:after="120"/>
      </w:pPr>
      <w:r>
        <w:t xml:space="preserve">3. Olubamiwa O, et al. DILIrank 2.0: an updated and expanded database for drug-induced liver injury risk based on FDA labeling and a literature review. </w:t>
      </w:r>
      <w:r>
        <w:rPr>
          <w:i/>
        </w:rPr>
        <w:t>Drug Discov Today</w:t>
      </w:r>
      <w:r>
        <w:t xml:space="preserve"> 2025;30(11):104485. doi:10.1016/j.drudis.2025.104485. PMID 41005561.</w:t>
      </w:r>
    </w:p>
    <w:p>
      <w:pPr>
        <w:spacing w:line="360" w:lineRule="auto" w:after="120"/>
      </w:pPr>
      <w:r>
        <w:t xml:space="preserve">4. Shende S, Tembhurne J. i-DILI: a multi-source database for drug-induced liver injury labeling and benchmarking. </w:t>
      </w:r>
      <w:r>
        <w:rPr>
          <w:i/>
        </w:rPr>
        <w:t>Preprints.org</w:t>
      </w:r>
      <w:r>
        <w:t xml:space="preserve"> 2026. doi:10.20944/preprints202609.0517.v1.</w:t>
      </w:r>
    </w:p>
    <w:p>
      <w:pPr>
        <w:spacing w:line="360" w:lineRule="auto" w:after="120"/>
      </w:pPr>
      <w:r>
        <w:t xml:space="preserve">5. Tsai A. StateFlux: physically validated quantum metabolic state networks reveal limited incremental value for toxicity prediction. </w:t>
      </w:r>
      <w:r>
        <w:rPr>
          <w:i/>
        </w:rPr>
        <w:t>ChemRxiv</w:t>
      </w:r>
      <w:r>
        <w:t xml:space="preserve"> 2026 (preprint, not peer-reviewed). doi:10.26434/chemrxiv.15009356.</w:t>
      </w:r>
    </w:p>
    <w:p>
      <w:pPr>
        <w:spacing w:line="360" w:lineRule="auto" w:after="120"/>
      </w:pPr>
      <w:r>
        <w:t xml:space="preserve">6. Seal S, et al. Improved detection of drug-induced liver injury by integrating predicted in vivo and in vitro data. </w:t>
      </w:r>
      <w:r>
        <w:rPr>
          <w:i/>
        </w:rPr>
        <w:t>Chem Res Toxicol</w:t>
      </w:r>
      <w:r>
        <w:t xml:space="preserve"> 2024;37(8):1290–1305. doi:10.1021/acs.chemrestox.4c00015. PMID 38981058.</w:t>
      </w:r>
    </w:p>
    <w:p>
      <w:pPr>
        <w:spacing w:line="360" w:lineRule="auto" w:after="120"/>
      </w:pPr>
      <w:r>
        <w:t xml:space="preserve">7. Liu A, et al. Machine-learning prediction of oral drug-induced liver injury (DILI) via multiple features and endpoints. </w:t>
      </w:r>
      <w:r>
        <w:rPr>
          <w:i/>
        </w:rPr>
        <w:t>BioMed Res Int</w:t>
      </w:r>
      <w:r>
        <w:t xml:space="preserve"> 2020;2020:4795140. doi:10.1155/2020/4795140. PMID 32509859.</w:t>
      </w:r>
    </w:p>
    <w:p>
      <w:pPr>
        <w:spacing w:line="360" w:lineRule="auto" w:after="120"/>
      </w:pPr>
      <w:r>
        <w:t xml:space="preserve">8. Hoofnagle JH, Serrano J, Knoben JE, Navarro VJ. LiverTox: a website on drug-induced liver injury. </w:t>
      </w:r>
      <w:r>
        <w:rPr>
          <w:i/>
        </w:rPr>
        <w:t>Hepatology</w:t>
      </w:r>
      <w:r>
        <w:t xml:space="preserve"> 2013;57(3):873–874. doi:10.1002/hep.26175. PMID 23456678.</w:t>
      </w:r>
    </w:p>
    <w:p>
      <w:pPr>
        <w:spacing w:line="360" w:lineRule="auto" w:after="120"/>
      </w:pPr>
      <w:r>
        <w:t xml:space="preserve">9. Evangelista D, et al. Machine learning-based models to predict drug-induced liver injury (DILI) to assist medicinal chemistry. </w:t>
      </w:r>
      <w:r>
        <w:rPr>
          <w:i/>
        </w:rPr>
        <w:t>J Med Chem</w:t>
      </w:r>
      <w:r>
        <w:t xml:space="preserve"> 2026;69(13):14992–15008. doi:10.1021/acs.jmedchem.5c02888.</w:t>
      </w:r>
    </w:p>
    <w:p>
      <w:pPr>
        <w:spacing w:line="276" w:lineRule="auto"/>
      </w:pPr>
      <w:r>
        <w:rPr>
          <w:i/>
        </w:rPr>
        <w:t>Remaining before submission: confirm author lists for refs 1–3, 6, and 9 against PubMed and format per the target journal's style; renumber citations per the target journal's style; replace markdown tables with journal table format. Figures 1–2 (reclassification directions; cross-source filtering) are provided as `figures/fig1_reclassification_directions.png` and `figures/fig2_cross_source_filtering.png`; a figure for Table 5 can be added at formatting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