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We further matched the full official FDA DILIst dataset (1,279 drugs) against DILIrank 1.0 for a same-drug comparison. No new predictive model was developed. Previously reproduced held-out predictions and cross-validation-derived scores for the 23 reclassified training-set compounds were analyzed descriptively; the original pipeline's model-selection convention was retained and disclosed, and these scores are not presented as leakage-free nested cross-validation estimates (Supplementary Information, Tables S1–S2).</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In the benchmark, among 559 DILIst-sourced compounds with a DILIrank-1.0 class, the non-ambiguous classes agree with DILIst (476/476) — an agreement that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benchmark, 80 DILIrank-1.0-ambiguous drugs carry a negative label in the DILIst-sourced channel and 30 a positive label in the pre-binarized, DILIrank-derived "CP Overlap" channel; the same directional split holds under strict full-InChIKey matching (44 negative / 17 positive). In the full official DILIst dataset, 836 drugs match DILIrank 1.0 at the structure level: the non-ambiguous classes agree in 707/708 cases under strict full-InChIKey matching and 713/714 in the main analysis; the single non-agreeing case in both tiers is the norgestrel row, which reflects a DILIst-internal label split between a racemate and its enantiomer (norgestrel positive vs levonorgestrel negative — DILIrank and DILIst agree on levonorgestrel itself) rather than a same-structure cross-source conflict; excluding this identified entity-normalization anomaly, the same-entity agreement is 707/707 and 713/713. The matched ambiguous drugs carry 120 negative and 2 positive DILIst labels (norethindrone; zopiclone — skeleton-level only, not claimed as confirmed same-drug), 121 and 1 positive under strict matching; the two tiers are reported separately rather than merged. Two compounds (armodafinil, tretinoin) appear as positive DILIst-sourced rows in the benchmark but are absent from the official DILIst dataset, a source-provenance discrepancy whose cause is not attributed. Of the 49 reclassified drugs, 28 fall inside the Seal gold standard (23 train / 5 held-out); the 5 held-out drugs all carry a "less" label in version 2.0,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three senses: all 49 reclassifications ended in a defined concern category (18 escalations and no downgrades among defined-class transitions); in a widely used shipped benchmark the ambiguous class carries binary labels that differ in direction between two disjoint source channels; and in the full official DILIst dataset the ambiguous class is labeled negative for 120 of 122 same-drug matched cases, with two named exceptions (one under strict matching). The benchmark's DILIst-sourced rows and the official DILIst dataset are not the same object, and two benchmark rows have no counterpart in the official dataset (a source-provenance discrepancy). These are descriptive properties of the shipped data, not claims about label correctness.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when multiple sources are merged into one training set, the same drug can carry contradictory labels depending on which source is treated as authoritative. A recent multi-source database, i-DILI, reports Cohen's kappa = 0.888 over 480 drugs shared between its DILIrank-derived and DILIst-derived labels, under a most/less→positive, no→negative binarization with the ambiguous class excluded,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(iii) how the same drugs are labeled in the full official DILIst dataset, as a same-drug comparison rather than a channel-level comparison; and (iv) what the reclassified compounds that survive into that benchmark's held-out set look like under the reproduced model. Prior work has examined how the choice of features, endpoints, and negative-sample definitions affects reported DILI model performance [7], and i-DILI's binarized overlap comparison drops the ambiguous class [4]; to our knowledge, the direction of the 1.0→2.0 reclassification (preserving the four-category semantics) and the source-dependent binary labeling of the ambiguous class have not been quantified. Our contribution is limited to checkable, quantitative facts about label provenance — the directionally asymmetric reclassification pattern of the 1.0→2.0 update, the specific path by which compounds classified as ambiguous in DILIrank 1.0 arrive in a published benchmark with binary labels, and the same-drug label correspondence between DILIrank 1.0 and the full DILIst dataset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drugs matched between DILIst and DILIrank, agreement on non-ambiguous classes is therefore expected by construction. We report that agreement as a consistency check of the stated rule, not as independent corroboration; independence of DILIst labels is not claimed and is addressed further in Limitations.</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Full-DILIst same-drug comparison.</w:t>
      </w:r>
      <w:r>
        <w:t xml:space="preserve"> The official FDA DILIst workbook (1,279 drugs; 768 positive / 511 negative) was downloaded from the FDA DILIst dataset page and matched to DILIrank 1.0 by structure. Names already covered by our PubChem pass were reused; the remaining 455 names were resolved via PubChem PUG REST (name → CID with salt-suffix-stripped fallbacks; 364 resolved, 91 unresolved by this procedure). Matching used the same full-InChIKey-priority rule as the benchmark analysis; because both sides resolve through PubChem canonical keys, the identity-conflict screen of the benchmark analysis does not arise here. Results are reported separately from the benchmark subset: the benchmark's DILIst-sourced rows are an upstream snapshot and are not the same object as the full official DILIst dataset.</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No new predictive model was developed. Previously reproduced held-out predictions (the 223-compound probability vector of the Seal et al. FeatureNet model, verified against the authors' published predictions to floating-point precision in earlier work; see Data availability) and cross-validation-derived scores for the 23 reclassified training-set compounds were analyzed descriptively. The scores use the original pipeline's own cross-validation convention — the 4-fold cross_val_predict of the selected final model that the authors themselves use for threshold selection; model selection used all 888 training labels, as in the original pipeline, and this convention is disclosed, not presented as leakage-free nested cross-validation estimates (Table S2). The Youden threshold (0.6386) is the published value reported by Seal et al. [6]; it was not refitted on the held-out set for this work.</w:t>
      </w:r>
    </w:p>
    <w:p>
      <w:pPr>
        <w:spacing w:line="360" w:lineRule="auto" w:after="120"/>
      </w:pPr>
      <w:r>
        <w:rPr>
          <w:b/>
        </w:rPr>
        <w:t>Generative AI use.</w:t>
      </w:r>
      <w:r>
        <w:t xml:space="preserve"> Generative AI (Claude, Anthropic) was used during the preparation of this work: to assist research positioning and literature review, to draft and revise manuscript text across multiple versions, for language editing, and to generate and debug the reproduction and analysis scripts (`repro/generate_analysis.py`, `repro/full_dilist_comparison.py`, `repro/make_figures.py`, and the document converter). The audit design and its analytical decisions were developed through iterative expert reviews of successive drafts, with every finding verified by the authors against local data and public sources before inclusion. All data, all numerical results, and all analyses were produced by the authors' own scripts; the authors reviewed every claim in the final text and take full responsibility for the content.</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 (Figure 1).</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 §3.5 reports the same-drug comparison across the full official DILIst dataset. Figure 2 summarizes the filtering steps.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 For the 23 training-set reclassified drugs, out-of-fold predictions computed with the published pipeline's own cross-validation convention — the 4-fold cross_val_predict of the selected final model that the authors themselves use for threshold selection (model selection used all 888 training labels, as in the original pipeline; this convention is disclosed rather than presented as leakage-free) — are 10 positive and 13 negative at the published threshold (Table S2, Supplementary Information). They are reported separately from the held-out predictions and are descriptive only.</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2"/>
      </w:pPr>
      <w:r>
        <w:t>3.5 Same-drug comparison across the full official DILIst dataset</w:t>
      </w:r>
    </w:p>
    <w:p>
      <w:pPr>
        <w:spacing w:line="360" w:lineRule="auto" w:after="120"/>
      </w:pPr>
      <w:r>
        <w:t>Of the 1,279 drugs in the official FDA DILIst dataset, 836 match a DILIrank-1.0 drug at the structure level (Table 5); 443 do not — 352 have a PubChem record but no DILIrank-1.0 counterpart (the literature-augmented pool), and 91 remained unresolved by the specified PubChem lookup procedure (name → CID with salt-suffix-stripped fallback). The non-ambiguous classes agree with DILIst in 707/708 matched cases under strict full-InChIKey matching (Tier A) and in 713/714 in the main analysis (Tier B); the difference between the tiers is carried entirely by the seven InChIKey14-only rows, six of which are class-consistent. The single non-agreeing case is identical in both tiers and is an entity-normalization case rather than a same-structure cross-source conflict: PubChem resolves the DILIst name "norgestrel" to the levonorgestrel compound record, so the row is a full-key match to levonorgestrel (DILIrank class "no"); DILIst labels its norgestrel entry positive and its levonorgestrel entry negative — a DILIst-internal split between a racemate and its enantiomer — while DILIst and DILIrank agree on levonorgestrel itself (negative vs "no"). No other non-ambiguous non-agreement exists at either tier. Excluding this single identified entity-normalization anomaly, the same-entity defined-class agreement is 707/707 (Tier A) and 713/713 (Tier B); we report both the raw counts and this exclusion-adjusted statistic so the anomaly remains visible as an entity-resolution finding rather than being presented as a label error.</w:t>
      </w:r>
    </w:p>
    <w:p>
      <w:pPr>
        <w:spacing w:line="360" w:lineRule="auto" w:after="120"/>
      </w:pPr>
      <w:r>
        <w:t>The ambiguous class — the part of the correspondence not determined by DILIst's stated construction rule — is labeled negative in 120 of 122 matched cases in the main analysis, and in 120 of 121 under strict matching. The positive exceptions are tier-specific: norethindrone (full-key match; the synonym norethisterone, a genuine same-drug ambiguous-positive) at both tiers, and zopiclone (InChIKey14-only match to eszopiclone — skeleton-level evidence for the sensitivity analysis that is not claimed as confirmed same-drug; DILIst itself labels zopiclone positive and eszopiclone negative, a second racemate/enantiomer pair) at Tier B only. This same-drug evidence is consistent with, and extends, the benchmark-level observation: the DILIst-side treatment of the ambiguous class is overwhelmingly negative (120/122), while the 30 positive ambiguous labels in the benchmark arrive exclusively through the "CP Overlap" channel.</w:t>
      </w:r>
    </w:p>
    <w:p>
      <w:pPr>
        <w:spacing w:line="360" w:lineRule="auto" w:after="120"/>
      </w:pPr>
      <w:r>
        <w:t>The benchmark's DILIst-sourced rows and the official DILIst dataset are not the same object. Two compounds that the benchmark's DILIst-sourced channel labels positive — armodafinil and tretinoin, whose skeleton keys YFGHCGITMMYXAQ and SHGAZHPCJJPHSC appear in the benchmark with `TOXICITY = 1`, `Source_rank = 1`, Source "DILIst Classification Oral", and stereo-less full InChIKeys (`-UHFFFAOYSA-N`) — are absent from the official DILIst dataset (name-level and substring checks). These are precisely the two DILIst-positive rows excluded from Table 2's ambiguous tallies as identity conflicts. We report this benchmark source-provenance discrepancy as a checkable fact without attributing its cause, which could be an upstream snapshot difference, a pre-binarization rule, an identity-normalization artifact, or a curation choice not documented in the benchmark's public repository.</w:t>
      </w:r>
    </w:p>
    <w:p>
      <w:pPr>
        <w:spacing w:line="360" w:lineRule="auto" w:after="120"/>
      </w:pPr>
      <w:r>
        <w:rPr>
          <w:b/>
        </w:rPr>
        <w:t>Table 5. Same-drug label correspondence between the full official DILIst dataset and DILIrank 1.0 (Tier B; 836 matched of 1,279).</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DILIrank-1.0 class</w:t>
            </w:r>
          </w:p>
        </w:tc>
        <w:tc>
          <w:tcPr>
            <w:tcW w:type="dxa" w:w="2160"/>
          </w:tcPr>
          <w:p>
            <w:r>
              <w:rPr>
                <w:b/>
              </w:rPr>
              <w:t>DILIst negative (n)</w:t>
            </w:r>
          </w:p>
        </w:tc>
        <w:tc>
          <w:tcPr>
            <w:tcW w:type="dxa" w:w="2160"/>
          </w:tcPr>
          <w:p>
            <w:r>
              <w:rPr>
                <w:b/>
              </w:rPr>
              <w:t>DILIst positive (n)</w:t>
            </w:r>
          </w:p>
        </w:tc>
        <w:tc>
          <w:tcPr>
            <w:tcW w:type="dxa" w:w="2160"/>
          </w:tcPr>
          <w:p>
            <w:r>
              <w:rPr>
                <w:b/>
              </w:rPr>
              <w:t>Notes</w:t>
            </w:r>
          </w:p>
        </w:tc>
      </w:tr>
      <w:tr>
        <w:tc>
          <w:tcPr>
            <w:tcW w:type="dxa" w:w="2160"/>
          </w:tcPr>
          <w:p>
            <w:r>
              <w:t>most</w:t>
            </w:r>
          </w:p>
        </w:tc>
        <w:tc>
          <w:tcPr>
            <w:tcW w:type="dxa" w:w="2160"/>
          </w:tcPr>
          <w:p>
            <w:r>
              <w:t>0</w:t>
            </w:r>
          </w:p>
        </w:tc>
        <w:tc>
          <w:tcPr>
            <w:tcW w:type="dxa" w:w="2160"/>
          </w:tcPr>
          <w:p>
            <w:r>
              <w:t>183</w:t>
            </w:r>
          </w:p>
        </w:tc>
        <w:tc>
          <w:tcPr>
            <w:tcW w:type="dxa" w:w="2160"/>
          </w:tcPr>
          <w:p>
            <w:r/>
          </w:p>
        </w:tc>
      </w:tr>
      <w:tr>
        <w:tc>
          <w:tcPr>
            <w:tcW w:type="dxa" w:w="2160"/>
          </w:tcPr>
          <w:p>
            <w:r>
              <w:t>less</w:t>
            </w:r>
          </w:p>
        </w:tc>
        <w:tc>
          <w:tcPr>
            <w:tcW w:type="dxa" w:w="2160"/>
          </w:tcPr>
          <w:p>
            <w:r>
              <w:t>0</w:t>
            </w:r>
          </w:p>
        </w:tc>
        <w:tc>
          <w:tcPr>
            <w:tcW w:type="dxa" w:w="2160"/>
          </w:tcPr>
          <w:p>
            <w:r>
              <w:t>267</w:t>
            </w:r>
          </w:p>
        </w:tc>
        <w:tc>
          <w:tcPr>
            <w:tcW w:type="dxa" w:w="2160"/>
          </w:tcPr>
          <w:p>
            <w:r/>
          </w:p>
        </w:tc>
      </w:tr>
      <w:tr>
        <w:tc>
          <w:tcPr>
            <w:tcW w:type="dxa" w:w="2160"/>
          </w:tcPr>
          <w:p>
            <w:r>
              <w:t>no</w:t>
            </w:r>
          </w:p>
        </w:tc>
        <w:tc>
          <w:tcPr>
            <w:tcW w:type="dxa" w:w="2160"/>
          </w:tcPr>
          <w:p>
            <w:r>
              <w:t>263</w:t>
            </w:r>
          </w:p>
        </w:tc>
        <w:tc>
          <w:tcPr>
            <w:tcW w:type="dxa" w:w="2160"/>
          </w:tcPr>
          <w:p>
            <w:r>
              <w:t>1</w:t>
            </w:r>
          </w:p>
        </w:tc>
        <w:tc>
          <w:tcPr>
            <w:tcW w:type="dxa" w:w="2160"/>
          </w:tcPr>
          <w:p>
            <w:r>
              <w:t>norgestrel row: entity-normalization case — PubChem resolves "norgestrel" to levonorgestrel (full-key match); DILIst-internal labels: norgestrel 1 vs levonorgestrel 0; DILIst and DILIrank agree on levonorgestrel (0 vs "no")</w:t>
            </w:r>
          </w:p>
        </w:tc>
      </w:tr>
      <w:tr>
        <w:tc>
          <w:tcPr>
            <w:tcW w:type="dxa" w:w="2160"/>
          </w:tcPr>
          <w:p>
            <w:r>
              <w:t>ambiguous</w:t>
            </w:r>
          </w:p>
        </w:tc>
        <w:tc>
          <w:tcPr>
            <w:tcW w:type="dxa" w:w="2160"/>
          </w:tcPr>
          <w:p>
            <w:r>
              <w:t>120</w:t>
            </w:r>
          </w:p>
        </w:tc>
        <w:tc>
          <w:tcPr>
            <w:tcW w:type="dxa" w:w="2160"/>
          </w:tcPr>
          <w:p>
            <w:r>
              <w:t>2</w:t>
            </w:r>
          </w:p>
        </w:tc>
        <w:tc>
          <w:tcPr>
            <w:tcW w:type="dxa" w:w="2160"/>
          </w:tcPr>
          <w:p>
            <w:r>
              <w:t>norethindrone (full key; synonym norethisterone) at both tiers; zopiclone (InChIKey14-only, skeleton-level only — not claimed as confirmed same-drug; DILIst-internal zopiclone 1 vs eszopiclone 0) at Tier B only</w:t>
            </w:r>
          </w:p>
        </w:tc>
      </w:tr>
    </w:tbl>
    <w:p/>
    <w:p>
      <w:pPr>
        <w:spacing w:line="360" w:lineRule="auto" w:after="120"/>
      </w:pPr>
      <w:r>
        <w:rPr>
          <w:i/>
        </w:rPr>
        <w:t>Same-entity defined-class agreement excluding the identified entity-normalization anomaly (the norgestrel row): 707/707 (Tier A) and 713/713 (Tier B).</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in the benchmark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The same-drug comparison across the full official DILIst dataset (§3.5) shows that the construction-consistent core holds at full scale (707/708 strict; 713/714 main; 707/707 and 713/713 excluding the single identified entity-normalization anomaly), that the non-ambiguous non-agreeing case is a DILIst-internal racemate/enantiomer label split rather than a same-structure cross-source conflict, that the ambiguous class is labeled negative in 120 of 122 same-drug matched cases with two named, tier-specific exceptions, and that the benchmark's DILIst-sourced rows are not identical to the official dataset — two benchmark rows (armodafinil, tretinoin) have no counterpart in the official DILIst release, a source-provenance discrepancy. We characterize these distributions empirically and do not interpret them as violations of any documented rule, because the upstream binarization of the "CP Overlap" subset is undocumented; nor do we claim to adjudicate which source is correct.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reports kappa = 0.888 over 480 shared drugs under a most/less→positive, no→negative binarization that drops the ambiguous class, and uses only DILIrank 2.0; and StateFlux [5], which used the 300 added drugs as a temporal test for feature representations. Our 836 matched drugs and i-DILI's 480 shared drugs are not directly comparable counts: i-DILI derives labels from DILIrank 2.0 with an ambiguous-excluding binarization, whereas we matched the full official DILIst workbook against DILIrank 1.0 by structure while preserving the four classes (Table S3). The difference reflects design choices, not a contradiction, and we do not present it as evidence of novelty. A same-journal study systematically evaluated how generic curation steps, stereochemical handling, and label-conflict policies across 12 toxicity and ADME endpoints alter modeling data and model performance [10]. Its object is the curation pipeline for QSAR modeling across endpoints; ours is the version drift and source-dependent labeling of one DILI-specific reference-label system, without any model-performance claims. We therefore do not claim that label provenance matters or that stereochemical matching can change results as novel points — those are established [10]; our contribution is the specific, checkable accounting for the DILI reference labels. We do not claim i-DILI, StateFlux, or [10] are incomplete; we claim checkable, quantitative facts about label provenance that neither reports: the directionally asymmetric reclassification pattern of the 1.0→2.0 update, the specific path by which compounds classified as ambiguous in DILIrank 1.0 arrive in a published benchmark with binary labels, and the same-drug label correspondence between DILIrank 1.0 and the full official DILIst dataset. All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benchmark agreement matrix covers the matched subset; the 431 and 32 outside rows are outside the audit by construction. In the full-DILIst comparison, 443 of 1,279 DILIst drugs fall outside DILIrank 1.0 (352 with structure, 91 without a PubChem record) and carry no comparable class. (iv) The prediction-level evidence is descriptive only: 5 held-out reclassified drugs (2 under strict matching; Table S1) and 23 training-set reclassified drugs with out-of-fold predictions computed under the published pipeline's cross-validation convention, in which model selection used all training labels (disclosed rather than leakage-free; Table S2). The two groups are reported separately, are not pooled, and support no inferential claims.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The non-ambiguous same-drug agreement is reported as construction-consistent because DILIst was built on top of DILIrank; </w:t>
      </w:r>
      <w:r>
        <w:rPr>
          <w:b/>
        </w:rPr>
        <w:t>independence of the two sources is not demonstrated</w:t>
      </w:r>
      <w:r>
        <w:t xml:space="preserve"> anywhere in this audit, and the cause of the benchmark-vs-official discrepancies (armodafinil, tretinoin) is not attributed. (viii) The non-ambiguous non-agreeing case (norgestrel/levonorgestrel) and one ambiguous-positive case (zopiclone/eszopiclone) involve racemate/enantiomer pairs whose identity resolution depends on the PubChem records used; the DILIst-internal label opposition within each pair is verifiable directly from the official workbook, neither is presented as a same-structure cross-source conflict, and the zopiclone match is skeleton-level only and not claimed as confirmed same-drug evidence.</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and any divergence between the shipped snapshot and the official source dataset it names (here: armodafinil and tretinoin). These are inexpensive steps that prevent label instability from being mistaken for model error.</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the full-DILIst per-drug match table and agreement matrices, the PubChem lookup records for the 455 additional DILIst names (including salt-stripped variants and no-hit names), and an input manifest (paths, sizes, sha256, sources) are generated by `repro/generate_analysis.py` and `repro/full_dilist_comparison.py` (Python 3.10, pandas) from the raw inputs listed in the manifest, and are provided in `repro_outputs/`. The per-drug alignment table for the 49 reclassified drugs is provided as `data/D2_label_stability_alignment.csv` in the repository. A versioned public repository is available at https://github.com/mengyufanqiu-maker/-dili-label-provenance-audit. DILIrank versions and the DILIst dataset are the official FDA workbooks (FDA DILIrank 2.0 and DILIst dataset pages); the Seal et al. gold standard and split files are from the authors' public repository [6]; the held-out probability vector and the 0.6386 Youden threshold come from our earlier reproduction of the Seal et al. pipeline, verified against the authors' published predictions. Tables S1–S3 are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(preprint, not peer-reviewed).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360" w:lineRule="auto" w:after="120"/>
      </w:pPr>
      <w:r>
        <w:t xml:space="preserve">10. Standardized toxicity data curation pipeline: a systematic evaluation of data quality control on QSAR model reproducibility and reliability. </w:t>
      </w:r>
      <w:r>
        <w:rPr>
          <w:i/>
        </w:rPr>
        <w:t>Comput Toxicol</w:t>
      </w:r>
      <w:r>
        <w:t xml:space="preserve"> 2026;39:100444. doi:10.1016/j.comtox.2026.100444.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