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276" w:lineRule="auto"/>
      </w:pPr>
      <w:r>
        <w:rPr>
          <w:i/>
        </w:rPr>
        <w:t>Draft v0.9 — research note / data note. Revision v0.8→v0.9: added the same-entity agreement statistic excluding identified entity-normalization anomalies (707/707 Tier A; 713/713 Tier B), reported alongside the raw counts; the zopiclone match is explicitly marked as skeleton-level evidence that is not claimed as confirmed same-drug; the armodafinil/tretinoin wording is unchanged (causes remain open hypotheses). Revision v0.7→v0.8: added out-of-fold predictions for the 23 training-set reclassified drugs (Table S2, Supplementary Information), computed with the published pipeline's own cross-validation convention (the 4-fold cross_val_predict of the selected final model that the authors themselves use for threshold selection; model selection used all 888 training labels as in the original pipeline, and this is disclosed rather than presented as leakage-free), reported separately from the held-out predictions and used descriptively only. Not yet submission-ready. All numeric claims below are reproduced from local data by the scripts in `repro/` (see Data availability). No new model was trained and no label was modified. Revision v0.6→v0.7: the full-DILIst exceptions are now reported per matching tier with named drugs (Tier A: norgestrel among defined classes, norethindrone among ambiguous; Tier B adds zopiclone); the norgestrel case is reframed as a DILIst-internal racemate/enantiomer label split (an entity-normalization case study) rather than a same-structure cross-source conflict — DILIrank and DILIst agree on levonorgestrel itself; the armodafinil/tretinoin finding is renamed a benchmark source-provenance discrepancy, with the benchmark rows' stereo-less InChIKeys documented and no cause attributed.</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model was retrained; the only prediction-level evidence is the previously reproduced 223-compound held-out probability vector of the Seal et al. model.</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excluding this identified entity-normalization anomaly, the same-entity agreement is 707/707 and 713/713. The matched ambiguous drugs carry 120 negative and 2 positive DILIst labels (norethindrone; zopiclone — skeleton-level only, not claimed as confirmed same-drug), 121 and 1 positive under strict matching; the two tiers are reported separately rather than merged.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xml:space="preserve">: when multiple sources are merged into one training set, the same drug can carry contradictory labels depending on which source is treated as authoritative. A recent multi-source database, i-DILI, quantified pairwise agreement with Cohen's kappa and introduced a confidence score, but explicitly </w:t>
      </w:r>
      <w:r>
        <w:rPr>
          <w:b/>
        </w:rPr>
        <w:t>drops</w:t>
      </w:r>
      <w:r>
        <w:t xml:space="preserve"> DILIrank's ambiguous class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to our knowledge, neither the direction of version drift nor the source-dependent binary labeling of DILIrank's ambiguous class has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without a PubChem record).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Only the already-reproduced 223-compound held-out probability vector of the Seal et al. FeatureNet model was used (verified against the authors' published predictions to floating-point precision in earlier work; see Data availability). The Youden threshold (0.6386) is the published value reported by Seal et al. [6]; it was not refitted on the held-out set for this work. No model was trained or re-run, and no training-set prediction was used to characterize generalization.</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have no PubChem record.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but drops the ambiguous class and uses only DILIrank 2.0; and StateFlux [5], which used the 300 added drugs as a temporal test for feature representations. We do not claim those works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held-out reclassified sample is n = 5 (n = 2 under strict matching), so the model-behaviour portion is exploratory only and is reported in the Supplementary Information; the 23 training-set reclassified drugs lack out-of-fold predictions and were not used.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previously produced per-drug alignment table for the 49 reclassified drugs remains at `d2_pilot/D2_label_stability_alignment.csv`.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 S1 is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276" w:lineRule="auto"/>
      </w:pPr>
      <w:r>
        <w:rPr>
          <w:i/>
        </w:rPr>
        <w:t>Remaining before submission: confirm author lists for refs 1–3, 6, and 9 against PubMed and format per the target journal's style; renumber citations per the target journal's style; replace markdown tables with journal table format. Figures 1–2 (reclassification directions; cross-source filtering) are provided as `figures/fig1_reclassification_directions.png` and `figures/fig2_cross_source_filtering.png`; a figure for Table 5 can be added at formatting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