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2"/>
        </w:rPr>
        <w:t>Supplementary Information — DILI label stability data note (v0.5)</w:t>
      </w:r>
    </w:p>
    <w:p>
      <w:pPr>
        <w:spacing w:line="360" w:lineRule="auto" w:after="120"/>
      </w:pPr>
      <w:r>
        <w:rPr>
          <w:b/>
        </w:rPr>
        <w:t>Table S1. The five Tier-B held-out reclassified drugs (all carry a "less" label in DILIrank 2.0).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 (1.0 → 2.0)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Match quality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P(y=1)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Predicted at Youden (0.6386)</w:t>
            </w:r>
          </w:p>
        </w:tc>
      </w:tr>
      <w:tr>
        <w:tc>
          <w:tcPr>
            <w:tcW w:type="dxa" w:w="1728"/>
          </w:tcPr>
          <w:p>
            <w:r>
              <w:t>raloxifene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0.693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flavoxate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0.717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saxagliptin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0.515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tadalafil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0.625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oseltamivir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0.576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</w:tbl>
    <w:p/>
    <w:p>
      <w:pPr>
        <w:spacing w:line="360" w:lineRule="auto" w:after="120"/>
      </w:pPr>
      <w:r>
        <w:t>Provenance: probabilities are the previously reproduced 223-compound held-out probability vector of the Seal et al. FeatureNet model, verified against the authors' published predictions to floating-point precision; the threshold (0.6386) is the published Youden value reported by Seal et al. and was not refitted on the held-out set. All five drugs are DILIst-negative in the benchmark (`TOXICITY = 0`, `Source_rank = 1`). Under strict full-InChIKey matching, only raloxifene and flavoxate remain (both predicted positive).</w:t>
      </w:r>
    </w:p>
    <w:p>
      <w:pPr>
        <w:spacing w:line="360" w:lineRule="auto" w:after="120"/>
      </w:pPr>
      <w:r>
        <w:rPr>
          <w:b/>
        </w:rPr>
        <w:t>Table S2. Out-of-fold predictions for the 23 training-set reclassified drugs (Tier B; threshold 0.6386).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Change (1.0 → 2.0)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Match quality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OOF P(y=1)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Predicted at Youden (0.6386)</w:t>
            </w:r>
          </w:p>
        </w:tc>
      </w:tr>
      <w:tr>
        <w:tc>
          <w:tcPr>
            <w:tcW w:type="dxa" w:w="1728"/>
          </w:tcPr>
          <w:p>
            <w:r>
              <w:t>vinblastine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0.576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diazepam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0.808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flurbiprofen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0.870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tretinoin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identity-conflict*</w:t>
            </w:r>
          </w:p>
        </w:tc>
        <w:tc>
          <w:tcPr>
            <w:tcW w:type="dxa" w:w="1728"/>
          </w:tcPr>
          <w:p>
            <w:r>
              <w:t>0.740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trifluoperazine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0.655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mepivacaine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0.506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oxycodone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0.438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tolterodine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0.579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rizatriptan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0.533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dofetilide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0.703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olmesartan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0.797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aripiprazole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0.645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solifenacin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0.466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anidulafungin</w:t>
            </w:r>
          </w:p>
        </w:tc>
        <w:tc>
          <w:tcPr>
            <w:tcW w:type="dxa" w:w="1728"/>
          </w:tcPr>
          <w:p>
            <w:r>
              <w:t>ambiguous → most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0.557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cladribine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0.605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paliperidone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0.621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posaconazole</w:t>
            </w:r>
          </w:p>
        </w:tc>
        <w:tc>
          <w:tcPr>
            <w:tcW w:type="dxa" w:w="1728"/>
          </w:tcPr>
          <w:p>
            <w:r>
              <w:t>ambiguous → most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0.674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doxazosin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0.738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ribavirin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0.523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tramadol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0.504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capecitabine</w:t>
            </w:r>
          </w:p>
        </w:tc>
        <w:tc>
          <w:tcPr>
            <w:tcW w:type="dxa" w:w="1728"/>
          </w:tcPr>
          <w:p>
            <w:r>
              <w:t>ambiguous → less</w:t>
            </w:r>
          </w:p>
        </w:tc>
        <w:tc>
          <w:tcPr>
            <w:tcW w:type="dxa" w:w="1728"/>
          </w:tcPr>
          <w:p>
            <w:r>
              <w:t>InChIKey14-only</w:t>
            </w:r>
          </w:p>
        </w:tc>
        <w:tc>
          <w:tcPr>
            <w:tcW w:type="dxa" w:w="1728"/>
          </w:tcPr>
          <w:p>
            <w:r>
              <w:t>0.672</w:t>
            </w:r>
          </w:p>
        </w:tc>
        <w:tc>
          <w:tcPr>
            <w:tcW w:type="dxa" w:w="1728"/>
          </w:tcPr>
          <w:p>
            <w:r>
              <w:t>positive</w:t>
            </w:r>
          </w:p>
        </w:tc>
      </w:tr>
      <w:tr>
        <w:tc>
          <w:tcPr>
            <w:tcW w:type="dxa" w:w="1728"/>
          </w:tcPr>
          <w:p>
            <w:r>
              <w:t>pyridostigmine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  <w:tr>
        <w:tc>
          <w:tcPr>
            <w:tcW w:type="dxa" w:w="1728"/>
          </w:tcPr>
          <w:p>
            <w:r>
              <w:t>oxybutynin</w:t>
            </w:r>
          </w:p>
        </w:tc>
        <w:tc>
          <w:tcPr>
            <w:tcW w:type="dxa" w:w="1728"/>
          </w:tcPr>
          <w:p>
            <w:r>
              <w:t>no → less</w:t>
            </w:r>
          </w:p>
        </w:tc>
        <w:tc>
          <w:tcPr>
            <w:tcW w:type="dxa" w:w="1728"/>
          </w:tcPr>
          <w:p>
            <w:r>
              <w:t>full InChIKey</w:t>
            </w:r>
          </w:p>
        </w:tc>
        <w:tc>
          <w:tcPr>
            <w:tcW w:type="dxa" w:w="1728"/>
          </w:tcPr>
          <w:p>
            <w:r>
              <w:t>0.371</w:t>
            </w:r>
          </w:p>
        </w:tc>
        <w:tc>
          <w:tcPr>
            <w:tcW w:type="dxa" w:w="1728"/>
          </w:tcPr>
          <w:p>
            <w:r>
              <w:t>negative</w:t>
            </w:r>
          </w:p>
        </w:tc>
      </w:tr>
    </w:tbl>
    <w:p/>
    <w:p>
      <w:pPr>
        <w:spacing w:line="360" w:lineRule="auto" w:after="120"/>
      </w:pPr>
      <w:r>
        <w:t>\* Identity-conflict row (skeleton InChIKey shared with isotretinoin); shown for completeness, not reliably attributable (see main text).</w:t>
      </w:r>
    </w:p>
    <w:p>
      <w:pPr>
        <w:spacing w:line="360" w:lineRule="auto" w:after="120"/>
      </w:pPr>
      <w:r>
        <w:t>Provenance and conventions: the OOF probabilities are the 4-fold `cross_val_predict` values of the selected final FeatureNet model on the 888-compound training set — the identical computation the original pipeline performs to derive the published Youden threshold (0.6386). The hyperparameter/model selection itself used all 888 training labels, following the original pipeline exactly; this convention is disclosed rather than presented as leakage-free. The 23 rows are reported separately from the 5 held-out compounds (Table S1); the two groups are not pooled and no inferential claims are made. Summary: 10 predicted positive / 13 negative at the published threshold; |P−0.5| ranges 0.004–0.370.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