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Version drift and source-dependent binary labeling of ambiguous drugs in a drug-induced liver injury benchmark: a provenance audit</w:t>
      </w:r>
    </w:p>
    <w:p>
      <w:pPr>
        <w:spacing w:line="360" w:lineRule="auto" w:after="120"/>
      </w:pPr>
      <w:r>
        <w:t>Yu Zhang</w:t>
      </w:r>
    </w:p>
    <w:p>
      <w:pPr>
        <w:spacing w:line="360" w:lineRule="auto" w:after="120"/>
      </w:pPr>
      <w:r>
        <w:t>Clinical Pharmacy Program, School of Pharmacy, Anhui Medical University, Hefei, Anhui, China</w:t>
      </w:r>
    </w:p>
    <w:p>
      <w:pPr>
        <w:spacing w:line="360" w:lineRule="auto" w:after="120"/>
      </w:pPr>
      <w:r>
        <w:t>Corresponding author: Yu Zhang, mengyufanqiu@gmail.com</w:t>
      </w:r>
    </w:p>
    <w:p>
      <w:pPr>
        <w:pStyle w:val="Heading1"/>
      </w:pPr>
      <w:r>
        <w:t>Abstract</w:t>
      </w:r>
    </w:p>
    <w:p>
      <w:pPr>
        <w:spacing w:line="360" w:lineRule="auto" w:after="120"/>
      </w:pPr>
      <w:r>
        <w:rPr>
          <w:b/>
        </w:rPr>
        <w:t>Background.</w:t>
      </w:r>
      <w:r>
        <w:t xml:space="preserve"> Machine-learning models for drug-induced liver injury (DILI) are trained and benchmarked against reference labels compiled from heterogeneous, periodically revised sources. If labels drift, the meaning of reported performance drifts with them; this instability is rarely quantified.</w:t>
      </w:r>
    </w:p>
    <w:p>
      <w:pPr>
        <w:spacing w:line="360" w:lineRule="auto" w:after="120"/>
      </w:pPr>
      <w:r>
        <w:rPr>
          <w:b/>
        </w:rPr>
        <w:t>Methods.</w:t>
      </w:r>
      <w:r>
        <w:t xml:space="preserve"> We aligned the two FDA releases of DILIrank (1.0, n = 1,036; 2.0, n = 1,336) by LTKB identifier, cross-matched them against the Seal et al. (2024) benchmark by PubChem InChIKey under three matching tiers, and matched the full official DILIst dataset (1,279 drugs) against DILIrank 1.0. No new predictive model was developed.</w:t>
      </w:r>
    </w:p>
    <w:p>
      <w:pPr>
        <w:spacing w:line="360" w:lineRule="auto" w:after="120"/>
      </w:pPr>
      <w:r>
        <w:rPr>
          <w:b/>
        </w:rPr>
        <w:t>Results.</w:t>
      </w:r>
      <w:r>
        <w:t xml:space="preserve"> Between versions, 0 drugs were removed and 300 were added; all 49 reclassifications ended in defined concern categories (18 escalations, 31 resolutions of classification uncertainty, no downgrades). In the benchmark, all 110 tallied ambiguous compounds carry binary labels: 80 negative in the DILIst-sourced channel and 30 positive in the pre-binarized DILIrank-derived subset, two disjoint drug sets (44/17 under strict matching). In the full DILIst dataset, the ambiguous class is negative in 120 of 122 matched cases, with two exceptions; two benchmark rows (armodafinil, tretinoin) have no counterpart in the official dataset.</w:t>
      </w:r>
    </w:p>
    <w:p>
      <w:pPr>
        <w:spacing w:line="360" w:lineRule="auto" w:after="120"/>
      </w:pPr>
      <w:r>
        <w:rPr>
          <w:b/>
        </w:rPr>
        <w:t>Conclusions.</w:t>
      </w:r>
      <w:r>
        <w:t xml:space="preserve"> Reference-label instability is concentrated in the ambiguous class and is directional: the update moved drugs only into defined categories, and the ambiguous class carries opposite binary labels across the benchmark's two channels while being overwhelmingly negative in DILIst. Benchmarks should treat the ambiguous class explicitly and record per-drug label provenance.</w:t>
      </w:r>
    </w:p>
    <w:p>
      <w:pPr>
        <w:spacing w:line="360" w:lineRule="auto" w:after="120"/>
      </w:pPr>
      <w:r>
        <w:rPr>
          <w:b/>
        </w:rPr>
        <w:t>Keywords.</w:t>
      </w:r>
      <w:r>
        <w:t xml:space="preserve"> drug-induced liver injury; benchmark; label provenance; DILIrank; DILIst; ambiguous; data curation</w:t>
      </w:r>
    </w:p>
    <w:p>
      <w:pPr>
        <w:spacing w:line="360" w:lineRule="auto" w:after="120"/>
      </w:pPr>
      <w:r>
        <w:t>and is directional: the update moved drugs only into defined categories, and the ambiguous class carries opposite binary labels across the benchmark's two channels while being overwhelmingly negative in DILIst. Benchmarks should treat the ambiguous class explicitly and record per-drug label provenance.</w:t>
      </w:r>
    </w:p>
    <w:p>
      <w:pPr>
        <w:pStyle w:val="Heading1"/>
      </w:pPr>
      <w:r>
        <w:t>1. Introduction</w:t>
      </w:r>
    </w:p>
    <w:p>
      <w:pPr>
        <w:spacing w:line="360" w:lineRule="auto" w:after="120"/>
      </w:pPr>
      <w:r>
        <w:t>Drug-induced liver injury (DILI) is a leading cause of drug attrition and post-market withdrawal, and a large body of machine-learning work aims to predict it from chemical structure [6]. These models are only as trustworthy as the labels they are trained and scored on. DILI reference labels, however, are not a single ground truth: they are compiled from sources with different evidence rules — FDA drug-label language (DILIrank [1,3]), the literature-augmented binary DILIst classification [2], and clinical hepatotoxicity likelihood scores (LiverTox [8]) — and these sources are periodically revised. DILIrank 2.0 expanded the original list by 300 drugs and reclassified a further 49 [3].</w:t>
      </w:r>
    </w:p>
    <w:p>
      <w:pPr>
        <w:spacing w:line="360" w:lineRule="auto" w:after="120"/>
      </w:pPr>
      <w:r>
        <w:t xml:space="preserve">Two consequences follow. First, </w:t>
      </w:r>
      <w:r>
        <w:rPr>
          <w:i/>
        </w:rPr>
        <w:t>version drift</w:t>
      </w:r>
      <w:r>
        <w:t xml:space="preserve">: when a reference dataset is revised, a model trained on the old labels may be evaluated against, or applied to, drugs whose labels have since changed. Second, </w:t>
      </w:r>
      <w:r>
        <w:rPr>
          <w:i/>
        </w:rPr>
        <w:t>cross-source disagreement</w:t>
      </w:r>
      <w:r>
        <w:t>: when multiple sources are merged into one training set, the same drug can carry contradictory labels depending on which source is treated as authoritative. A recent multi-source database, i-DILI, reports Cohen's kappa = 0.888 over 480 drugs shared between its DILIrank-derived and DILIst-derived labels, under a most/less→positive, no→negative binarization with the ambiguous class excluded, and works only from version 2.0 [4]. A related study used DILIrank 2.0's 300 added drugs as a temporal test, but its subject was feature representation, not label stability [5]. Recent perspectives note that DILI dataset annotation rules differ across resources and that models can learn different definitions of DILI positivity [9].</w:t>
      </w:r>
    </w:p>
    <w:p>
      <w:pPr>
        <w:spacing w:line="360" w:lineRule="auto" w:after="120"/>
      </w:pPr>
      <w:r>
        <w:t>Here we do not build a new database or a new predictor. We audit the labels themselves: (i) how many drugs changed class between DILIrank 1.0 and 2.0, and in which direction; (ii) how compounds classified as ambiguous in DILIrank 1.0 carry binary labels across two disjoint source channels in a published benchmark — the Seal et al. (2024) gold standard [6] — and how the resulting label distribution depends on source provenance; (iii) how the same drugs are labeled in the full official DILIst dataset, as a same-drug comparison rather than a channel-level comparison; and (iv) what the reclassified compounds that survive into that benchmark's held-out set look like under the reproduced model. Prior work has examined how the choice of features, endpoints, and negative-sample definitions affects reported DILI model performance [7], and i-DILI's binarized overlap comparison drops the ambiguous class [4]; to our knowledge, the direction of the 1.0→2.0 reclassification (preserving the four-category semantics) and the source-dependent binary labeling of the ambiguous class have not been quantified. We report three checkable quantities: the directionally asymmetric reclassification pattern of the 1.0→2.0 update; the source-dependent binary labels that compounds classified as ambiguous in DILIrank 1.0 carry in a published benchmark; and the same-drug label correspondence between DILIrank 1.0 and the full official DILIst dataset. The analysis is descriptive and reproducible, and no claim of improved prediction is made.</w:t>
      </w:r>
    </w:p>
    <w:p>
      <w:pPr>
        <w:pStyle w:val="Heading1"/>
      </w:pPr>
      <w:r>
        <w:t>2. Methods</w:t>
      </w:r>
    </w:p>
    <w:p>
      <w:pPr>
        <w:spacing w:line="360" w:lineRule="auto" w:after="120"/>
      </w:pPr>
      <w:r>
        <w:rPr>
          <w:b/>
        </w:rPr>
        <w:t>DILIrank versions.</w:t>
      </w:r>
      <w:r>
        <w:t xml:space="preserve"> The two FDA releases were read from a single official workbook ("version 1" and "version 2" sheets; 1,036 and 1,336 rows). The four-class label was normalized to most / less / no / ambiguous. Following the FDA definition, most, less, and no are defined concern categories with a severity ordering, whereas ambiguous denotes undetermined causality [3]; transitions out of the ambiguous category are therefore treated as resolutions of classification uncertainty, not as ordinal severity upgrades. The two sheets were aligned by `LTKBID`, which is unique in both releases.</w:t>
      </w:r>
    </w:p>
    <w:p>
      <w:pPr>
        <w:spacing w:line="360" w:lineRule="auto" w:after="120"/>
      </w:pPr>
      <w:r>
        <w:rPr>
          <w:b/>
        </w:rPr>
        <w:t>Construction dependence of the DILIst comparison.</w:t>
      </w:r>
      <w:r>
        <w:t xml:space="preserve"> DILIst extends DILIrank with four literature-derived datasets and maps most/less to positive and no to negative [2]. For drugs matched between DILIst and DILIrank, agreement on non-ambiguous classes is therefore expected by construction. We report that agreement as a consistency check of the stated rule, not as independent corroboration; independence of DILIst labels is not claimed and is addressed further in Limitations.</w:t>
      </w:r>
    </w:p>
    <w:p>
      <w:pPr>
        <w:spacing w:line="360" w:lineRule="auto" w:after="120"/>
      </w:pPr>
      <w:r>
        <w:rPr>
          <w:b/>
        </w:rPr>
        <w:t>Structure bridging.</w:t>
      </w:r>
      <w:r>
        <w:t xml:space="preserve"> Drug-name → structure mapping for DILIrank 1.0 was taken from our earlier PubChem PUG REST pass (curl-based, CSV-quoted; see Data availability), which produced canonical InChIKey / InChIKey14 per name. Names without a resolvable small-molecule structure (biologics, antibodies, peptides) are recorded as unmatchable.</w:t>
      </w:r>
    </w:p>
    <w:p>
      <w:pPr>
        <w:spacing w:line="360" w:lineRule="auto" w:after="120"/>
      </w:pPr>
      <w:r>
        <w:rPr>
          <w:b/>
        </w:rPr>
        <w:t>Seal gold standard and splits.</w:t>
      </w:r>
      <w:r>
        <w:t xml:space="preserve"> We used the shipped `DILI_Goldstandard_1111.csv` (1,111 compounds with `Source_rank`, `Source`, `TOXICITY`, `InChIKey`, `InChIKey14`) and the 888 / 223 split files. The gold standard's `Source_rank` field identifies two label channels: `Source_rank = 1` is the literature-augmented DILIst subset (990 rows), and `Source_rank = 13` is a pre-binarized, DILIrank-derived subset shipped as `Source = "DILIrank dataset CP Overlap REpsilber"` (121 rows, 97 positive / 24 negative); the upstream selection and binarization rule of this subset is not documented in the benchmark's public repository.</w:t>
      </w:r>
    </w:p>
    <w:p>
      <w:pPr>
        <w:spacing w:line="360" w:lineRule="auto" w:after="120"/>
      </w:pPr>
      <w:r>
        <w:rPr>
          <w:b/>
        </w:rPr>
        <w:t>Full-DILIst same-drug comparison.</w:t>
      </w:r>
      <w:r>
        <w:t xml:space="preserve"> The official FDA DILIst workbook (1,279 drugs; 768 positive / 511 negative) was downloaded from the FDA DILIst dataset page and matched to DILIrank 1.0 by structure. Names already covered by our PubChem pass were reused; the remaining 455 names were resolved via PubChem PUG REST (name → CID with salt-suffix-stripped fallbacks; 364 resolved, 91 unresolved by this procedure). Matching used the same full-InChIKey-priority rule as the benchmark analysis; because both sides resolve through PubChem canonical keys, the identity-conflict screen of the benchmark analysis does not arise here. Results are reported separately from the benchmark subset: the benchmark's DILIst-sourced rows are an upstream snapshot and are not the same object as the full official DILIst dataset.</w:t>
      </w:r>
    </w:p>
    <w:p>
      <w:pPr>
        <w:spacing w:line="360" w:lineRule="auto" w:after="120"/>
      </w:pPr>
      <w:r>
        <w:rPr>
          <w:b/>
        </w:rPr>
        <w:t>Match tiers (sensitivity analysis).</w:t>
      </w:r>
      <w:r>
        <w:t xml:space="preserve"> Matching between DILIrank and Seal was graded into four quality classes: </w:t>
      </w:r>
      <w:r>
        <w:rPr>
          <w:b/>
        </w:rPr>
        <w:t>full-InChIKey match</w:t>
      </w:r>
      <w:r>
        <w:t xml:space="preserve"> (identical 27-character InChIKey), </w:t>
      </w:r>
      <w:r>
        <w:rPr>
          <w:b/>
        </w:rPr>
        <w:t>InChIKey14-only</w:t>
      </w:r>
      <w:r>
        <w:t xml:space="preserve"> (skeleton match, stereo differs — Seal stores `-UHFFFAOYSA-` for many entries), </w:t>
      </w:r>
      <w:r>
        <w:rPr>
          <w:b/>
        </w:rPr>
        <w:t>identity-conflict</w:t>
      </w:r>
      <w:r>
        <w:t xml:space="preserve"> (the same InChIKey14 maps to more than one DILIrank drug of different classes), and </w:t>
      </w:r>
      <w:r>
        <w:rPr>
          <w:b/>
        </w:rPr>
        <w:t>unmatchable</w:t>
      </w:r>
      <w:r>
        <w:t xml:space="preserve"> (no structure). Because Seal's stored keys frequently omit stereo, skeleton matching can merge distinct stereoisomers; to bound this risk we recompute all cross-source statistics under three tiers: </w:t>
      </w:r>
      <w:r>
        <w:rPr>
          <w:b/>
        </w:rPr>
        <w:t>Tier A</w:t>
      </w:r>
      <w:r>
        <w:t xml:space="preserve">, full-InChIKey matches only; </w:t>
      </w:r>
      <w:r>
        <w:rPr>
          <w:b/>
        </w:rPr>
        <w:t>Tier B</w:t>
      </w:r>
      <w:r>
        <w:t xml:space="preserve">, Tier A plus InChIKey14-only matches (main analysis); and </w:t>
      </w:r>
      <w:r>
        <w:rPr>
          <w:b/>
        </w:rPr>
        <w:t>Tier C</w:t>
      </w:r>
      <w:r>
        <w:t>, Tier B with identity-conflict rows excluded. Exact InChIKey matches were preferred when assigning matches in Tiers A and B. Separately, Tier C excluded any row whose InChIKey14 mapped to multiple DILIrank entries with different classes, including cases in which an exact-key match was available. This additional conflict screen excludes the amphetamine row responsible for the single Tier-A non-ambiguous discordance (Table 4).</w:t>
      </w:r>
    </w:p>
    <w:p>
      <w:pPr>
        <w:spacing w:line="360" w:lineRule="auto" w:after="120"/>
      </w:pPr>
      <w:r>
        <w:rPr>
          <w:b/>
        </w:rPr>
        <w:t>Predictions.</w:t>
      </w:r>
      <w:r>
        <w:t xml:space="preserve"> No new predictive model was developed. Previously reproduced held-out predictions (the 223-compound probability vector of the Seal et al. FeatureNet model, verified against the authors' published predictions to floating-point precision in earlier work; see Data availability) and cross-validation-derived scores for the 23 reclassified training-set compounds were analyzed descriptively. The scores use the original pipeline's own cross-validation convention — the 4-fold cross_val_predict of the selected final model that the authors themselves use for threshold selection; model selection used all 888 training labels, as in the original pipeline, and this convention is disclosed, not presented as leakage-free nested cross-validation estimates (Table S2). The Youden threshold (0.6386) is the published value reported by Seal et al. [6]; it was not refitted on the held-out set for this work.</w:t>
      </w:r>
    </w:p>
    <w:p>
      <w:pPr>
        <w:pStyle w:val="Heading1"/>
      </w:pPr>
      <w:r>
        <w:t>3. Results</w:t>
      </w:r>
    </w:p>
    <w:p>
      <w:pPr>
        <w:pStyle w:val="Heading2"/>
      </w:pPr>
      <w:r>
        <w:t>3.1 Version reconciliation and reclassification direction</w:t>
      </w:r>
    </w:p>
    <w:p>
      <w:pPr>
        <w:spacing w:line="360" w:lineRule="auto" w:after="120"/>
      </w:pPr>
      <w:r>
        <w:t>Aligning DILIrank 1.0 and 2.0 by LTKBID recovers the published claim exactly: 0 drugs removed, 300 added, 49 reclassified (Table 1). The reclassification pattern is directionally asymmetric rather than uniformly upward across all four labels: eighteen drugs moved from no to less DILI concern, an escalation within the defined concern categories, and 31 drugs moved from the ambiguous category to a defined concern category (27 to less, 4 to most). Because FDA defines Ambiguous-DILI-concern as a category of undetermined causality [3], the latter transitions are resolutions of classification uncertainty, not ordinal severity upgrades. No drug moved from a defined concern category to a lower defined concern category (Figure 1).</w:t>
      </w:r>
    </w:p>
    <w:p>
      <w:pPr>
        <w:spacing w:line="360" w:lineRule="auto" w:after="120"/>
      </w:pPr>
      <w:r>
        <w:rPr>
          <w:b/>
        </w:rPr>
        <w:t>Table 1. DILIrank 1.0 → 2.0 reclassification (n = 49): 18 concern escalations and 31 resolutions from the ambiguous category.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Count</w:t>
            </w:r>
          </w:p>
        </w:tc>
        <w:tc>
          <w:tcPr>
            <w:tcW w:type="dxa" w:w="2880"/>
          </w:tcPr>
          <w:p>
            <w:r>
              <w:rPr>
                <w:b/>
              </w:rPr>
              <w:t>Interpretation</w:t>
            </w:r>
          </w:p>
        </w:tc>
      </w:tr>
      <w:tr>
        <w:tc>
          <w:tcPr>
            <w:tcW w:type="dxa" w:w="2880"/>
          </w:tcPr>
          <w:p>
            <w:r>
              <w:t>no → less</w:t>
            </w:r>
          </w:p>
        </w:tc>
        <w:tc>
          <w:tcPr>
            <w:tcW w:type="dxa" w:w="2880"/>
          </w:tcPr>
          <w:p>
            <w:r>
              <w:t>18</w:t>
            </w:r>
          </w:p>
        </w:tc>
        <w:tc>
          <w:tcPr>
            <w:tcW w:type="dxa" w:w="2880"/>
          </w:tcPr>
          <w:p>
            <w:r>
              <w:t>escalation within the defined concern categories</w:t>
            </w:r>
          </w:p>
        </w:tc>
      </w:tr>
      <w:tr>
        <w:tc>
          <w:tcPr>
            <w:tcW w:type="dxa" w:w="2880"/>
          </w:tcPr>
          <w:p>
            <w:r>
              <w:t>ambiguous → less</w:t>
            </w:r>
          </w:p>
        </w:tc>
        <w:tc>
          <w:tcPr>
            <w:tcW w:type="dxa" w:w="2880"/>
          </w:tcPr>
          <w:p>
            <w:r>
              <w:t>27</w:t>
            </w:r>
          </w:p>
        </w:tc>
        <w:tc>
          <w:tcPr>
            <w:tcW w:type="dxa" w:w="2880"/>
          </w:tcPr>
          <w:p>
            <w:r>
              <w:t>resolution of classification uncertainty to a defined concern category</w:t>
            </w:r>
          </w:p>
        </w:tc>
      </w:tr>
      <w:tr>
        <w:tc>
          <w:tcPr>
            <w:tcW w:type="dxa" w:w="2880"/>
          </w:tcPr>
          <w:p>
            <w:r>
              <w:t>ambiguous → most</w:t>
            </w:r>
          </w:p>
        </w:tc>
        <w:tc>
          <w:tcPr>
            <w:tcW w:type="dxa" w:w="2880"/>
          </w:tcPr>
          <w:p>
            <w:r>
              <w:t>4</w:t>
            </w:r>
          </w:p>
        </w:tc>
        <w:tc>
          <w:tcPr>
            <w:tcW w:type="dxa" w:w="2880"/>
          </w:tcPr>
          <w:p>
            <w:r>
              <w:t>resolution of classification uncertainty to a defined concern category</w:t>
            </w:r>
          </w:p>
        </w:tc>
      </w:tr>
      <w:tr>
        <w:tc>
          <w:tcPr>
            <w:tcW w:type="dxa" w:w="2880"/>
          </w:tcPr>
          <w:p>
            <w:r>
              <w:t>(defined-class downgrade)</w:t>
            </w:r>
          </w:p>
        </w:tc>
        <w:tc>
          <w:tcPr>
            <w:tcW w:type="dxa" w:w="2880"/>
          </w:tcPr>
          <w:p>
            <w:r>
              <w:t>0</w:t>
            </w:r>
          </w:p>
        </w:tc>
        <w:tc>
          <w:tcPr>
            <w:tcW w:type="dxa" w:w="2880"/>
          </w:tcPr>
          <w:p>
            <w:r>
              <w:t>—</w:t>
            </w:r>
          </w:p>
        </w:tc>
      </w:tr>
    </w:tbl>
    <w:p/>
    <w:p>
      <w:pPr>
        <w:pStyle w:val="Heading2"/>
      </w:pPr>
      <w:r>
        <w:t>3.2 How the ambiguous class is labelled across source channels — and what is by construction</w:t>
      </w:r>
    </w:p>
    <w:p>
      <w:pPr>
        <w:spacing w:line="360" w:lineRule="auto" w:after="120"/>
      </w:pPr>
      <w:r>
        <w:t>We report the cross-source comparison in three layers.</w:t>
      </w:r>
    </w:p>
    <w:p>
      <w:pPr>
        <w:spacing w:line="360" w:lineRule="auto" w:after="120"/>
      </w:pPr>
      <w:r>
        <w:rPr>
          <w:i/>
        </w:rPr>
        <w:t>Layer 1 — the construction-consistent core.</w:t>
      </w:r>
      <w:r>
        <w:t xml:space="preserve"> Across the 556 tallied DILIst compounds with an unambiguous DILIrank-1.0 match (559 matched, 3 identity-conflict rows excluded; Table 2 note), the non-ambiguous classes agree with DILIst without exception (476/476): every most/less drug is DILIst-positive and every no drug is DILIst-negative. Because DILIst's stated construction rule maps most/less to positive and no to negative [2], this layer is a consistency check of that rule, not independent evidence.</w:t>
      </w:r>
    </w:p>
    <w:p>
      <w:pPr>
        <w:spacing w:line="360" w:lineRule="auto" w:after="120"/>
      </w:pPr>
      <w:r>
        <w:rPr>
          <w:i/>
        </w:rPr>
        <w:t>Layer 2 — the part that cannot be audited.</w:t>
      </w:r>
      <w:r>
        <w:t xml:space="preserve"> 431 of 990 DILIst-sourced rows and 32 of 121 "CP Overlap"-sourced rows do not match any DILIrank-1.0 drug and fall outside this audit. Those rows carry the benchmark's binary labels without a comparable DILIrank class; we do not use them to support any independence claim, and we did not re-trace their per-drug literature provenance (Limitations).</w:t>
      </w:r>
    </w:p>
    <w:p>
      <w:pPr>
        <w:spacing w:line="360" w:lineRule="auto" w:after="120"/>
      </w:pPr>
      <w:r>
        <w:rPr>
          <w:i/>
        </w:rPr>
        <w:t>Layer 3 — the ambiguous class, which the stated rules do not determine.</w:t>
      </w:r>
      <w:r>
        <w:t xml:space="preserve"> In the Tier-B primary analysis, all disagreement in the matched set is confined to the ambiguous class, and it is directional in the shipped benchmark (under strict Tier-A matching, a single non-ambiguous discordance appears instead; Table 4). In the DILIst-sourced channel, every tallied ambiguous drug (80) is negative; in the DILIrank-derived "CP Overlap" channel (89 matched, 1 identity-conflict row excluded), every tallied ambiguous drug (30) is positive. Seal et al. describe their DILIrank-sourced labels as mapping most/less to positive and no to negative, with ambiguous excluded [6]; the shipped benchmark nonetheless carries binary labels for all 110 tallied compounds that DILIrank 1.0 classifies as ambiguous. Because the upstream rule of the "CP Overlap" subset is not documented in the repository, we characterize this distribution empirically and do not attribute the labels to any documented rule; and because the two channels are disjoint (Source_rank is mutually exclusive), this is a property of the benchmark's shipped label distribution rather than a same-drug comparison across two adjudications. §3.5 reports the same-drug comparison across the full official DILIst dataset. Figure 2 summarizes the filtering steps.</w:t>
      </w:r>
    </w:p>
    <w:p>
      <w:pPr>
        <w:spacing w:line="360" w:lineRule="auto" w:after="120"/>
      </w:pPr>
      <w:r>
        <w:rPr>
          <w:b/>
        </w:rPr>
        <w:t>Table 2. Cross-source agreement, by DILIrank-1.0 class (Tier 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Source (Seal)</w:t>
            </w:r>
          </w:p>
        </w:tc>
        <w:tc>
          <w:tcPr>
            <w:tcW w:type="dxa" w:w="1728"/>
          </w:tcPr>
          <w:p>
            <w:r>
              <w:rPr>
                <w:b/>
              </w:rPr>
              <w:t>no</w:t>
            </w:r>
          </w:p>
        </w:tc>
        <w:tc>
          <w:tcPr>
            <w:tcW w:type="dxa" w:w="1728"/>
          </w:tcPr>
          <w:p>
            <w:r>
              <w:rPr>
                <w:b/>
              </w:rPr>
              <w:t>less</w:t>
            </w:r>
          </w:p>
        </w:tc>
        <w:tc>
          <w:tcPr>
            <w:tcW w:type="dxa" w:w="1728"/>
          </w:tcPr>
          <w:p>
            <w:r>
              <w:rPr>
                <w:b/>
              </w:rPr>
              <w:t>most</w:t>
            </w:r>
          </w:p>
        </w:tc>
        <w:tc>
          <w:tcPr>
            <w:tcW w:type="dxa" w:w="1728"/>
          </w:tcPr>
          <w:p>
            <w:r>
              <w:rPr>
                <w:b/>
              </w:rPr>
              <w:t>ambiguous</w:t>
            </w:r>
          </w:p>
        </w:tc>
      </w:tr>
      <w:tr>
        <w:tc>
          <w:tcPr>
            <w:tcW w:type="dxa" w:w="1728"/>
          </w:tcPr>
          <w:p>
            <w:r>
              <w:t>DILIst-sourced (Source_rank = 1), TOXICITY = 0</w:t>
            </w:r>
          </w:p>
        </w:tc>
        <w:tc>
          <w:tcPr>
            <w:tcW w:type="dxa" w:w="1728"/>
          </w:tcPr>
          <w:p>
            <w:r>
              <w:t>164</w:t>
            </w:r>
          </w:p>
        </w:tc>
        <w:tc>
          <w:tcPr>
            <w:tcW w:type="dxa" w:w="1728"/>
          </w:tcPr>
          <w:p>
            <w:r>
              <w:t>0</w:t>
            </w:r>
          </w:p>
        </w:tc>
        <w:tc>
          <w:tcPr>
            <w:tcW w:type="dxa" w:w="1728"/>
          </w:tcPr>
          <w:p>
            <w:r>
              <w:t>0</w:t>
            </w:r>
          </w:p>
        </w:tc>
        <w:tc>
          <w:tcPr>
            <w:tcW w:type="dxa" w:w="1728"/>
          </w:tcPr>
          <w:p>
            <w:r>
              <w:rPr>
                <w:b/>
              </w:rPr>
              <w:t>80</w:t>
            </w:r>
          </w:p>
        </w:tc>
      </w:tr>
      <w:tr>
        <w:tc>
          <w:tcPr>
            <w:tcW w:type="dxa" w:w="1728"/>
          </w:tcPr>
          <w:p>
            <w:r>
              <w:t>DILIst-sourced (Source_rank = 1), TOXICITY = 1</w:t>
            </w:r>
          </w:p>
        </w:tc>
        <w:tc>
          <w:tcPr>
            <w:tcW w:type="dxa" w:w="1728"/>
          </w:tcPr>
          <w:p>
            <w:r>
              <w:t>0</w:t>
            </w:r>
          </w:p>
        </w:tc>
        <w:tc>
          <w:tcPr>
            <w:tcW w:type="dxa" w:w="1728"/>
          </w:tcPr>
          <w:p>
            <w:r>
              <w:t>174</w:t>
            </w:r>
          </w:p>
        </w:tc>
        <w:tc>
          <w:tcPr>
            <w:tcW w:type="dxa" w:w="1728"/>
          </w:tcPr>
          <w:p>
            <w:r>
              <w:t>138</w:t>
            </w:r>
          </w:p>
        </w:tc>
        <w:tc>
          <w:tcPr>
            <w:tcW w:type="dxa" w:w="1728"/>
          </w:tcPr>
          <w:p>
            <w:r>
              <w:t>0</w:t>
            </w:r>
          </w:p>
        </w:tc>
      </w:tr>
      <w:tr>
        <w:tc>
          <w:tcPr>
            <w:tcW w:type="dxa" w:w="1728"/>
          </w:tcPr>
          <w:p>
            <w:r>
              <w:t>"CP Overlap" (Source_rank = 13), TOXICITY = 0</w:t>
            </w:r>
          </w:p>
        </w:tc>
        <w:tc>
          <w:tcPr>
            <w:tcW w:type="dxa" w:w="1728"/>
          </w:tcPr>
          <w:p>
            <w:r>
              <w:t>18</w:t>
            </w:r>
          </w:p>
        </w:tc>
        <w:tc>
          <w:tcPr>
            <w:tcW w:type="dxa" w:w="1728"/>
          </w:tcPr>
          <w:p>
            <w:r>
              <w:t>0</w:t>
            </w:r>
          </w:p>
        </w:tc>
        <w:tc>
          <w:tcPr>
            <w:tcW w:type="dxa" w:w="1728"/>
          </w:tcPr>
          <w:p>
            <w:r>
              <w:t>0</w:t>
            </w:r>
          </w:p>
        </w:tc>
        <w:tc>
          <w:tcPr>
            <w:tcW w:type="dxa" w:w="1728"/>
          </w:tcPr>
          <w:p>
            <w:r>
              <w:t>0</w:t>
            </w:r>
          </w:p>
        </w:tc>
      </w:tr>
      <w:tr>
        <w:tc>
          <w:tcPr>
            <w:tcW w:type="dxa" w:w="1728"/>
          </w:tcPr>
          <w:p>
            <w:r>
              <w:t>"CP Overlap" (Source_rank = 13), TOXICITY = 1</w:t>
            </w:r>
          </w:p>
        </w:tc>
        <w:tc>
          <w:tcPr>
            <w:tcW w:type="dxa" w:w="1728"/>
          </w:tcPr>
          <w:p>
            <w:r>
              <w:t>0</w:t>
            </w:r>
          </w:p>
        </w:tc>
        <w:tc>
          <w:tcPr>
            <w:tcW w:type="dxa" w:w="1728"/>
          </w:tcPr>
          <w:p>
            <w:r>
              <w:t>30</w:t>
            </w:r>
          </w:p>
        </w:tc>
        <w:tc>
          <w:tcPr>
            <w:tcW w:type="dxa" w:w="1728"/>
          </w:tcPr>
          <w:p>
            <w:r>
              <w:t>10</w:t>
            </w:r>
          </w:p>
        </w:tc>
        <w:tc>
          <w:tcPr>
            <w:tcW w:type="dxa" w:w="1728"/>
          </w:tcPr>
          <w:p>
            <w:r>
              <w:rPr>
                <w:b/>
              </w:rPr>
              <w:t>30</w:t>
            </w:r>
          </w:p>
        </w:tc>
      </w:tr>
    </w:tbl>
    <w:p/>
    <w:p>
      <w:pPr>
        <w:spacing w:line="360" w:lineRule="auto" w:after="120"/>
      </w:pPr>
      <w:r>
        <w:rPr>
          <w:i/>
        </w:rPr>
        <w:t>Note: four gold-standard rows (1 DILIst-negative, 2 DILIst-positive, 1 "CP Overlap"-positive) received two DILIrank-1.0 drug mappings of different classes via a shared InChIKey14 and are excluded from the agreement tallies. The four shared keys correspond to the pairs amphetamine/dextroamphetamine, armodafinil/modafinil, tretinoin/isotretinoin, and ofloxacin/levofloxacin.</w:t>
      </w:r>
    </w:p>
    <w:p>
      <w:pPr>
        <w:pStyle w:val="Heading2"/>
      </w:pPr>
      <w:r>
        <w:t>3.3 Reclassified drugs inside the Seal benchmark</w:t>
      </w:r>
    </w:p>
    <w:p>
      <w:pPr>
        <w:spacing w:line="360" w:lineRule="auto" w:after="120"/>
      </w:pPr>
      <w:r>
        <w:t>Of the 49 reclassified drugs, 42 have a resolvable structure and 28 fall inside the Seal gold standard (23 in the 888-compound training set, 5 in the 223-compound held-out set); 14 have structure but are not in Seal, and 7 are unmatchable (biologics/antibodies/peptides). Match quality among the 28 in-Seal drugs was 14 full-InChIKey, 13 InChIKey14-only, and 1 identity-conflict (tretinoin, whose skeleton InChIKey is shared with isotretinoin), so 27 are reliably attributable and 1 is not. The five Tier-B held-out reclassified compounds yielded two positive and three negative predictions at the published threshold. Under strict full-InChIKey matching, only raloxifene and flavoxate remained, and both were predicted positive. These observations are exploratory and are not used for inferential claims; compound-level probabilities are provided in the Supplementary Information (Table S1). For the 23 training-set reclassified drugs, out-of-fold predictions computed with the published pipeline's own cross-validation convention — the 4-fold cross_val_predict of the selected final model that the authors themselves use for threshold selection (model selection used all 888 training labels, as in the original pipeline; this convention is disclosed rather than presented as leakage-free) — are 10 positive and 13 negative at the published threshold (Table S2, Supplementary Information). They are reported separately from the held-out predictions and are descriptive only.</w:t>
      </w:r>
    </w:p>
    <w:p>
      <w:pPr>
        <w:pStyle w:val="Heading2"/>
      </w:pPr>
      <w:r>
        <w:t>3.4 Sensitivity to match stringency</w:t>
      </w:r>
    </w:p>
    <w:p>
      <w:pPr>
        <w:spacing w:line="360" w:lineRule="auto" w:after="120"/>
      </w:pPr>
      <w:r>
        <w:t xml:space="preserve">Table 4 recomputes the cross-source statistics and the in-benchmark reclassified counts under the three matching tiers, presented side by side so that the effect of the matching rule is visible; Tier C is a conditional result obtained after an additional conflict screen, not an independent corroboration of Tier B. Three points survive stringency changes. (i) </w:t>
      </w:r>
      <w:r>
        <w:rPr>
          <w:b/>
        </w:rPr>
        <w:t>The directional split of the ambiguous class is tier-invariant</w:t>
      </w:r>
      <w:r>
        <w:t xml:space="preserve">: in every tier in which a drug is matched, DILIst-channel ambiguous drugs are negative (44/44 at Tier A; 80/80 at Tiers B–C) and "CP Overlap"-channel ambiguous drugs are positive (17/17; 30/30). (ii) </w:t>
      </w:r>
      <w:r>
        <w:rPr>
          <w:b/>
        </w:rPr>
        <w:t>Non-ambiguous agreement is near-perfect even under strict matching</w:t>
      </w:r>
      <w:r>
        <w:t xml:space="preserve">: 313/314 at Tier A (the single exception, amphetamine — DILIrank "less" versus a DILIst-negative label — is one of the four identity-conflict rows excluded at Tier C), and 476/476 at Tiers B–C. (iii) </w:t>
      </w:r>
      <w:r>
        <w:rPr>
          <w:b/>
        </w:rPr>
        <w:t>The in-benchmark reclassified set shrinks but keeps its structure</w:t>
      </w:r>
      <w:r>
        <w:t>: 28 drugs (23 train / 5 held-out) at Tier B, 14 (12 / 2) under strict full-key matching, and the two strictly matched held-out drugs (raloxifene, flavoxate) are both predicted positive, in the same direction as the full held-out set.</w:t>
      </w:r>
    </w:p>
    <w:p>
      <w:pPr>
        <w:spacing w:line="360" w:lineRule="auto" w:after="120"/>
      </w:pPr>
      <w:r>
        <w:rPr>
          <w:b/>
        </w:rPr>
        <w:t>Table 4. Sensitivity of cross-source statistics to match stringency.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Tier</w:t>
            </w:r>
          </w:p>
        </w:tc>
        <w:tc>
          <w:tcPr>
            <w:tcW w:type="dxa" w:w="960"/>
          </w:tcPr>
          <w:p>
            <w:r>
              <w:rPr>
                <w:b/>
              </w:rPr>
              <w:t>Matching rule</w:t>
            </w:r>
          </w:p>
        </w:tc>
        <w:tc>
          <w:tcPr>
            <w:tcW w:type="dxa" w:w="960"/>
          </w:tcPr>
          <w:p>
            <w:r>
              <w:rPr>
                <w:b/>
              </w:rPr>
              <w:t>DILIst matched (tallied)</w:t>
            </w:r>
          </w:p>
        </w:tc>
        <w:tc>
          <w:tcPr>
            <w:tcW w:type="dxa" w:w="960"/>
          </w:tcPr>
          <w:p>
            <w:r>
              <w:rPr>
                <w:b/>
              </w:rPr>
              <w:t>CP matched (tallied)</w:t>
            </w:r>
          </w:p>
        </w:tc>
        <w:tc>
          <w:tcPr>
            <w:tcW w:type="dxa" w:w="960"/>
          </w:tcPr>
          <w:p>
            <w:r>
              <w:rPr>
                <w:b/>
              </w:rPr>
              <w:t>ambiguous, DILIst channel</w:t>
            </w:r>
          </w:p>
        </w:tc>
        <w:tc>
          <w:tcPr>
            <w:tcW w:type="dxa" w:w="960"/>
          </w:tcPr>
          <w:p>
            <w:r>
              <w:rPr>
                <w:b/>
              </w:rPr>
              <w:t>ambiguous, CP channel</w:t>
            </w:r>
          </w:p>
        </w:tc>
        <w:tc>
          <w:tcPr>
            <w:tcW w:type="dxa" w:w="960"/>
          </w:tcPr>
          <w:p>
            <w:r>
              <w:rPr>
                <w:b/>
              </w:rPr>
              <w:t>Non-ambiguous agreement</w:t>
            </w:r>
          </w:p>
        </w:tc>
        <w:tc>
          <w:tcPr>
            <w:tcW w:type="dxa" w:w="960"/>
          </w:tcPr>
          <w:p>
            <w:r>
              <w:rPr>
                <w:b/>
              </w:rPr>
              <w:t>Identity-conflict rows</w:t>
            </w:r>
          </w:p>
        </w:tc>
        <w:tc>
          <w:tcPr>
            <w:tcW w:type="dxa" w:w="960"/>
          </w:tcPr>
          <w:p>
            <w:r>
              <w:rPr>
                <w:b/>
              </w:rPr>
              <w:t>Reclassified in Seal (train/held)</w:t>
            </w:r>
          </w:p>
        </w:tc>
      </w:tr>
      <w:tr>
        <w:tc>
          <w:tcPr>
            <w:tcW w:type="dxa" w:w="960"/>
          </w:tcPr>
          <w:p>
            <w:r>
              <w:t>A</w:t>
            </w:r>
          </w:p>
        </w:tc>
        <w:tc>
          <w:tcPr>
            <w:tcW w:type="dxa" w:w="960"/>
          </w:tcPr>
          <w:p>
            <w:r>
              <w:t>full InChIKey only</w:t>
            </w:r>
          </w:p>
        </w:tc>
        <w:tc>
          <w:tcPr>
            <w:tcW w:type="dxa" w:w="960"/>
          </w:tcPr>
          <w:p>
            <w:r>
              <w:t>358</w:t>
            </w:r>
          </w:p>
        </w:tc>
        <w:tc>
          <w:tcPr>
            <w:tcW w:type="dxa" w:w="960"/>
          </w:tcPr>
          <w:p>
            <w:r>
              <w:t>30</w:t>
            </w:r>
          </w:p>
        </w:tc>
        <w:tc>
          <w:tcPr>
            <w:tcW w:type="dxa" w:w="960"/>
          </w:tcPr>
          <w:p>
            <w:r>
              <w:t>44 negative / 0 positive</w:t>
            </w:r>
          </w:p>
        </w:tc>
        <w:tc>
          <w:tcPr>
            <w:tcW w:type="dxa" w:w="960"/>
          </w:tcPr>
          <w:p>
            <w:r>
              <w:t>0 negative / 17 positive</w:t>
            </w:r>
          </w:p>
        </w:tc>
        <w:tc>
          <w:tcPr>
            <w:tcW w:type="dxa" w:w="960"/>
          </w:tcPr>
          <w:p>
            <w:r>
              <w:t>313/314*</w:t>
            </w:r>
          </w:p>
        </w:tc>
        <w:tc>
          <w:tcPr>
            <w:tcW w:type="dxa" w:w="960"/>
          </w:tcPr>
          <w:p>
            <w:r>
              <w:t>0</w:t>
            </w:r>
          </w:p>
        </w:tc>
        <w:tc>
          <w:tcPr>
            <w:tcW w:type="dxa" w:w="960"/>
          </w:tcPr>
          <w:p>
            <w:r>
              <w:t>14 (12 / 2)</w:t>
            </w:r>
          </w:p>
        </w:tc>
      </w:tr>
      <w:tr>
        <w:tc>
          <w:tcPr>
            <w:tcW w:type="dxa" w:w="960"/>
          </w:tcPr>
          <w:p>
            <w:r>
              <w:t>B</w:t>
            </w:r>
          </w:p>
        </w:tc>
        <w:tc>
          <w:tcPr>
            <w:tcW w:type="dxa" w:w="960"/>
          </w:tcPr>
          <w:p>
            <w:r>
              <w:t>+ InChIKey14-only (main)</w:t>
            </w:r>
          </w:p>
        </w:tc>
        <w:tc>
          <w:tcPr>
            <w:tcW w:type="dxa" w:w="960"/>
          </w:tcPr>
          <w:p>
            <w:r>
              <w:t>559 (556)</w:t>
            </w:r>
          </w:p>
        </w:tc>
        <w:tc>
          <w:tcPr>
            <w:tcW w:type="dxa" w:w="960"/>
          </w:tcPr>
          <w:p>
            <w:r>
              <w:t>89 (88)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4</w:t>
            </w:r>
          </w:p>
        </w:tc>
        <w:tc>
          <w:tcPr>
            <w:tcW w:type="dxa" w:w="960"/>
          </w:tcPr>
          <w:p>
            <w:r>
              <w:t>28 (23 / 5)</w:t>
            </w:r>
          </w:p>
        </w:tc>
      </w:tr>
      <w:tr>
        <w:tc>
          <w:tcPr>
            <w:tcW w:type="dxa" w:w="960"/>
          </w:tcPr>
          <w:p>
            <w:r>
              <w:t>C</w:t>
            </w:r>
          </w:p>
        </w:tc>
        <w:tc>
          <w:tcPr>
            <w:tcW w:type="dxa" w:w="960"/>
          </w:tcPr>
          <w:p>
            <w:r>
              <w:t>B, conflicts excluded</w:t>
            </w:r>
          </w:p>
        </w:tc>
        <w:tc>
          <w:tcPr>
            <w:tcW w:type="dxa" w:w="960"/>
          </w:tcPr>
          <w:p>
            <w:r>
              <w:t>556</w:t>
            </w:r>
          </w:p>
        </w:tc>
        <w:tc>
          <w:tcPr>
            <w:tcW w:type="dxa" w:w="960"/>
          </w:tcPr>
          <w:p>
            <w:r>
              <w:t>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0</w:t>
            </w:r>
          </w:p>
        </w:tc>
        <w:tc>
          <w:tcPr>
            <w:tcW w:type="dxa" w:w="960"/>
          </w:tcPr>
          <w:p>
            <w:r>
              <w:t>27 (22 / 5)</w:t>
            </w:r>
          </w:p>
        </w:tc>
      </w:tr>
    </w:tbl>
    <w:p/>
    <w:p>
      <w:pPr>
        <w:spacing w:line="360" w:lineRule="auto" w:after="120"/>
      </w:pPr>
      <w:r>
        <w:t>\* The single Tier-A exception is the amphetamine row (DILIrank "less" vs DILIst negative); under skeleton matching this row also receives a dextroamphetamine mapping of a different class and is excluded by the Tier-C conflict screen (see Methods), even though an exact-key match was available for it.</w:t>
      </w:r>
    </w:p>
    <w:p>
      <w:pPr>
        <w:pStyle w:val="Heading2"/>
      </w:pPr>
      <w:r>
        <w:t>3.5 Same-drug comparison across the full official DILIst dataset</w:t>
      </w:r>
    </w:p>
    <w:p>
      <w:pPr>
        <w:spacing w:line="360" w:lineRule="auto" w:after="120"/>
      </w:pPr>
      <w:r>
        <w:t>Of the 1,279 drugs in the official FDA DILIst dataset, 836 match a DILIrank-1.0 drug at the structure level (Table 5); 443 do not — 352 have a PubChem record but no DILIrank-1.0 counterpart (the literature-augmented pool), and 91 remained unresolved by the specified PubChem lookup procedure (name → CID with salt-suffix-stripped fallback). The non-ambiguous classes agree with DILIst in 707/708 matched cases under strict full-InChIKey matching (Tier A) and in 713/714 in the main analysis (Tier B); the difference between the tiers is carried entirely by the seven InChIKey14-only rows, six of which are class-consistent. The single non-agreeing case is identical in both tiers and is an entity-normalization case rather than a same-structure cross-source conflict: PubChem resolves the DILIst name "norgestrel" to the levonorgestrel compound record, so the row is a full-key match to levonorgestrel (DILIrank class "no"); DILIst labels its norgestrel entry positive and its levonorgestrel entry negative — a DILIst-internal split between a racemate and its enantiomer — while DILIst and DILIrank agree on levonorgestrel itself (negative vs "no"). No other non-ambiguous non-agreement exists at either tier. Excluding this single identified entity-normalization anomaly, the same-entity defined-class agreement is 707/707 (Tier A) and 713/713 (Tier B); we report both the raw counts and this exclusion-adjusted statistic so the anomaly remains visible as an entity-resolution finding rather than being presented as a label error.</w:t>
      </w:r>
    </w:p>
    <w:p>
      <w:pPr>
        <w:spacing w:line="360" w:lineRule="auto" w:after="120"/>
      </w:pPr>
      <w:r>
        <w:t>The ambiguous class — the part of the correspondence not determined by DILIst's stated construction rule — is labeled negative in 120 of 122 matched cases in the main analysis, and in 120 of 121 under strict matching. The positive exceptions are tier-specific: norethindrone (full-key match; the synonym norethisterone, a genuine same-drug ambiguous-positive) at both tiers, and zopiclone (InChIKey14-only match to eszopiclone — skeleton-level evidence for the sensitivity analysis that is not claimed as confirmed same-drug; DILIst itself labels zopiclone positive and eszopiclone negative, a second racemate/enantiomer pair) at Tier B only. This same-drug evidence is consistent with, and extends, the benchmark-level observation: the DILIst-side treatment of the ambiguous class is overwhelmingly negative (120/122), while the 30 positive ambiguous labels in the benchmark arrive exclusively through the "CP Overlap" channel.</w:t>
      </w:r>
    </w:p>
    <w:p>
      <w:pPr>
        <w:spacing w:line="360" w:lineRule="auto" w:after="120"/>
      </w:pPr>
      <w:r>
        <w:t>The benchmark's DILIst-sourced rows and the official DILIst dataset are not the same object. Two compounds that the benchmark's DILIst-sourced channel labels positive — armodafinil and tretinoin, whose skeleton keys YFGHCGITMMYXAQ and SHGAZHPCJJPHSC appear in the benchmark with `TOXICITY = 1`, `Source_rank = 1`, Source "DILIst Classification Oral", and stereo-less full InChIKeys (`-UHFFFAOYSA-N`) — are absent from the official DILIst dataset (name-level and substring checks). These are precisely the two DILIst-positive rows excluded from Table 2's ambiguous tallies as identity conflicts. We report this benchmark source-provenance discrepancy as a checkable fact without attributing its cause, which could be an upstream snapshot difference, a pre-binarization rule, an identity-normalization artifact, or a curation choice not documented in the benchmark's public repository.</w:t>
      </w:r>
    </w:p>
    <w:p>
      <w:pPr>
        <w:spacing w:line="360" w:lineRule="auto" w:after="120"/>
      </w:pPr>
      <w:r>
        <w:rPr>
          <w:b/>
        </w:rPr>
        <w:t>Table 5. Same-drug label correspondence between the full official DILIst dataset and DILIrank 1.0 (Tier B; 836 matched of 1,279).</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DILIrank-1.0 class</w:t>
            </w:r>
          </w:p>
        </w:tc>
        <w:tc>
          <w:tcPr>
            <w:tcW w:type="dxa" w:w="2160"/>
          </w:tcPr>
          <w:p>
            <w:r>
              <w:rPr>
                <w:b/>
              </w:rPr>
              <w:t>DILIst negative (n)</w:t>
            </w:r>
          </w:p>
        </w:tc>
        <w:tc>
          <w:tcPr>
            <w:tcW w:type="dxa" w:w="2160"/>
          </w:tcPr>
          <w:p>
            <w:r>
              <w:rPr>
                <w:b/>
              </w:rPr>
              <w:t>DILIst positive (n)</w:t>
            </w:r>
          </w:p>
        </w:tc>
        <w:tc>
          <w:tcPr>
            <w:tcW w:type="dxa" w:w="2160"/>
          </w:tcPr>
          <w:p>
            <w:r>
              <w:rPr>
                <w:b/>
              </w:rPr>
              <w:t>Notes</w:t>
            </w:r>
          </w:p>
        </w:tc>
      </w:tr>
      <w:tr>
        <w:tc>
          <w:tcPr>
            <w:tcW w:type="dxa" w:w="2160"/>
          </w:tcPr>
          <w:p>
            <w:r>
              <w:t>most</w:t>
            </w:r>
          </w:p>
        </w:tc>
        <w:tc>
          <w:tcPr>
            <w:tcW w:type="dxa" w:w="2160"/>
          </w:tcPr>
          <w:p>
            <w:r>
              <w:t>0</w:t>
            </w:r>
          </w:p>
        </w:tc>
        <w:tc>
          <w:tcPr>
            <w:tcW w:type="dxa" w:w="2160"/>
          </w:tcPr>
          <w:p>
            <w:r>
              <w:t>183</w:t>
            </w:r>
          </w:p>
        </w:tc>
        <w:tc>
          <w:tcPr>
            <w:tcW w:type="dxa" w:w="2160"/>
          </w:tcPr>
          <w:p>
            <w:r/>
          </w:p>
        </w:tc>
      </w:tr>
      <w:tr>
        <w:tc>
          <w:tcPr>
            <w:tcW w:type="dxa" w:w="2160"/>
          </w:tcPr>
          <w:p>
            <w:r>
              <w:t>less</w:t>
            </w:r>
          </w:p>
        </w:tc>
        <w:tc>
          <w:tcPr>
            <w:tcW w:type="dxa" w:w="2160"/>
          </w:tcPr>
          <w:p>
            <w:r>
              <w:t>0</w:t>
            </w:r>
          </w:p>
        </w:tc>
        <w:tc>
          <w:tcPr>
            <w:tcW w:type="dxa" w:w="2160"/>
          </w:tcPr>
          <w:p>
            <w:r>
              <w:t>267</w:t>
            </w:r>
          </w:p>
        </w:tc>
        <w:tc>
          <w:tcPr>
            <w:tcW w:type="dxa" w:w="2160"/>
          </w:tcPr>
          <w:p>
            <w:r/>
          </w:p>
        </w:tc>
      </w:tr>
      <w:tr>
        <w:tc>
          <w:tcPr>
            <w:tcW w:type="dxa" w:w="2160"/>
          </w:tcPr>
          <w:p>
            <w:r>
              <w:t>no</w:t>
            </w:r>
          </w:p>
        </w:tc>
        <w:tc>
          <w:tcPr>
            <w:tcW w:type="dxa" w:w="2160"/>
          </w:tcPr>
          <w:p>
            <w:r>
              <w:t>263</w:t>
            </w:r>
          </w:p>
        </w:tc>
        <w:tc>
          <w:tcPr>
            <w:tcW w:type="dxa" w:w="2160"/>
          </w:tcPr>
          <w:p>
            <w:r>
              <w:t>1</w:t>
            </w:r>
          </w:p>
        </w:tc>
        <w:tc>
          <w:tcPr>
            <w:tcW w:type="dxa" w:w="2160"/>
          </w:tcPr>
          <w:p>
            <w:r>
              <w:t>norgestrel row: entity-normalization case — PubChem resolves "norgestrel" to levonorgestrel (full-key match); DILIst-internal labels: norgestrel 1 vs levonorgestrel 0; DILIst and DILIrank agree on levonorgestrel (0 vs "no")</w:t>
            </w:r>
          </w:p>
        </w:tc>
      </w:tr>
      <w:tr>
        <w:tc>
          <w:tcPr>
            <w:tcW w:type="dxa" w:w="2160"/>
          </w:tcPr>
          <w:p>
            <w:r>
              <w:t>ambiguous</w:t>
            </w:r>
          </w:p>
        </w:tc>
        <w:tc>
          <w:tcPr>
            <w:tcW w:type="dxa" w:w="2160"/>
          </w:tcPr>
          <w:p>
            <w:r>
              <w:t>120</w:t>
            </w:r>
          </w:p>
        </w:tc>
        <w:tc>
          <w:tcPr>
            <w:tcW w:type="dxa" w:w="2160"/>
          </w:tcPr>
          <w:p>
            <w:r>
              <w:t>2</w:t>
            </w:r>
          </w:p>
        </w:tc>
        <w:tc>
          <w:tcPr>
            <w:tcW w:type="dxa" w:w="2160"/>
          </w:tcPr>
          <w:p>
            <w:r>
              <w:t>norethindrone (full key; synonym norethisterone) at both tiers; zopiclone (InChIKey14-only, skeleton-level only — not claimed as confirmed same-drug; DILIst-internal zopiclone 1 vs eszopiclone 0) at Tier B only</w:t>
            </w:r>
          </w:p>
        </w:tc>
      </w:tr>
    </w:tbl>
    <w:p/>
    <w:p>
      <w:pPr>
        <w:spacing w:line="360" w:lineRule="auto" w:after="120"/>
      </w:pPr>
      <w:r>
        <w:rPr>
          <w:i/>
        </w:rPr>
        <w:t>Same-entity defined-class agreement excluding the identified entity-normalization anomaly (the norgestrel row): 707/707 (Tier A) and 713/713 (Tier B).</w:t>
      </w:r>
    </w:p>
    <w:p>
      <w:pPr>
        <w:pStyle w:val="Heading1"/>
      </w:pPr>
      <w:r>
        <w:t>4. Discussion</w:t>
      </w:r>
    </w:p>
    <w:p>
      <w:pPr>
        <w:spacing w:line="360" w:lineRule="auto" w:after="120"/>
      </w:pPr>
      <w:r>
        <w:t xml:space="preserve">Three descriptive findings follow from this audit. First, the 1.0→2.0 update showed a </w:t>
      </w:r>
      <w:r>
        <w:rPr>
          <w:b/>
        </w:rPr>
        <w:t>directionally asymmetric reclassification pattern</w:t>
      </w:r>
      <w:r>
        <w:t xml:space="preserve">, rather than a strictly monotone change across all four labels. Eighteen drugs moved from no to less DILI concern, whereas 31 moved from the ambiguous category to a defined concern category. Because FDA defines Ambiguous-DILI-concern as a category of undetermined causality, these 31 transitions are interpreted as resolution of classification uncertainty, not as ordinal severity upgrades. No drugs moved from a defined concern category to a lower defined concern category. For models that binarize or exclude ambiguous labels, the effect of these revisions on the effective prediction target depends on how the ambiguous category is handled. Second, in the Tier-B primary analysis, cross-source disagreement in the benchmark is </w:t>
      </w:r>
      <w:r>
        <w:rPr>
          <w:b/>
        </w:rPr>
        <w:t>not uniform</w:t>
      </w:r>
      <w:r>
        <w:t xml:space="preserve"> — it is confined to the ambiguous class, and it is directional in the shipped benchmark (DILIst-sourced channel → negative, "CP Overlap" channel → positive); strict Tier-A matching surfaces a single non-ambiguous discordance instead (Table 4). The 476/476 non-ambiguous agreement must be read with its construction caveat: DILIst was built on top of DILIrank with an explicit most/less→positive, no→negative rule [2], so that agreement is a consistency check of the rule. The same-drug comparison across the full official DILIst dataset (§3.5) shows that the construction-consistent core holds at full scale (707/708 strict; 713/714 main; 707/707 and 713/713 excluding the single identified entity-normalization anomaly), that the non-ambiguous non-agreeing case is a DILIst-internal racemate/enantiomer label split rather than a same-structure cross-source conflict, that the ambiguous class is labeled negative in 120 of 122 same-drug matched cases with two named, tier-specific exceptions, and that the benchmark's DILIst-sourced rows are not identical to the official dataset — two benchmark rows (armodafinil, tretinoin) have no counterpart in the official DILIst release, a source-provenance discrepancy. We characterize these distributions empirically and do not interpret them as violations of any documented rule, because the upstream binarization of the "CP Overlap" subset is undocumented; nor do we claim to adjudicate which source is correct. Third, the common shortcut of silently dropping or binary-flattening the ambiguous class does not remove the problem; it relocates it, in a source-dependent direction, into the training labels of the benchmark. The direction of that treatment is a property of the channel, not of the drug.</w:t>
      </w:r>
    </w:p>
    <w:p>
      <w:pPr>
        <w:spacing w:line="360" w:lineRule="auto" w:after="120"/>
      </w:pPr>
      <w:r>
        <w:t>i-DILI [4] harmonizes seven sources into one binary label with a confidence score, reports kappa = 0.888 over 480 shared drugs under a most/less→positive, no→negative binarization that drops the ambiguous class, and uses only DILIrank 2.0. StateFlux [5] used the 300 added drugs as a temporal test for feature representations. Our 836 matched drugs and i-DILI's 480 shared drugs are not directly comparable counts: i-DILI derives labels from DILIrank 2.0 with an ambiguous-excluding binarization, whereas we matched the full official DILIst workbook against DILIrank 1.0 by structure while preserving the four classes (Table S3). The difference reflects design choices, not a contradiction, and we do not present it as evidence of novelty. A same-journal study systematically evaluated how generic curation steps, stereochemical handling, and label-conflict policies across 12 toxicity and ADME endpoints alter modeling data and model performance [10]. Its object is the curation pipeline for QSAR modeling across endpoints; the present audit addresses the version drift and source-dependent labeling of one DILI-specific reference-label system, without model-performance claims. Label-provenance effects and stereochemical-matching effects are therefore treated as established [10]; what is reported here is the specific accounting for the DILI reference labels — the directionally asymmetric reclassification pattern, the path by which ambiguous compounds arrive in a published benchmark with binary labels, and the same-drug label correspondence between DILIrank 1.0 and the full official DILIst dataset.</w:t>
      </w:r>
    </w:p>
    <w:p>
      <w:pPr>
        <w:spacing w:line="360" w:lineRule="auto" w:after="120"/>
      </w:pPr>
      <w:r>
        <w:rPr>
          <w:b/>
        </w:rPr>
        <w:t>Limitations.</w:t>
      </w:r>
      <w:r>
        <w:t xml:space="preserve"> (i) Structure bridging is InChIKey-based; the mapping pass stored no SMILES, so a SMILES-level cross-check was unavailable, and 13 of 28 in-Seal matches are InChIKey14-only (Seal stores `-UHFFFAOYSA-`), so their stereo identity is unverified; the Tier-A column of Table 4 bounds the effect of this choice. (ii) One in-Seal reclassified drug (tretinoin) shares a skeleton InChIKey with another DILIrank drug and cannot be uniquely attributed. (iii) Only 559 of the 990 DILIst-sourced rows and 89 of the 121 "CP Overlap"-sourced rows could be matched to a DILIrank-1.0 class, so the benchmark agreement matrix covers the matched subset; the 431 and 32 outside rows are outside the audit by construction. In the full-DILIst comparison, 443 of 1,279 DILIst drugs fall outside DILIrank 1.0 (352 with structure, 91 without a PubChem record) and carry no comparable class. (iv) The prediction-level evidence is descriptive only: 5 held-out reclassified drugs (2 under strict matching; Table S1) and 23 training-set reclassified drugs with out-of-fold predictions computed under the published pipeline's cross-validation convention, in which model selection used all training labels (disclosed rather than leakage-free; Table S2). The two groups are reported separately, are not pooled, and support no inferential claims. (v) We did not verify that DILIrank-1.0 labels themselves are "correct" against primary literature; we characterize </w:t>
      </w:r>
      <w:r>
        <w:rPr>
          <w:i/>
        </w:rPr>
        <w:t>agreement between sources and versions</w:t>
      </w:r>
      <w:r>
        <w:t xml:space="preserve">, not ground truth. (vi) The upstream selection and binarization rule of the "CP Overlap" subset is not documented in the benchmark's public repository; its label policy is characterized here empirically (30/30 matched ambiguous compounds positive) rather than from a stated rule. (vii) The non-ambiguous same-drug agreement is reported as construction-consistent because DILIst was built on top of DILIrank; </w:t>
      </w:r>
      <w:r>
        <w:rPr>
          <w:b/>
        </w:rPr>
        <w:t>independence of the two sources is not demonstrated</w:t>
      </w:r>
      <w:r>
        <w:t xml:space="preserve"> anywhere in this audit, and the cause of the benchmark-vs-official discrepancies (armodafinil, tretinoin) is not attributed. (viii) The non-ambiguous non-agreeing case (norgestrel/levonorgestrel) and one ambiguous-positive case (zopiclone/eszopiclone) involve racemate/enantiomer pairs whose identity resolution depends on the PubChem records used; the DILIst-internal label opposition within each pair is verifiable directly from the official workbook, neither is presented as a same-structure cross-source conflict, and the zopiclone match is skeleton-level only and not claimed as confirmed same-drug evidence.</w:t>
      </w:r>
    </w:p>
    <w:p>
      <w:pPr>
        <w:spacing w:line="360" w:lineRule="auto" w:after="120"/>
      </w:pPr>
      <w:r>
        <w:rPr>
          <w:b/>
        </w:rPr>
        <w:t>Benchmark-hygiene recommendation.</w:t>
      </w:r>
      <w:r>
        <w:t xml:space="preserve"> When compiling or reusing a DILI benchmark: keep the ambiguous class as a third state (or an explicit exclusion flag with a recorded direction), report per-drug label provenance, re-check version alignment before reporting model performance, and audit the shipped labels against the benchmark's stated label policy, recording any undocumented upstream binarization steps (here: the "CP Overlap" subset, whose rule is not documented in the repository) and any divergence between the shipped snapshot and the official source dataset it names (here: armodafinil and tretinoin). These checks may help identify label discrepancies before model evaluation.</w:t>
      </w:r>
    </w:p>
    <w:p>
      <w:pPr>
        <w:pStyle w:val="Heading1"/>
      </w:pPr>
      <w:r>
        <w:t>Declarations</w:t>
      </w:r>
    </w:p>
    <w:p>
      <w:pPr>
        <w:spacing w:line="360" w:lineRule="auto" w:after="120"/>
      </w:pPr>
      <w:r>
        <w:t>The author declares that he has no known competing financial interests or personal relationships that could have appeared to influence the work reported in this paper.</w:t>
      </w:r>
    </w:p>
    <w:p>
      <w:pPr>
        <w:spacing w:line="360" w:lineRule="auto" w:after="120"/>
      </w:pPr>
      <w:r>
        <w:t>This research did not receive any specific grant from funding agencies in the public, commercial, or not-for-profit sectors.</w:t>
      </w:r>
    </w:p>
    <w:p>
      <w:pPr>
        <w:spacing w:line="360" w:lineRule="auto" w:after="120"/>
      </w:pPr>
      <w:r>
        <w:t>This study used only public datasets and previously published data; no ethical approval was required.</w:t>
      </w:r>
    </w:p>
    <w:p>
      <w:pPr>
        <w:pStyle w:val="Heading1"/>
      </w:pPr>
      <w:r>
        <w:t>Data availability</w:t>
      </w:r>
    </w:p>
    <w:p>
      <w:pPr>
        <w:spacing w:line="360" w:lineRule="auto" w:after="120"/>
      </w:pPr>
      <w:r>
        <w:t>The full per-drug match table (Tier B; all matched drugs with class, channel, toxicity, match tier, and conflict flag), the 49-row reclassification table, the sensitivity summary, the full-DILIst per-drug match table and agreement matrices, the PubChem lookup records for the 455 additional DILIst names (including salt-stripped variants and no-hit names), and an input manifest (paths, sizes, sha256, sources) are generated by `repro/generate_analysis.py` and `repro/full_dilist_comparison.py` (Python 3.10, pandas) from the raw inputs listed in the manifest, and are provided in `repro_outputs/`. The per-drug alignment table for the 49 reclassified drugs is provided as `data/D2_label_stability_alignment.csv` in the repository. A versioned public repository is available at https://github.com/mengyufanqiu-maker/-dili-label-provenance-audit. DILIrank versions and the DILIst dataset are the official FDA workbooks (FDA DILIrank 2.0 and DILIst dataset pages); the Seal et al. gold standard and split files are from the authors' public repository [6]; the held-out probability vector and the 0.6386 Youden threshold come from our earlier reproduction of the Seal et al. pipeline, verified against the authors' published predictions. Tables S1–S3 are in the Supplementary Information.</w:t>
      </w:r>
    </w:p>
    <w:p>
      <w:pPr>
        <w:pStyle w:val="Heading1"/>
      </w:pPr>
      <w:r>
        <w:t>Declaration of generative AI and AI-assisted technologies in the writing process</w:t>
      </w:r>
    </w:p>
    <w:p>
      <w:pPr>
        <w:spacing w:line="360" w:lineRule="auto" w:after="120"/>
      </w:pPr>
      <w:r>
        <w:t>During the preparation of this work the author used ChatGPT (OpenAI) for research positioning, literature discussion, and iterative manuscript review and revision, and Claude (Anthropic) for drafting and revising the manuscript text, language editing, and the generation and debugging of the reproduction and analysis scripts. After using these tools, the author reviewed and edited the content as needed and takes full responsibility for the content of the published article.</w:t>
      </w:r>
    </w:p>
    <w:p>
      <w:pPr>
        <w:pStyle w:val="Heading1"/>
      </w:pPr>
      <w:r>
        <w:t>References</w:t>
      </w:r>
    </w:p>
    <w:p>
      <w:pPr>
        <w:spacing w:line="360" w:lineRule="auto" w:after="120"/>
      </w:pPr>
      <w:r>
        <w:t xml:space="preserve">1. Chen M, et al. DILIrank: the largest reference drug list ranked by the risk for developing drug-induced liver injury in humans. </w:t>
      </w:r>
      <w:r>
        <w:rPr>
          <w:i/>
        </w:rPr>
        <w:t>Drug Discov Today</w:t>
      </w:r>
      <w:r>
        <w:t xml:space="preserve"> 2016;21:648–653. doi:10.1016/j.drudis.2016.02.015. PMID 26948801.</w:t>
      </w:r>
    </w:p>
    <w:p>
      <w:pPr>
        <w:spacing w:line="360" w:lineRule="auto" w:after="120"/>
      </w:pPr>
      <w:r>
        <w:t xml:space="preserve">2. Thakkar S, et al. Drug-induced liver injury severity and toxicity (DILIst): binary classification of 1279 drugs by human hepatotoxicity. </w:t>
      </w:r>
      <w:r>
        <w:rPr>
          <w:i/>
        </w:rPr>
        <w:t>Drug Discov Today</w:t>
      </w:r>
      <w:r>
        <w:t xml:space="preserve"> 2020;25(1):201–208. doi:10.1016/j.drudis.2019.09.022. PMID 31669330.</w:t>
      </w:r>
    </w:p>
    <w:p>
      <w:pPr>
        <w:spacing w:line="360" w:lineRule="auto" w:after="120"/>
      </w:pPr>
      <w:r>
        <w:t xml:space="preserve">3. Olubamiwa O, et al. DILIrank 2.0: an updated and expanded database for drug-induced liver injury risk based on FDA labeling and a literature review. </w:t>
      </w:r>
      <w:r>
        <w:rPr>
          <w:i/>
        </w:rPr>
        <w:t>Drug Discov Today</w:t>
      </w:r>
      <w:r>
        <w:t xml:space="preserve"> 2025;30(11):104485. doi:10.1016/j.drudis.2025.104485. PMID 41005561.</w:t>
      </w:r>
    </w:p>
    <w:p>
      <w:pPr>
        <w:spacing w:line="360" w:lineRule="auto" w:after="120"/>
      </w:pPr>
      <w:r>
        <w:t xml:space="preserve">4. Shende S, Tembhurne J. i-DILI: a multi-source database for drug-induced liver injury labeling and benchmarking. </w:t>
      </w:r>
      <w:r>
        <w:rPr>
          <w:i/>
        </w:rPr>
        <w:t>Preprints.org</w:t>
      </w:r>
      <w:r>
        <w:t xml:space="preserve"> 2026 (preprint, not peer-reviewed). doi:10.20944/preprints202609.0517.v1.</w:t>
      </w:r>
    </w:p>
    <w:p>
      <w:pPr>
        <w:spacing w:line="360" w:lineRule="auto" w:after="120"/>
      </w:pPr>
      <w:r>
        <w:t xml:space="preserve">5. Tsai A. StateFlux: physically validated quantum metabolic state networks reveal limited incremental value for toxicity prediction. </w:t>
      </w:r>
      <w:r>
        <w:rPr>
          <w:i/>
        </w:rPr>
        <w:t>ChemRxiv</w:t>
      </w:r>
      <w:r>
        <w:t xml:space="preserve"> 2026 (preprint, not peer-reviewed). doi:10.26434/chemrxiv.15009356.</w:t>
      </w:r>
    </w:p>
    <w:p>
      <w:pPr>
        <w:spacing w:line="360" w:lineRule="auto" w:after="120"/>
      </w:pPr>
      <w:r>
        <w:t xml:space="preserve">6. Seal S, et al. Improved detection of drug-induced liver injury by integrating predicted in vivo and in vitro data. </w:t>
      </w:r>
      <w:r>
        <w:rPr>
          <w:i/>
        </w:rPr>
        <w:t>Chem Res Toxicol</w:t>
      </w:r>
      <w:r>
        <w:t xml:space="preserve"> 2024;37(8):1290–1305. doi:10.1021/acs.chemrestox.4c00015. PMID 38981058.</w:t>
      </w:r>
    </w:p>
    <w:p>
      <w:pPr>
        <w:spacing w:line="360" w:lineRule="auto" w:after="120"/>
      </w:pPr>
      <w:r>
        <w:t xml:space="preserve">7. Liu A, et al. Machine-learning prediction of oral drug-induced liver injury (DILI) via multiple features and endpoints. </w:t>
      </w:r>
      <w:r>
        <w:rPr>
          <w:i/>
        </w:rPr>
        <w:t>BioMed Res Int</w:t>
      </w:r>
      <w:r>
        <w:t xml:space="preserve"> 2020;2020:4795140. doi:10.1155/2020/4795140. PMID 32509859.</w:t>
      </w:r>
    </w:p>
    <w:p>
      <w:pPr>
        <w:spacing w:line="360" w:lineRule="auto" w:after="120"/>
      </w:pPr>
      <w:r>
        <w:t xml:space="preserve">8. Hoofnagle JH, Serrano J, Knoben JE, Navarro VJ. LiverTox: a website on drug-induced liver injury. </w:t>
      </w:r>
      <w:r>
        <w:rPr>
          <w:i/>
        </w:rPr>
        <w:t>Hepatology</w:t>
      </w:r>
      <w:r>
        <w:t xml:space="preserve"> 2013;57(3):873–874. doi:10.1002/hep.26175. PMID 23456678.</w:t>
      </w:r>
    </w:p>
    <w:p>
      <w:pPr>
        <w:spacing w:line="360" w:lineRule="auto" w:after="120"/>
      </w:pPr>
      <w:r>
        <w:t xml:space="preserve">9. Evangelista D, et al. Machine learning-based models to predict drug-induced liver injury (DILI) to assist medicinal chemistry. </w:t>
      </w:r>
      <w:r>
        <w:rPr>
          <w:i/>
        </w:rPr>
        <w:t>J Med Chem</w:t>
      </w:r>
      <w:r>
        <w:t xml:space="preserve"> 2026;69(13):14992–15008. doi:10.1021/acs.jmedchem.5c02888.</w:t>
      </w:r>
    </w:p>
    <w:p>
      <w:pPr>
        <w:spacing w:line="360" w:lineRule="auto" w:after="120"/>
      </w:pPr>
      <w:r>
        <w:t xml:space="preserve">10. Zhu W, Liu Y, Wang Y, Feng P. Standardized toxicity data curation pipeline: a systematic evaluation of data quality control on QSAR model reproducibility and reliability. </w:t>
      </w:r>
      <w:r>
        <w:rPr>
          <w:i/>
        </w:rPr>
        <w:t>Comput Toxicol</w:t>
      </w:r>
      <w:r>
        <w:t xml:space="preserve"> 2026;39:100444. doi:10.1016/j.comtox.2026.100444.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