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360" w:lineRule="auto" w:after="120"/>
      </w:pPr>
      <w:r>
        <w:t>Yu Zhang</w:t>
      </w:r>
    </w:p>
    <w:p>
      <w:pPr>
        <w:spacing w:line="360" w:lineRule="auto" w:after="120"/>
      </w:pPr>
      <w:r>
        <w:t>Clinical Pharmacy Program, School of Pharmacy, Anhui Medical University, Hefei, Anhui, China</w:t>
      </w:r>
    </w:p>
    <w:p>
      <w:pPr>
        <w:spacing w:line="360" w:lineRule="auto" w:after="120"/>
      </w:pPr>
      <w:r>
        <w:t>Correspondence: mengyufanqiu@gmail.com</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new predictive model was developed. Previously reproduced held-out predictions and cross-validation-derived scores for the 23 reclassified training-set compounds were analyzed descriptively; the original pipeline's model-selection convention was retained and disclosed, and these scores are not presented as leakage-free nested cross-validation estimates (Supplementary Information, Tables S1–S2).</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No new predictive model was developed. Previously reproduced held-out predictions (the 223-compound probability vector of the Seal et al. FeatureNet model, verified against the authors' published predictions to floating-point precision in earlier work; see Data availability) and cross-validation-derived scores for the 23 reclassified training-set compounds were analyzed descriptively. The scores use the original pipeline's own cross-validation convention — the 4-fold cross_val_predict of the selected final model that the authors themselves use for threshold selection; model selection used all 888 training labels, as in the original pipeline, and this convention is disclosed, not presented as leakage-free nested cross-validation estimates (Table S2). The Youden threshold (0.6386) is the published value reported by Seal et al. [6]; it was not refitted on the held-out set for this work.</w:t>
      </w:r>
    </w:p>
    <w:p>
      <w:pPr>
        <w:spacing w:line="360" w:lineRule="auto" w:after="120"/>
      </w:pPr>
      <w:r>
        <w:rPr>
          <w:b/>
        </w:rPr>
        <w:t>Generative AI use.</w:t>
      </w:r>
      <w:r>
        <w:t xml:space="preserve"> Generative AI (Claude, Anthropic) was used during the preparation of this work: to assist research positioning and literature review, to draft and revise manuscript text across multiple versions, for language editing, and to generate and debug the reproduction and analysis scripts (`repro/generate_analysis.py`, `repro/full_dilist_comparison.py`, `repro/make_figures.py`, and the document converter). The audit design and its analytical decisions were developed through iterative expert reviews of successive drafts, with every finding verified by the authors against local data and public sources before inclusion. All data, all numerical results, and all analyses were produced by the authors' own scripts; the authors reviewed every claim in the final text and take full responsibility for the content.</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reports kappa = 0.888 over 480 shared drugs under a most/less→positive, no→negative binarization that drops the ambiguous class, and uses only DILIrank 2.0; and StateFlux [5], which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ours is the version drift and source-dependent labeling of one DILI-specific reference-label system, without any model-performance claims. We therefore do not claim that label provenance matters or that stereochemical matching can change results as novel points — those are established [10]; our contribution is the specific, checkable accounting for the DILI reference labels. We do not claim i-DILI, StateFlux, or [10]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Declarations</w:t>
      </w:r>
    </w:p>
    <w:p>
      <w:pPr>
        <w:spacing w:line="360" w:lineRule="auto" w:after="120"/>
      </w:pPr>
      <w:r>
        <w:t>Declarations of interest: none. Funding: none. This study used only public datasets and previously published data; no ethical approval was required.</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