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276" w:lineRule="auto"/>
      </w:pPr>
      <w:r>
        <w:rPr>
          <w:i/>
        </w:rPr>
        <w:t>Draft v0.7 — research note / data note. Not yet submission-ready. All numeric claims below are reproduced from local data by the scripts in `repro/` (see Data availability). No new model was trained and no label was modified. Revision v0.6→v0.7: the full-DILIst exceptions are now reported per matching tier with named drugs (Tier A: norgestrel among defined classes, norethindrone among ambiguous; Tier B adds zopiclone); the norgestrel case is reframed as a DILIst-internal racemate/enantiomer label split (an entity-normalization case study) rather than a same-structure cross-source conflict — DILIrank and DILIst agree on levonorgestrel itself; the armodafinil/tretinoin finding is renamed a benchmark source-provenance discrepancy, with the benchmark rows' stereo-less InChIKeys documented and no cause attributed.</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model was retrained; the only prediction-level evidence is the previously reproduced 223-compound held-out probability vector of the Seal et al. model.</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The 122 matched ambiguous drugs carry 120 negative and 2 positive DILIst labels (norethindrone; zopiclone — 121 and 1 positive under strict matching).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xml:space="preserve">: when multiple sources are merged into one training set, the same drug can carry contradictory labels depending on which source is treated as authoritative. A recent multi-source database, i-DILI, quantified pairwise agreement with Cohen's kappa and introduced a confidence score, but explicitly </w:t>
      </w:r>
      <w:r>
        <w:rPr>
          <w:b/>
        </w:rPr>
        <w:t>drops</w:t>
      </w:r>
      <w:r>
        <w:t xml:space="preserve"> DILIrank's ambiguous class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to our knowledge, neither the direction of version drift nor the source-dependent binary labeling of DILIrank's ambiguous class has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without a PubChem record).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and no training-set prediction was used to characterize generalization.</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have no PubChem record.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DILIst-internal zopiclone 1 vs eszopiclone 0) at Tier B only</w:t>
            </w:r>
          </w:p>
        </w:tc>
      </w:tr>
    </w:tbl>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that the single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but drops the ambiguous class and uses only DILIrank 2.0; and StateFlux [5], which used the 300 added drugs as a temporal test for feature representations. We do not claim those works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held-out reclassified sample is n = 5 (n = 2 under strict matching), so the model-behaviour portion is exploratory only and is reported in the Supplementary Information; the 23 training-set reclassified drugs lack out-of-fold predictions and were not used.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and neither is presented as a same-structure cross-source conflict.</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previously produced per-drug alignment table for the 49 reclassified drugs remains at `d2_pilot/D2_label_stability_alignment.csv`.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 S1 is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276" w:lineRule="auto"/>
      </w:pPr>
      <w:r>
        <w:rPr>
          <w:i/>
        </w:rPr>
        <w:t>Remaining before submission: confirm author lists for refs 1–3, 6, and 9 against PubMed and format per the target journal's style; renumber citations per the target journal's style; replace markdown tables with journal table format. Figures 1–2 (reclassification directions; cross-source filtering) are provided as `figures/fig1_reclassification_directions.png` and `figures/fig2_cross_source_filtering.png`; a figure for Table 5 can be added at formatting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