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rHeight w:val="38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7560"/>
        <w:tblGridChange w:id="0">
          <w:tblGrid>
            <w:gridCol w:w="267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Agent de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Agent de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Nettoyage des salles de classe, des bureaux des enseignants et des espaces communs.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Distribution des fournitures internes.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Assistance ponctuelle dans l'organisation logistique.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Réalisation de courses locales pour l’établissement.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à l'aménagement et au réaménagement des meubles et équipements.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Engagement actif dans la mise en place et le maintien du système qualité (accueil, prestations).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des services fournis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enseignement de base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techniques de nettoyage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et gestion du temps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Attention au détail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Flexibilité et réactivité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 des normes de sécurité et d’hygiène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efficace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2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  <w:highlight w:val="yellow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Agent de propreté »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22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F420B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F487nYP1Honyn36nTGEhAcnqA==">CgMxLjAyDmgubXEwbmYxZzdyaWViOAByITFLS2ZJaWRuZk9tRGhiVURfbGRsYU1uTmNJd1hDQUl4TQ==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2025-05-13T21:50:00Z</dcterms:created>
  <dc:creator>iso</dc:creator>
</cp:coreProperties>
</file>