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08/05/2025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7560"/>
        <w:tblGridChange w:id="0">
          <w:tblGrid>
            <w:gridCol w:w="261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Chauffeur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le transport du personnel et des étudiants selon les besoins de l’établissement.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les courses relatives aux différents services de l'établissement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à la sécurité et au confort des passagers durant les trajets.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Maintenir le véhicule en bon état de fonctionnement (entretien, nettoyage, vérifications techniques).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Respecter les horaires et les itinéraires définis pour les trajets.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Informer la direction en cas de panne, d’accident ou de tout autre problème lié au véhicule.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Tenir à jour les documents relatifs au véhicule (carnet d’entretien, assurance, etc.).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les déplacements pour les événements, conférences et sorties organisées par l’établissement.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Respecter les règles de sécurité routière et la législation en vigueur.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Gérer les tâches administratives liées au transport (réservations, itinéraires, rapports de déplacements).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Aider au transport des équipements ou du matériel nécessaire lors des déplacements.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Amélioration continue de la qualité de la prestation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Expérience de conduite.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itinéraires.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Conduite sécuritaire.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Réactivité.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Discrétion.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127.0000000000000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3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B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683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Chauffeur 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08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IND-PGV-028</w:t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F528F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ribkutH0fhiulDSbhaEDSrfnQ==">CgMxLjAyDmgubXEwbmYxZzdyaWViOAByITF1NXZtTVIwQ09OWUN0RF9pYjFFNG9rVHpJNndkNG05Nw==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2025-05-14T01:17:00Z</dcterms:created>
  <dc:creator>iso</dc:creator>
</cp:coreProperties>
</file>