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7620"/>
        <w:tblGridChange w:id="0">
          <w:tblGrid>
            <w:gridCol w:w="2565"/>
            <w:gridCol w:w="76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</w:t>
            </w:r>
            <w:r w:rsidDel="00000000" w:rsidR="00000000" w:rsidRPr="00000000">
              <w:rPr>
                <w:rtl w:val="0"/>
              </w:rPr>
              <w:t xml:space="preserve">du secrétaire général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Secrétaire général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Secrétaire général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223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Assurer la gestion des courriers (réception, tri, diffusion et archivage),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Rédiger et mettre en forme des documents officiels (rapports, notes, comptes rendus, emails),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Organiser et classer les dossiers administratifs, 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Assurer le suivi des demandes et des décisions prises par le secrétaire général,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Gestion de l’agenda et des réunions,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Accueil et communication,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Gestion des documents et suivi des dossiers,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Coordination avec les services internes et externes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Ind w:w="-5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</w:t>
            </w:r>
            <w:r w:rsidDel="00000000" w:rsidR="00000000" w:rsidRPr="00000000">
              <w:rPr>
                <w:rtl w:val="0"/>
              </w:rPr>
              <w:t xml:space="preserve">bac+3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 </w:t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Compétences organisationnelles et gestion du temps, 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Maîtrise des outils informatiques et de gestion,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Compétences en rédaction et communication,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Diplomatie et bienveillance, 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842"/>
                <w:tab w:val="left" w:leader="none" w:pos="843"/>
              </w:tabs>
              <w:spacing w:before="5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Autonomie</w:t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3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FICHE FONCTION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SECRÉTAIRE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 D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U SECRÉTAIRE GÉNÉRAL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/2025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IND-PGV-052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rPr>
      <w:rFonts w:ascii="Times New Roman" w:cs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t9bVZ80I5+N5Hj56ZyFjRyYAA==">CgMxLjA4AHIhMUwydnNqX195b1FwTkNmTUZVekh5Y3BCM2l4VEFWN1d1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2023-02-08T11:22:00Z</dcterms:created>
  <dc:creator>iso</dc:creator>
</cp:coreProperties>
</file>