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E5BF8" w14:textId="4066631F" w:rsidR="00536C1E" w:rsidRDefault="00536C1E" w:rsidP="00536C1E">
      <w:pPr>
        <w:spacing w:before="100" w:beforeAutospacing="1" w:after="100" w:afterAutospacing="1" w:line="360" w:lineRule="auto"/>
        <w:jc w:val="right"/>
        <w:outlineLvl w:val="2"/>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San Salvador, 09 de octubre 2026</w:t>
      </w:r>
    </w:p>
    <w:p w14:paraId="2E4FF255" w14:textId="4AA9DB2E" w:rsidR="00536C1E" w:rsidRDefault="00536C1E" w:rsidP="00536C1E">
      <w:pPr>
        <w:jc w:val="right"/>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DAR-2026-56</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60BE28CA" w14:textId="28F06BB6"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Doctores</w:t>
      </w:r>
    </w:p>
    <w:p w14:paraId="28E9E74E" w14:textId="5EFE9315"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Miembros del Consejo de Administración</w:t>
      </w:r>
    </w:p>
    <w:p w14:paraId="355AE5CB" w14:textId="3F481EB9"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Presentes</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En cumplimiento del acuerdo CA-2026-08-1161 del Consejo de Administración, mediante el cual se instruyó al Departamento de Administración de Riesgos realizar la recalificación del riesgo del asociado </w:t>
      </w:r>
      <w:r w:rsidRPr="0086776C">
        <w:rPr>
          <w:rFonts w:ascii="Arial" w:eastAsia="Times New Roman" w:hAnsi="Arial" w:cs="Arial"/>
          <w:b/>
          <w:bCs/>
          <w:kern w:val="0"/>
          <w:lang w:eastAsia="es-SV"/>
          <w14:ligatures w14:val="none"/>
        </w:rPr>
        <w:t xml:space="preserve">Dr. Jonnathan Jacobo Marroquín</w:t>
      </w:r>
      <w:r w:rsidRPr="00F56F59">
        <w:rPr>
          <w:rFonts w:ascii="Arial" w:eastAsia="Times New Roman" w:hAnsi="Arial" w:cs="Arial"/>
          <w:kern w:val="0"/>
          <w:lang w:eastAsia="es-SV"/>
          <w14:ligatures w14:val="none"/>
        </w:rPr>
        <w:t xml:space="preserve"> y a la Gerencia Legal y de Cumplimiento Normativo emitir pronunciamiento sobre la constitución de reserva sobre sus haberes, específicamente la cuenta de Ahorro Premium por US$53,681.26, se emite el siguiente análisis, el cual integra las opiniones de la Gerencia Legal y de Cumplimiento Normativo y de la Oficialía de Cumplimiento:</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5529FA2A" w14:textId="34CA4CFF" w:rsidR="00536C1E" w:rsidRPr="00123BB1" w:rsidRDefault="00536C1E" w:rsidP="00F56F59">
      <w:pPr>
        <w:keepNext/>
        <w:spacing w:before="100" w:beforeAutospacing="1" w:after="100" w:afterAutospacing="1" w:line="360" w:lineRule="auto"/>
        <w:jc w:val="both"/>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ANTECEDENTES DEL CASO</w:t>
      </w: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Consejo de Administración instruyó evaluar el expediente del asociado con el propósito de determinar la factibilidad de utilizar los fondos mantenidos en la cuenta de Ahorro Premium No. 0001224941100015, sujeta a reserva interna, así como establecer si existen elementos que justifiquen una modificación de su categoría de riesgo.</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 la revisión del expediente se verificó que el asociado mantiene vigente el contrato de Ahorro Premium con vencimiento el 19 de agosto de 2070, con un saldo de US$53,681.26; no existe orden judicial, administrativa o requerimiento formal de autoridad competente que restrinja la disponibilidad de los fondos, ni medidas cautelares de embargo, inmovilización o secuestro de bienes.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asociado mantiene tres créditos a favor de COMÉDICA DE R.L.: dos con garantía prendaria y uno con garantía hipotecaria, los cuales se encuentran vigentes y al día, con pagos realizados mediante cargos y transferencias provenientes de la cuenta Premium, cuyos recursos continúan constituyendo respaldo para el cumplimiento de dichas obligaciones.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Investigación del caso: </w:t>
      </w:r>
      <w:r w:rsidRPr="00F56F59">
        <w:rPr>
          <w:rFonts w:ascii="Arial" w:eastAsia="Times New Roman" w:hAnsi="Arial" w:cs="Arial"/>
          <w:kern w:val="0"/>
          <w:lang w:eastAsia="es-SV"/>
          <w14:ligatures w14:val="none"/>
        </w:rPr>
        <w:t xml:space="preserve">de acuerdo con información de carácter público (comunicados de la Fiscalía General de la República e informes de medios nacionales como Diario El Salvador, Diario1 e Infobae), el 13 de febrero de 2026 la FGR y la PNC ejecutaron un operativo para desarticular una estructura dedicada al narcotráfico internacional, con vínculos en Guatemala, en el cual figura entre las personas capturadas una persona identificada como Jonnathan Jacobo Marroquín. Según la FGR, los imputados serían procesados por los delitos de tráfico ilícito, cooperación en el delito de tráfico de drogas, agrupaciones ilícitas, cohecho activo y cohecho impropio; en los allanamientos se reportó el decomiso de drogas, medicamentos controlados, dinero en efectivo y vehículos.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04 de marzo de 2026, la FGR informó que se decretó instrucción formal con detención provisional contra los integrantes de dicha estructura, por lo que el proceso penal se encuentra en curso y no existe, a la fecha, sentencia condenatoria conocida. Las fuentes públicas no detallan el rol específico atribuido a la persona señalada, por lo que es necesario confirmar la identidad (número de DUI) para descartar un caso de homonimia.</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Opinión de la Gerencia Legal y de Cumplimiento Normativo: </w:t>
      </w:r>
      <w:r w:rsidRPr="00F56F59">
        <w:rPr>
          <w:rFonts w:ascii="Arial" w:eastAsia="Times New Roman" w:hAnsi="Arial" w:cs="Arial"/>
          <w:kern w:val="0"/>
          <w:lang w:eastAsia="es-SV"/>
          <w14:ligatures w14:val="none"/>
        </w:rPr>
        <w:t xml:space="preserve">no existen elementos objetivos que permitan concluir que las garantías prendarias constituidas a favor de COMÉDICA DE R.L. hayan perdido eficacia jurídica o se encuentren afectadas por restricciones registrales. Asimismo, no existe fundamento contractual o legal suficiente para inmovilizar, compensar, retener o restringir de forma unilateral los fondos de la cuenta de Ahorro Premium mientras no exista orden de autoridad competente, siendo procedente la constitución de una reserva interna de monitoreo y seguimiento reforzado, conforme a lo instruido por el Consejo de Administración.</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Opinión de la Oficialía de Cumplimiento: </w:t>
      </w:r>
      <w:r w:rsidRPr="00F56F59">
        <w:rPr>
          <w:rFonts w:ascii="Arial" w:eastAsia="Times New Roman" w:hAnsi="Arial" w:cs="Arial"/>
          <w:kern w:val="0"/>
          <w:lang w:eastAsia="es-SV"/>
          <w14:ligatures w14:val="none"/>
        </w:rPr>
        <w:t xml:space="preserve">el asociado se encuentra catalogado con perfil de riesgo Medio-Alto. Dicha área realizó previamente el análisis correspondiente, determinando que, conforme a la regulación vigente, esta situación por sí sola no permite considerarlo completamente de alto riesgo, y realizará una revisión posterior para reclasificarlo si fuera necesario.</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EVALUACIÓN DE RIESGO</w:t>
      </w: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crédito: </w:t>
      </w:r>
      <w:r w:rsidRPr="00F56F59">
        <w:rPr>
          <w:rFonts w:ascii="Arial" w:eastAsia="Times New Roman" w:hAnsi="Arial" w:cs="Arial"/>
          <w:kern w:val="0"/>
          <w:lang w:eastAsia="es-SV"/>
          <w14:ligatures w14:val="none"/>
        </w:rPr>
        <w:t xml:space="preserve">No se identifican evidencias de deterioro en la capacidad de pago, incumplimiento de obligaciones, insuficiencia de garantías o factores que afecten la recuperación de los créditos; las garantías prendarias conservan su eficacia jurídica según la Gerencia Legal y el crédito hipotecario se encuentra respaldado por el inmueble otorgado en garantía. De conformidad con la NCB-022, la situación analizada no constituye por sí misma una causal de reclasificación de la categoría de riesgo crediticio. No obstante, la detención provisional reportada podría afectar la fuente de ingresos del asociado, por lo que la atención de las obligaciones depende actualmente de los fondos de la cuenta Premium. </w:t>
      </w:r>
      <w:r w:rsidRPr="0086776C">
        <w:rPr>
          <w:rFonts w:ascii="Arial" w:eastAsia="Times New Roman" w:hAnsi="Arial" w:cs="Arial"/>
          <w:b/>
          <w:bCs/>
          <w:kern w:val="0"/>
          <w:lang w:eastAsia="es-SV"/>
          <w14:ligatures w14:val="none"/>
        </w:rPr>
        <w:t xml:space="preserve">Nivel de riesgo: Medio.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liquidez: </w:t>
      </w:r>
      <w:r w:rsidRPr="00F56F59">
        <w:rPr>
          <w:rFonts w:ascii="Arial" w:eastAsia="Times New Roman" w:hAnsi="Arial" w:cs="Arial"/>
          <w:kern w:val="0"/>
          <w:lang w:eastAsia="es-SV"/>
          <w14:ligatures w14:val="none"/>
        </w:rPr>
        <w:t xml:space="preserve">Existe la posibilidad de movimientos extraordinarios o solicitudes de retiro relevantes derivadas de la situación del asociado; sin embargo, actualmente no se observa afectación material para la Institución. </w:t>
      </w:r>
      <w:r w:rsidRPr="0086776C">
        <w:rPr>
          <w:rFonts w:ascii="Arial" w:eastAsia="Times New Roman" w:hAnsi="Arial" w:cs="Arial"/>
          <w:b/>
          <w:bCs/>
          <w:kern w:val="0"/>
          <w:lang w:eastAsia="es-SV"/>
          <w14:ligatures w14:val="none"/>
        </w:rPr>
        <w:t xml:space="preserve">Nivel de riesgo: Medio.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reputacional: </w:t>
      </w:r>
      <w:r w:rsidRPr="00F56F59">
        <w:rPr>
          <w:rFonts w:ascii="Arial" w:eastAsia="Times New Roman" w:hAnsi="Arial" w:cs="Arial"/>
          <w:kern w:val="0"/>
          <w:lang w:eastAsia="es-SV"/>
          <w14:ligatures w14:val="none"/>
        </w:rPr>
        <w:t xml:space="preserve">La vinculación pública del asociado con un proceso penal por narcotráfico, agrupaciones ilícitas y cohecho, difundida en medios de comunicación nacionales, genera una exposición reputacional relevante para la Institución y demanda monitoreo constante. </w:t>
      </w:r>
      <w:r w:rsidRPr="0086776C">
        <w:rPr>
          <w:rFonts w:ascii="Arial" w:eastAsia="Times New Roman" w:hAnsi="Arial" w:cs="Arial"/>
          <w:b/>
          <w:bCs/>
          <w:kern w:val="0"/>
          <w:lang w:eastAsia="es-SV"/>
          <w14:ligatures w14:val="none"/>
        </w:rPr>
        <w:t xml:space="preserve">Nivel de riesgo: 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legal y operacional: </w:t>
      </w:r>
      <w:r w:rsidRPr="00F56F59">
        <w:rPr>
          <w:rFonts w:ascii="Arial" w:eastAsia="Times New Roman" w:hAnsi="Arial" w:cs="Arial"/>
          <w:kern w:val="0"/>
          <w:lang w:eastAsia="es-SV"/>
          <w14:ligatures w14:val="none"/>
        </w:rPr>
        <w:t xml:space="preserve">La aplicación de restricciones sobre los fondos sin orden de autoridad competente podría generar contingencias legales para la Institución. Asimismo, los bienes dados en garantía prendaria e hipotecaria podrían verse afectados en caso de decretarse anotaciones preventivas, secuestro, decomiso o extinción de dominio, en cuyo caso la Institución deberá acatar la medida de forma inmediata y salvaguardar su derecho preferente. En el ámbito operativo, existe riesgo de errores en la ejecución de instrucciones o aplicación indebida de restricciones, considerando que la reserva interna no constituye una restricción legal. </w:t>
      </w:r>
      <w:r w:rsidRPr="0086776C">
        <w:rPr>
          <w:rFonts w:ascii="Arial" w:eastAsia="Times New Roman" w:hAnsi="Arial" w:cs="Arial"/>
          <w:b/>
          <w:bCs/>
          <w:kern w:val="0"/>
          <w:lang w:eastAsia="es-SV"/>
          <w14:ligatures w14:val="none"/>
        </w:rPr>
        <w:t xml:space="preserve">Nivel de riesgo: 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lavado de dinero: </w:t>
      </w:r>
      <w:r w:rsidRPr="00F56F59">
        <w:rPr>
          <w:rFonts w:ascii="Arial" w:eastAsia="Times New Roman" w:hAnsi="Arial" w:cs="Arial"/>
          <w:kern w:val="0"/>
          <w:lang w:eastAsia="es-SV"/>
          <w14:ligatures w14:val="none"/>
        </w:rPr>
        <w:t xml:space="preserve">Los delitos imputados en el proceso público (tráfico ilícito de drogas, agrupaciones ilícitas y cohecho) constituyen delitos precedentes de lavado de dinero y activos. La Oficialía de Cumplimiento mantiene al asociado con perfil Medio-Alto, sujeto a revisión posterior; en consecuencia, se requiere debida diligencia reforzada, verificación del origen de los fondos de la cuenta Premium y evaluación, conforme a criterio de dicha área, de la pertinencia de un Reporte de Operación Sospechosa ante la UIF. </w:t>
      </w:r>
      <w:r w:rsidRPr="0086776C">
        <w:rPr>
          <w:rFonts w:ascii="Arial" w:eastAsia="Times New Roman" w:hAnsi="Arial" w:cs="Arial"/>
          <w:b/>
          <w:bCs/>
          <w:kern w:val="0"/>
          <w:lang w:eastAsia="es-SV"/>
          <w14:ligatures w14:val="none"/>
        </w:rPr>
        <w:t xml:space="preserve">Nivel de riesgo: Medio-Alto.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CONCLUSION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 la evaluación integral realizada se concluye lo siguiente:</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No existe impedimento legal para la utilización de los fondos de la cuenta de Ahorro Premium, ni elementos que justifiquen su inmovilización o restricción unilateral, criterio coincidente con la opinión de la Gerencia Legal y de Cumplimiento Normativo.</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Los tres créditos (dos prendarios y uno hipotecario) mantienen un comportamiento normal de pago y, según la Gerencia Legal, las garantías prendarias no presentan afectaciones registrales a la fecha.</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Conforme a la NCB-022, no se identifican fundamentos técnicos que sustenten una reclasificación de la categoría de riesgo crediticio del asociado.</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Se observa una mayor exposición en materia reputacional, legal, operacional y de lavado de dinero, derivada del proceso penal en curso de conocimiento público; la Oficialía de Cumplimiento mantiene un perfil Medio-Alto, sujeto a revisión.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Existen elementos mitigantes como el comportamiento de pago al día, las garantías prendarias e hipotecaria vigentes y el respaldo de los fondos de la cuenta Premium, los cuales deben ser considerados en conjunto con los riesgos identificados. En virtud de lo anterior, resulta razonable mantener la reserva interna aprobada por el Consejo de Administración como mecanismo preventivo de monitoreo reforzado y control institucional.</w:t>
      </w: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RECOMENDACIÓN: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Derivado del resultado del análisis y de las opiniones emitidas por las áreas involucradas, consideramos que el Consejo de Administración, como medida mitigante de riesgo, evalúe lo siguiente: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Departamento de Administración de Riesgos: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la categoría de riesgo crediticio actual del asociado, por no existir deterioro financiero conforme a la NCB-022, e incorporar el caso dentro de los esquemas de monitoreo reforzado institucional, en coordinación permanente con la 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la reserva interna como medida preventiva de monitoreo y seguimiento, y permitir la utilización de los fondos de la cuenta Premium para el pago de las obligaciones crediticias vigentes, de conformidad con las autorizaciones contractuales aplicables.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Reevaluar el perfil de riesgo cuando existan cambios materiales en la capacidad de pago, comportamiento crediticio o garantías, o cuando se emita una medida formal por autoridad competente.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Gerencia Legal y de Cumplimiento Normativo: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No inmovilizar, compensar, retener ni restringir de forma unilateral los fondos de la cuenta de Ahorro Premium mientras no exista orden de autoridad competente o causal legal expresamente aplicable.</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Acatar la instrucción del Consejo de Administración mediante la constitución de la reserva interna de monitoreo y seguimiento reforzado sobre los haberes del asociado.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Realizar consultas periódicas en el Registro Público de Vehículos Automotores, en el Registro de la Propiedad Raíz e Hipotecas del CNR y demás fuentes disponibles, para identificar oportunamente cualquier medida que afecte los bienes dados en garantía o los derechos crediticios de COMÉDICA DE R.L.</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En caso de notificarse una medida judicial, fiscal o administrativa que afecte los bienes, derechos o haberes del asociado, proceder de inmediato a su cumplimiento y adoptar las acciones necesarias para salvaguardar los intereses de la Institución.</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Mientras no exista incumplimiento contractual, afectación registral de las garantías o notificación oficial de medidas, no se advierte la necesidad de promover acciones legales adicionales.</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el perfil de riesgo del asociado en Medio-Alto y efectuar la revisión posterior prevista, valorando su reclasificación conforme a la normativa de prevención de lavado de dinero y financiamiento al terrorismo.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Confirmar la identidad del asociado frente a la información pública (descartar homonimia), aplicar debida diligencia reforzada y validar el origen de los fondos de la cuenta Premium.</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Evaluar, dentro del ámbito de sus competencias, la pertinencia de un Reporte de Operación Sospechosa ante la UIF.</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Departamento de Soluciones Financieras: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Solicitar a la Gerencia Legal y de Cumplimiento Normativo ampliar su opinión jurídica sobre la garantía hipotecaria, verificando su vigencia e inscripción y que no existan anotaciones o restricciones registrales sobre el inmueble.</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monitoreo permanente y reforzado del comportamiento de pago de los tres créditos (dos prendarios y uno hipotecario), informando oportunamente cualquier deterioro en la capacidad de cumplimiento del asociado.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Verificar y actualizar los beneficiarios designados en la cuenta de Ahorro Premium y la información del expediente.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Alertas institucionales a mantener activas: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reputacional: </w:t>
      </w:r>
      <w:r w:rsidRPr="00F56F59">
        <w:rPr>
          <w:rFonts w:ascii="Arial" w:eastAsia="Times New Roman" w:hAnsi="Arial" w:cs="Arial"/>
          <w:kern w:val="0"/>
          <w:lang w:eastAsia="es-SV"/>
          <w14:ligatures w14:val="none"/>
        </w:rPr>
        <w:t xml:space="preserve">seguimiento permanente de información pública y del avance del proceso penal relacionado con el asociado.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cumplimiento: </w:t>
      </w:r>
      <w:r w:rsidRPr="00F56F59">
        <w:rPr>
          <w:rFonts w:ascii="Arial" w:eastAsia="Times New Roman" w:hAnsi="Arial" w:cs="Arial"/>
          <w:kern w:val="0"/>
          <w:lang w:eastAsia="es-SV"/>
          <w14:ligatures w14:val="none"/>
        </w:rPr>
        <w:t xml:space="preserve">debida diligencia reforzada y monitoreo de operaciones relevantes por parte de la 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control sobre la cuenta de Ahorro Premium: </w:t>
      </w:r>
      <w:r w:rsidRPr="00F56F59">
        <w:rPr>
          <w:rFonts w:ascii="Arial" w:eastAsia="Times New Roman" w:hAnsi="Arial" w:cs="Arial"/>
          <w:kern w:val="0"/>
          <w:lang w:eastAsia="es-SV"/>
          <w14:ligatures w14:val="none"/>
        </w:rPr>
        <w:t xml:space="preserve">toda solicitud de cancelación anticipada, retiro extraordinario o transacción que se aparte del comportamiento histórico deberá ser revisada previamente por Riesgos, Cumplimiento y la Gerencia Legal antes de su ejecución.</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garantías: </w:t>
      </w:r>
      <w:r w:rsidRPr="00F56F59">
        <w:rPr>
          <w:rFonts w:ascii="Arial" w:eastAsia="Times New Roman" w:hAnsi="Arial" w:cs="Arial"/>
          <w:kern w:val="0"/>
          <w:lang w:eastAsia="es-SV"/>
          <w14:ligatures w14:val="none"/>
        </w:rPr>
        <w:t xml:space="preserve">consulta periódica en el Registro Público de Vehículos Automotores y en el Registro de la Propiedad Raíz e Hipotecas del CNR para detectar anotaciones preventivas, medidas cautelares, secuestro, embargo o decomiso sobre los bienes dados en prenda e hipoteca.</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crediticia: </w:t>
      </w:r>
      <w:r w:rsidRPr="00F56F59">
        <w:rPr>
          <w:rFonts w:ascii="Arial" w:eastAsia="Times New Roman" w:hAnsi="Arial" w:cs="Arial"/>
          <w:kern w:val="0"/>
          <w:lang w:eastAsia="es-SV"/>
          <w14:ligatures w14:val="none"/>
        </w:rPr>
        <w:t xml:space="preserve">monitoreo reforzado del comportamiento de pago de los tres créditos (dos prendarios y uno hipotecario).</w:t>
      </w:r>
    </w:p>
    <w:p w14:paraId="791CE04E" w14:textId="0716619A" w:rsidR="00406F50" w:rsidRPr="00406F50" w:rsidRDefault="005017B6" w:rsidP="00406F50">
      <w:pPr>
        <w:keepNext/>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actualización de expediente: </w:t>
      </w:r>
      <w:r w:rsidRPr="00F56F59">
        <w:rPr>
          <w:rFonts w:ascii="Arial" w:eastAsia="Times New Roman" w:hAnsi="Arial" w:cs="Arial"/>
          <w:kern w:val="0"/>
          <w:lang w:eastAsia="es-SV"/>
          <w14:ligatures w14:val="none"/>
        </w:rPr>
        <w:t xml:space="preserve">validación periódica de la información financiera, económica y de beneficiarios del asociado.</w:t>
      </w: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Atentamente,</w:t>
      </w: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7606AA61" w14:textId="3A07DC53" w:rsidR="00C778CA" w:rsidRDefault="00C778CA" w:rsidP="00123BB1">
      <w:pPr>
        <w:keepNext/>
        <w:jc w:val="both"/>
        <w:rPr>
          <w:rFonts w:ascii="Arial" w:hAnsi="Arial" w:cs="Arial"/>
        </w:rPr>
      </w:pPr>
      <w:r w:rsidRPr="00F56F59">
        <w:rPr>
          <w:rFonts w:ascii="Arial" w:eastAsia="Times New Roman" w:hAnsi="Arial" w:cs="Arial"/>
          <w:kern w:val="0"/>
          <w:lang w:eastAsia="es-SV"/>
          <w14:ligatures w14:val="none"/>
        </w:rPr>
        <w:t xml:space="preserve">Lic. Henrry Daniel Escamilla</w:t>
      </w:r>
    </w:p>
    <w:p w14:paraId="7606AA61" w14:textId="3A07DC53" w:rsidR="00C778CA" w:rsidRDefault="00C778CA" w:rsidP="00123BB1">
      <w:pPr>
        <w:jc w:val="both"/>
        <w:rPr>
          <w:rFonts w:ascii="Arial" w:hAnsi="Arial" w:cs="Arial"/>
        </w:rPr>
      </w:pPr>
      <w:r w:rsidRPr="00F56F59">
        <w:rPr>
          <w:rFonts w:ascii="Arial" w:eastAsia="Times New Roman" w:hAnsi="Arial" w:cs="Arial"/>
          <w:kern w:val="0"/>
          <w:lang w:eastAsia="es-SV"/>
          <w14:ligatures w14:val="none"/>
        </w:rPr>
        <w:t xml:space="preserve">Jefe Administración de Riesgos</w:t>
      </w:r>
    </w:p>
    <w:sectPr w:rsidR="00C778CA" w:rsidRPr="00536C1E" w:rsidSect="00536C1E">
      <w:footerReference w:type="default" r:id="rId7"/>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3DE80" w14:textId="77777777" w:rsidR="00012000" w:rsidRDefault="00012000" w:rsidP="00123BB1">
      <w:r>
        <w:separator/>
      </w:r>
    </w:p>
  </w:endnote>
  <w:endnote w:type="continuationSeparator" w:id="0">
    <w:p w14:paraId="15C6EF06" w14:textId="77777777" w:rsidR="00012000" w:rsidRDefault="00012000" w:rsidP="00123B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8201581"/>
      <w:docPartObj>
        <w:docPartGallery w:val="Page Numbers (Bottom of Page)"/>
        <w:docPartUnique/>
      </w:docPartObj>
    </w:sdtPr>
    <w:sdtEndPr/>
    <w:sdtContent>
      <w:p w14:paraId="2B053281" w14:textId="6D8D54A3" w:rsidR="00123BB1" w:rsidRDefault="00123BB1">
        <w:pPr>
          <w:pStyle w:val="Piedepgina"/>
          <w:jc w:val="center"/>
        </w:pPr>
        <w:r>
          <w:fldChar w:fldCharType="begin"/>
        </w:r>
        <w:r>
          <w:instrText>PAGE   \* MERGEFORMAT</w:instrText>
        </w:r>
        <w:r>
          <w:fldChar w:fldCharType="separate"/>
        </w:r>
        <w:r>
          <w:rPr>
            <w:lang w:val="es-ES"/>
          </w:rPr>
          <w:t>2</w:t>
        </w:r>
        <w:r>
          <w:fldChar w:fldCharType="end"/>
        </w:r>
      </w:p>
    </w:sdtContent>
  </w:sdt>
  <w:p w14:paraId="6F09EF28" w14:textId="77777777" w:rsidR="00123BB1" w:rsidRDefault="00123B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A9899" w14:textId="77777777" w:rsidR="00012000" w:rsidRDefault="00012000" w:rsidP="00123BB1">
      <w:r>
        <w:separator/>
      </w:r>
    </w:p>
  </w:footnote>
  <w:footnote w:type="continuationSeparator" w:id="0">
    <w:p w14:paraId="3E32A2FC" w14:textId="77777777" w:rsidR="00012000" w:rsidRDefault="00012000" w:rsidP="00123B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B184C"/>
    <w:multiLevelType w:val="hybridMultilevel"/>
    <w:tmpl w:val="A6489248"/>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F8E635A"/>
    <w:multiLevelType w:val="hybridMultilevel"/>
    <w:tmpl w:val="84005728"/>
    <w:lvl w:ilvl="0" w:tplc="440A0001">
      <w:start w:val="1"/>
      <w:numFmt w:val="bullet"/>
      <w:lvlText w:val=""/>
      <w:lvlJc w:val="left"/>
      <w:pPr>
        <w:ind w:left="360" w:hanging="360"/>
      </w:pPr>
      <w:rPr>
        <w:rFonts w:ascii="Symbol" w:hAnsi="Symbol" w:hint="default"/>
      </w:rPr>
    </w:lvl>
    <w:lvl w:ilvl="1" w:tplc="440A0003" w:tentative="1">
      <w:start w:val="1"/>
      <w:numFmt w:val="bullet"/>
      <w:lvlText w:val="o"/>
      <w:lvlJc w:val="left"/>
      <w:pPr>
        <w:ind w:left="1080" w:hanging="360"/>
      </w:pPr>
      <w:rPr>
        <w:rFonts w:ascii="Courier New" w:hAnsi="Courier New" w:cs="Courier New" w:hint="default"/>
      </w:rPr>
    </w:lvl>
    <w:lvl w:ilvl="2" w:tplc="440A0005" w:tentative="1">
      <w:start w:val="1"/>
      <w:numFmt w:val="bullet"/>
      <w:lvlText w:val=""/>
      <w:lvlJc w:val="left"/>
      <w:pPr>
        <w:ind w:left="1800" w:hanging="360"/>
      </w:pPr>
      <w:rPr>
        <w:rFonts w:ascii="Wingdings" w:hAnsi="Wingdings" w:hint="default"/>
      </w:rPr>
    </w:lvl>
    <w:lvl w:ilvl="3" w:tplc="440A0001" w:tentative="1">
      <w:start w:val="1"/>
      <w:numFmt w:val="bullet"/>
      <w:lvlText w:val=""/>
      <w:lvlJc w:val="left"/>
      <w:pPr>
        <w:ind w:left="2520" w:hanging="360"/>
      </w:pPr>
      <w:rPr>
        <w:rFonts w:ascii="Symbol" w:hAnsi="Symbol" w:hint="default"/>
      </w:rPr>
    </w:lvl>
    <w:lvl w:ilvl="4" w:tplc="440A0003" w:tentative="1">
      <w:start w:val="1"/>
      <w:numFmt w:val="bullet"/>
      <w:lvlText w:val="o"/>
      <w:lvlJc w:val="left"/>
      <w:pPr>
        <w:ind w:left="3240" w:hanging="360"/>
      </w:pPr>
      <w:rPr>
        <w:rFonts w:ascii="Courier New" w:hAnsi="Courier New" w:cs="Courier New" w:hint="default"/>
      </w:rPr>
    </w:lvl>
    <w:lvl w:ilvl="5" w:tplc="440A0005" w:tentative="1">
      <w:start w:val="1"/>
      <w:numFmt w:val="bullet"/>
      <w:lvlText w:val=""/>
      <w:lvlJc w:val="left"/>
      <w:pPr>
        <w:ind w:left="3960" w:hanging="360"/>
      </w:pPr>
      <w:rPr>
        <w:rFonts w:ascii="Wingdings" w:hAnsi="Wingdings" w:hint="default"/>
      </w:rPr>
    </w:lvl>
    <w:lvl w:ilvl="6" w:tplc="440A0001" w:tentative="1">
      <w:start w:val="1"/>
      <w:numFmt w:val="bullet"/>
      <w:lvlText w:val=""/>
      <w:lvlJc w:val="left"/>
      <w:pPr>
        <w:ind w:left="4680" w:hanging="360"/>
      </w:pPr>
      <w:rPr>
        <w:rFonts w:ascii="Symbol" w:hAnsi="Symbol" w:hint="default"/>
      </w:rPr>
    </w:lvl>
    <w:lvl w:ilvl="7" w:tplc="440A0003" w:tentative="1">
      <w:start w:val="1"/>
      <w:numFmt w:val="bullet"/>
      <w:lvlText w:val="o"/>
      <w:lvlJc w:val="left"/>
      <w:pPr>
        <w:ind w:left="5400" w:hanging="360"/>
      </w:pPr>
      <w:rPr>
        <w:rFonts w:ascii="Courier New" w:hAnsi="Courier New" w:cs="Courier New" w:hint="default"/>
      </w:rPr>
    </w:lvl>
    <w:lvl w:ilvl="8" w:tplc="440A0005" w:tentative="1">
      <w:start w:val="1"/>
      <w:numFmt w:val="bullet"/>
      <w:lvlText w:val=""/>
      <w:lvlJc w:val="left"/>
      <w:pPr>
        <w:ind w:left="6120" w:hanging="360"/>
      </w:pPr>
      <w:rPr>
        <w:rFonts w:ascii="Wingdings" w:hAnsi="Wingdings" w:hint="default"/>
      </w:rPr>
    </w:lvl>
  </w:abstractNum>
  <w:abstractNum w:abstractNumId="2" w15:restartNumberingAfterBreak="0">
    <w:nsid w:val="107E73E5"/>
    <w:multiLevelType w:val="hybridMultilevel"/>
    <w:tmpl w:val="EE968818"/>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4A00566"/>
    <w:multiLevelType w:val="hybridMultilevel"/>
    <w:tmpl w:val="927E7EF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4" w15:restartNumberingAfterBreak="0">
    <w:nsid w:val="19CB3FDD"/>
    <w:multiLevelType w:val="multilevel"/>
    <w:tmpl w:val="7CEABD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C286409"/>
    <w:multiLevelType w:val="hybridMultilevel"/>
    <w:tmpl w:val="E822E5D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1C7B4512"/>
    <w:multiLevelType w:val="hybridMultilevel"/>
    <w:tmpl w:val="F61675B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23465ADF"/>
    <w:multiLevelType w:val="multilevel"/>
    <w:tmpl w:val="F0429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A1304"/>
    <w:multiLevelType w:val="hybridMultilevel"/>
    <w:tmpl w:val="4B9ADE44"/>
    <w:lvl w:ilvl="0" w:tplc="440A0001">
      <w:start w:val="1"/>
      <w:numFmt w:val="bullet"/>
      <w:lvlText w:val=""/>
      <w:lvlJc w:val="left"/>
      <w:pPr>
        <w:ind w:left="1440" w:hanging="360"/>
      </w:pPr>
      <w:rPr>
        <w:rFonts w:ascii="Symbol" w:hAnsi="Symbol" w:hint="default"/>
      </w:rPr>
    </w:lvl>
    <w:lvl w:ilvl="1" w:tplc="440A0003" w:tentative="1">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abstractNum w:abstractNumId="9" w15:restartNumberingAfterBreak="0">
    <w:nsid w:val="35331B93"/>
    <w:multiLevelType w:val="multilevel"/>
    <w:tmpl w:val="21AE9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445DFE"/>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3CA4233A"/>
    <w:multiLevelType w:val="hybridMultilevel"/>
    <w:tmpl w:val="A74C984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414776F2"/>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71E1912"/>
    <w:multiLevelType w:val="multilevel"/>
    <w:tmpl w:val="DAAA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A7A95"/>
    <w:multiLevelType w:val="multilevel"/>
    <w:tmpl w:val="DEF4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892E10"/>
    <w:multiLevelType w:val="multilevel"/>
    <w:tmpl w:val="D6643D5E"/>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690FB6"/>
    <w:multiLevelType w:val="hybridMultilevel"/>
    <w:tmpl w:val="084C99E0"/>
    <w:lvl w:ilvl="0" w:tplc="D674DD9E">
      <w:start w:val="1"/>
      <w:numFmt w:val="lowerLetter"/>
      <w:lvlText w:val="%1)"/>
      <w:lvlJc w:val="left"/>
      <w:pPr>
        <w:ind w:left="1080" w:hanging="360"/>
      </w:pPr>
      <w:rPr>
        <w:b/>
        <w:bCs/>
      </w:rPr>
    </w:lvl>
    <w:lvl w:ilvl="1" w:tplc="440A0019" w:tentative="1">
      <w:start w:val="1"/>
      <w:numFmt w:val="lowerLetter"/>
      <w:lvlText w:val="%2."/>
      <w:lvlJc w:val="left"/>
      <w:pPr>
        <w:ind w:left="1800" w:hanging="360"/>
      </w:pPr>
    </w:lvl>
    <w:lvl w:ilvl="2" w:tplc="440A001B" w:tentative="1">
      <w:start w:val="1"/>
      <w:numFmt w:val="lowerRoman"/>
      <w:lvlText w:val="%3."/>
      <w:lvlJc w:val="right"/>
      <w:pPr>
        <w:ind w:left="2520" w:hanging="180"/>
      </w:pPr>
    </w:lvl>
    <w:lvl w:ilvl="3" w:tplc="440A000F" w:tentative="1">
      <w:start w:val="1"/>
      <w:numFmt w:val="decimal"/>
      <w:lvlText w:val="%4."/>
      <w:lvlJc w:val="left"/>
      <w:pPr>
        <w:ind w:left="3240" w:hanging="360"/>
      </w:pPr>
    </w:lvl>
    <w:lvl w:ilvl="4" w:tplc="440A0019" w:tentative="1">
      <w:start w:val="1"/>
      <w:numFmt w:val="lowerLetter"/>
      <w:lvlText w:val="%5."/>
      <w:lvlJc w:val="left"/>
      <w:pPr>
        <w:ind w:left="3960" w:hanging="360"/>
      </w:pPr>
    </w:lvl>
    <w:lvl w:ilvl="5" w:tplc="440A001B" w:tentative="1">
      <w:start w:val="1"/>
      <w:numFmt w:val="lowerRoman"/>
      <w:lvlText w:val="%6."/>
      <w:lvlJc w:val="right"/>
      <w:pPr>
        <w:ind w:left="4680" w:hanging="180"/>
      </w:pPr>
    </w:lvl>
    <w:lvl w:ilvl="6" w:tplc="440A000F" w:tentative="1">
      <w:start w:val="1"/>
      <w:numFmt w:val="decimal"/>
      <w:lvlText w:val="%7."/>
      <w:lvlJc w:val="left"/>
      <w:pPr>
        <w:ind w:left="5400" w:hanging="360"/>
      </w:pPr>
    </w:lvl>
    <w:lvl w:ilvl="7" w:tplc="440A0019" w:tentative="1">
      <w:start w:val="1"/>
      <w:numFmt w:val="lowerLetter"/>
      <w:lvlText w:val="%8."/>
      <w:lvlJc w:val="left"/>
      <w:pPr>
        <w:ind w:left="6120" w:hanging="360"/>
      </w:pPr>
    </w:lvl>
    <w:lvl w:ilvl="8" w:tplc="440A001B" w:tentative="1">
      <w:start w:val="1"/>
      <w:numFmt w:val="lowerRoman"/>
      <w:lvlText w:val="%9."/>
      <w:lvlJc w:val="right"/>
      <w:pPr>
        <w:ind w:left="6840" w:hanging="180"/>
      </w:pPr>
    </w:lvl>
  </w:abstractNum>
  <w:abstractNum w:abstractNumId="17" w15:restartNumberingAfterBreak="0">
    <w:nsid w:val="4F0A7208"/>
    <w:multiLevelType w:val="multilevel"/>
    <w:tmpl w:val="EB90851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52AD76B7"/>
    <w:multiLevelType w:val="hybridMultilevel"/>
    <w:tmpl w:val="D0B8C682"/>
    <w:lvl w:ilvl="0" w:tplc="4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8340B7F"/>
    <w:multiLevelType w:val="hybridMultilevel"/>
    <w:tmpl w:val="D89A306C"/>
    <w:lvl w:ilvl="0" w:tplc="440A0017">
      <w:start w:val="1"/>
      <w:numFmt w:val="lowerLetter"/>
      <w:lvlText w:val="%1)"/>
      <w:lvlJc w:val="left"/>
      <w:pPr>
        <w:ind w:left="1440" w:hanging="360"/>
      </w:pPr>
    </w:lvl>
    <w:lvl w:ilvl="1" w:tplc="440A0019" w:tentative="1">
      <w:start w:val="1"/>
      <w:numFmt w:val="lowerLetter"/>
      <w:lvlText w:val="%2."/>
      <w:lvlJc w:val="left"/>
      <w:pPr>
        <w:ind w:left="2160" w:hanging="360"/>
      </w:pPr>
    </w:lvl>
    <w:lvl w:ilvl="2" w:tplc="440A001B" w:tentative="1">
      <w:start w:val="1"/>
      <w:numFmt w:val="lowerRoman"/>
      <w:lvlText w:val="%3."/>
      <w:lvlJc w:val="right"/>
      <w:pPr>
        <w:ind w:left="2880" w:hanging="180"/>
      </w:pPr>
    </w:lvl>
    <w:lvl w:ilvl="3" w:tplc="440A000F" w:tentative="1">
      <w:start w:val="1"/>
      <w:numFmt w:val="decimal"/>
      <w:lvlText w:val="%4."/>
      <w:lvlJc w:val="left"/>
      <w:pPr>
        <w:ind w:left="3600" w:hanging="360"/>
      </w:pPr>
    </w:lvl>
    <w:lvl w:ilvl="4" w:tplc="440A0019" w:tentative="1">
      <w:start w:val="1"/>
      <w:numFmt w:val="lowerLetter"/>
      <w:lvlText w:val="%5."/>
      <w:lvlJc w:val="left"/>
      <w:pPr>
        <w:ind w:left="4320" w:hanging="360"/>
      </w:pPr>
    </w:lvl>
    <w:lvl w:ilvl="5" w:tplc="440A001B" w:tentative="1">
      <w:start w:val="1"/>
      <w:numFmt w:val="lowerRoman"/>
      <w:lvlText w:val="%6."/>
      <w:lvlJc w:val="right"/>
      <w:pPr>
        <w:ind w:left="5040" w:hanging="180"/>
      </w:pPr>
    </w:lvl>
    <w:lvl w:ilvl="6" w:tplc="440A000F" w:tentative="1">
      <w:start w:val="1"/>
      <w:numFmt w:val="decimal"/>
      <w:lvlText w:val="%7."/>
      <w:lvlJc w:val="left"/>
      <w:pPr>
        <w:ind w:left="5760" w:hanging="360"/>
      </w:pPr>
    </w:lvl>
    <w:lvl w:ilvl="7" w:tplc="440A0019" w:tentative="1">
      <w:start w:val="1"/>
      <w:numFmt w:val="lowerLetter"/>
      <w:lvlText w:val="%8."/>
      <w:lvlJc w:val="left"/>
      <w:pPr>
        <w:ind w:left="6480" w:hanging="360"/>
      </w:pPr>
    </w:lvl>
    <w:lvl w:ilvl="8" w:tplc="440A001B" w:tentative="1">
      <w:start w:val="1"/>
      <w:numFmt w:val="lowerRoman"/>
      <w:lvlText w:val="%9."/>
      <w:lvlJc w:val="right"/>
      <w:pPr>
        <w:ind w:left="7200" w:hanging="180"/>
      </w:pPr>
    </w:lvl>
  </w:abstractNum>
  <w:abstractNum w:abstractNumId="20" w15:restartNumberingAfterBreak="0">
    <w:nsid w:val="600D2857"/>
    <w:multiLevelType w:val="hybridMultilevel"/>
    <w:tmpl w:val="BCF0D16C"/>
    <w:lvl w:ilvl="0" w:tplc="440A0001">
      <w:start w:val="1"/>
      <w:numFmt w:val="bullet"/>
      <w:lvlText w:val=""/>
      <w:lvlJc w:val="left"/>
      <w:pPr>
        <w:ind w:left="1440" w:hanging="360"/>
      </w:pPr>
      <w:rPr>
        <w:rFonts w:ascii="Symbol" w:hAnsi="Symbol" w:hint="default"/>
      </w:rPr>
    </w:lvl>
    <w:lvl w:ilvl="1" w:tplc="440A0003" w:tentative="1">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abstractNum w:abstractNumId="21" w15:restartNumberingAfterBreak="0">
    <w:nsid w:val="73FA1290"/>
    <w:multiLevelType w:val="hybridMultilevel"/>
    <w:tmpl w:val="A32EC89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75E77F6E"/>
    <w:multiLevelType w:val="hybridMultilevel"/>
    <w:tmpl w:val="57A24704"/>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3" w15:restartNumberingAfterBreak="0">
    <w:nsid w:val="777D52E9"/>
    <w:multiLevelType w:val="multilevel"/>
    <w:tmpl w:val="DDFCC1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9370187"/>
    <w:multiLevelType w:val="hybridMultilevel"/>
    <w:tmpl w:val="8E62D4E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5" w15:restartNumberingAfterBreak="0">
    <w:nsid w:val="7AB11AA4"/>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776483644">
    <w:abstractNumId w:val="4"/>
  </w:num>
  <w:num w:numId="2" w16cid:durableId="463734458">
    <w:abstractNumId w:val="14"/>
  </w:num>
  <w:num w:numId="3" w16cid:durableId="1085999740">
    <w:abstractNumId w:val="9"/>
  </w:num>
  <w:num w:numId="4" w16cid:durableId="1141730356">
    <w:abstractNumId w:val="23"/>
  </w:num>
  <w:num w:numId="5" w16cid:durableId="1511944568">
    <w:abstractNumId w:val="17"/>
  </w:num>
  <w:num w:numId="6" w16cid:durableId="358972711">
    <w:abstractNumId w:val="8"/>
  </w:num>
  <w:num w:numId="7" w16cid:durableId="658928730">
    <w:abstractNumId w:val="18"/>
  </w:num>
  <w:num w:numId="8" w16cid:durableId="1477647924">
    <w:abstractNumId w:val="15"/>
  </w:num>
  <w:num w:numId="9" w16cid:durableId="1785227035">
    <w:abstractNumId w:val="12"/>
  </w:num>
  <w:num w:numId="10" w16cid:durableId="9332520">
    <w:abstractNumId w:val="10"/>
  </w:num>
  <w:num w:numId="11" w16cid:durableId="458841073">
    <w:abstractNumId w:val="0"/>
  </w:num>
  <w:num w:numId="12" w16cid:durableId="2026636124">
    <w:abstractNumId w:val="2"/>
  </w:num>
  <w:num w:numId="13" w16cid:durableId="699548042">
    <w:abstractNumId w:val="22"/>
  </w:num>
  <w:num w:numId="14" w16cid:durableId="2125078215">
    <w:abstractNumId w:val="25"/>
  </w:num>
  <w:num w:numId="15" w16cid:durableId="1787039965">
    <w:abstractNumId w:val="1"/>
  </w:num>
  <w:num w:numId="16" w16cid:durableId="1374159436">
    <w:abstractNumId w:val="11"/>
  </w:num>
  <w:num w:numId="17" w16cid:durableId="290983678">
    <w:abstractNumId w:val="20"/>
  </w:num>
  <w:num w:numId="18" w16cid:durableId="2060787732">
    <w:abstractNumId w:val="19"/>
  </w:num>
  <w:num w:numId="19" w16cid:durableId="2028674585">
    <w:abstractNumId w:val="16"/>
  </w:num>
  <w:num w:numId="20" w16cid:durableId="1634671438">
    <w:abstractNumId w:val="7"/>
  </w:num>
  <w:num w:numId="21" w16cid:durableId="589197882">
    <w:abstractNumId w:val="21"/>
  </w:num>
  <w:num w:numId="22" w16cid:durableId="716273271">
    <w:abstractNumId w:val="3"/>
  </w:num>
  <w:num w:numId="23" w16cid:durableId="844636095">
    <w:abstractNumId w:val="5"/>
  </w:num>
  <w:num w:numId="24" w16cid:durableId="1791434123">
    <w:abstractNumId w:val="6"/>
  </w:num>
  <w:num w:numId="25" w16cid:durableId="1305356586">
    <w:abstractNumId w:val="24"/>
  </w:num>
  <w:num w:numId="26" w16cid:durableId="18044690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C1E"/>
    <w:rsid w:val="00012000"/>
    <w:rsid w:val="000215B4"/>
    <w:rsid w:val="000A0749"/>
    <w:rsid w:val="00123BB1"/>
    <w:rsid w:val="0015309C"/>
    <w:rsid w:val="00156C52"/>
    <w:rsid w:val="001B754B"/>
    <w:rsid w:val="001F5D1B"/>
    <w:rsid w:val="00204317"/>
    <w:rsid w:val="00240342"/>
    <w:rsid w:val="002416D3"/>
    <w:rsid w:val="002E27D7"/>
    <w:rsid w:val="003C5C98"/>
    <w:rsid w:val="003F254B"/>
    <w:rsid w:val="00404B8A"/>
    <w:rsid w:val="00404E18"/>
    <w:rsid w:val="00406F50"/>
    <w:rsid w:val="004C0EFF"/>
    <w:rsid w:val="004E4676"/>
    <w:rsid w:val="005017B6"/>
    <w:rsid w:val="00536C1E"/>
    <w:rsid w:val="005534EE"/>
    <w:rsid w:val="00575136"/>
    <w:rsid w:val="005B6DA2"/>
    <w:rsid w:val="00611D31"/>
    <w:rsid w:val="006C6812"/>
    <w:rsid w:val="006D5FFC"/>
    <w:rsid w:val="006F0F11"/>
    <w:rsid w:val="00750ADB"/>
    <w:rsid w:val="007512E0"/>
    <w:rsid w:val="008529E5"/>
    <w:rsid w:val="0086776C"/>
    <w:rsid w:val="0088384E"/>
    <w:rsid w:val="008E26A3"/>
    <w:rsid w:val="008F091F"/>
    <w:rsid w:val="009079A7"/>
    <w:rsid w:val="00911356"/>
    <w:rsid w:val="009155E7"/>
    <w:rsid w:val="00947E96"/>
    <w:rsid w:val="00954B0A"/>
    <w:rsid w:val="00956C9E"/>
    <w:rsid w:val="009572ED"/>
    <w:rsid w:val="0099195C"/>
    <w:rsid w:val="009960F4"/>
    <w:rsid w:val="009B7001"/>
    <w:rsid w:val="009D5CEB"/>
    <w:rsid w:val="009E48C3"/>
    <w:rsid w:val="00A32302"/>
    <w:rsid w:val="00A65B03"/>
    <w:rsid w:val="00A95DC1"/>
    <w:rsid w:val="00A97CAA"/>
    <w:rsid w:val="00AA5F4C"/>
    <w:rsid w:val="00AD1E7A"/>
    <w:rsid w:val="00AD5838"/>
    <w:rsid w:val="00AE4207"/>
    <w:rsid w:val="00AE6AE2"/>
    <w:rsid w:val="00B34F8B"/>
    <w:rsid w:val="00B433C0"/>
    <w:rsid w:val="00B700AD"/>
    <w:rsid w:val="00BD5945"/>
    <w:rsid w:val="00BF18C6"/>
    <w:rsid w:val="00C70D95"/>
    <w:rsid w:val="00C778CA"/>
    <w:rsid w:val="00C84EAC"/>
    <w:rsid w:val="00CB4B73"/>
    <w:rsid w:val="00CB6701"/>
    <w:rsid w:val="00D95C87"/>
    <w:rsid w:val="00DA4001"/>
    <w:rsid w:val="00E24666"/>
    <w:rsid w:val="00E25BB5"/>
    <w:rsid w:val="00E42A6E"/>
    <w:rsid w:val="00E7420D"/>
    <w:rsid w:val="00EB347C"/>
    <w:rsid w:val="00EC490B"/>
    <w:rsid w:val="00F22049"/>
    <w:rsid w:val="00F56F59"/>
    <w:rsid w:val="00F84760"/>
    <w:rsid w:val="00F918F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12E94"/>
  <w15:chartTrackingRefBased/>
  <w15:docId w15:val="{378004E1-291C-4EE2-A130-EC85A4DFE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342"/>
  </w:style>
  <w:style w:type="paragraph" w:styleId="Ttulo1">
    <w:name w:val="heading 1"/>
    <w:basedOn w:val="Normal"/>
    <w:next w:val="Normal"/>
    <w:link w:val="Ttulo1Car"/>
    <w:uiPriority w:val="9"/>
    <w:qFormat/>
    <w:rsid w:val="00536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36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36C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36C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36C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36C1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36C1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36C1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36C1E"/>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36C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36C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36C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36C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36C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36C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36C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36C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36C1E"/>
    <w:rPr>
      <w:rFonts w:eastAsiaTheme="majorEastAsia" w:cstheme="majorBidi"/>
      <w:color w:val="272727" w:themeColor="text1" w:themeTint="D8"/>
    </w:rPr>
  </w:style>
  <w:style w:type="paragraph" w:styleId="Ttulo">
    <w:name w:val="Title"/>
    <w:basedOn w:val="Normal"/>
    <w:next w:val="Normal"/>
    <w:link w:val="TtuloCar"/>
    <w:uiPriority w:val="10"/>
    <w:qFormat/>
    <w:rsid w:val="00536C1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36C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36C1E"/>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36C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36C1E"/>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536C1E"/>
    <w:rPr>
      <w:i/>
      <w:iCs/>
      <w:color w:val="404040" w:themeColor="text1" w:themeTint="BF"/>
    </w:rPr>
  </w:style>
  <w:style w:type="paragraph" w:styleId="Prrafodelista">
    <w:name w:val="List Paragraph"/>
    <w:basedOn w:val="Normal"/>
    <w:uiPriority w:val="34"/>
    <w:qFormat/>
    <w:rsid w:val="00536C1E"/>
    <w:pPr>
      <w:ind w:left="720"/>
      <w:contextualSpacing/>
    </w:pPr>
  </w:style>
  <w:style w:type="character" w:styleId="nfasisintenso">
    <w:name w:val="Intense Emphasis"/>
    <w:basedOn w:val="Fuentedeprrafopredeter"/>
    <w:uiPriority w:val="21"/>
    <w:qFormat/>
    <w:rsid w:val="00536C1E"/>
    <w:rPr>
      <w:i/>
      <w:iCs/>
      <w:color w:val="0F4761" w:themeColor="accent1" w:themeShade="BF"/>
    </w:rPr>
  </w:style>
  <w:style w:type="paragraph" w:styleId="Citadestacada">
    <w:name w:val="Intense Quote"/>
    <w:basedOn w:val="Normal"/>
    <w:next w:val="Normal"/>
    <w:link w:val="CitadestacadaCar"/>
    <w:uiPriority w:val="30"/>
    <w:qFormat/>
    <w:rsid w:val="00536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36C1E"/>
    <w:rPr>
      <w:i/>
      <w:iCs/>
      <w:color w:val="0F4761" w:themeColor="accent1" w:themeShade="BF"/>
    </w:rPr>
  </w:style>
  <w:style w:type="character" w:styleId="Referenciaintensa">
    <w:name w:val="Intense Reference"/>
    <w:basedOn w:val="Fuentedeprrafopredeter"/>
    <w:uiPriority w:val="32"/>
    <w:qFormat/>
    <w:rsid w:val="00536C1E"/>
    <w:rPr>
      <w:b/>
      <w:bCs/>
      <w:smallCaps/>
      <w:color w:val="0F4761" w:themeColor="accent1" w:themeShade="BF"/>
      <w:spacing w:val="5"/>
    </w:rPr>
  </w:style>
  <w:style w:type="paragraph" w:styleId="Encabezado">
    <w:name w:val="header"/>
    <w:basedOn w:val="Normal"/>
    <w:link w:val="EncabezadoCar"/>
    <w:uiPriority w:val="99"/>
    <w:unhideWhenUsed/>
    <w:rsid w:val="00123BB1"/>
    <w:pPr>
      <w:tabs>
        <w:tab w:val="center" w:pos="4419"/>
        <w:tab w:val="right" w:pos="8838"/>
      </w:tabs>
    </w:pPr>
  </w:style>
  <w:style w:type="character" w:customStyle="1" w:styleId="EncabezadoCar">
    <w:name w:val="Encabezado Car"/>
    <w:basedOn w:val="Fuentedeprrafopredeter"/>
    <w:link w:val="Encabezado"/>
    <w:uiPriority w:val="99"/>
    <w:rsid w:val="00123BB1"/>
  </w:style>
  <w:style w:type="paragraph" w:styleId="Piedepgina">
    <w:name w:val="footer"/>
    <w:basedOn w:val="Normal"/>
    <w:link w:val="PiedepginaCar"/>
    <w:uiPriority w:val="99"/>
    <w:unhideWhenUsed/>
    <w:rsid w:val="00123BB1"/>
    <w:pPr>
      <w:tabs>
        <w:tab w:val="center" w:pos="4419"/>
        <w:tab w:val="right" w:pos="8838"/>
      </w:tabs>
    </w:pPr>
  </w:style>
  <w:style w:type="character" w:customStyle="1" w:styleId="PiedepginaCar">
    <w:name w:val="Pie de página Car"/>
    <w:basedOn w:val="Fuentedeprrafopredeter"/>
    <w:link w:val="Piedepgina"/>
    <w:uiPriority w:val="99"/>
    <w:rsid w:val="00123BB1"/>
  </w:style>
  <w:style w:type="paragraph" w:styleId="NormalWeb">
    <w:name w:val="Normal (Web)"/>
    <w:basedOn w:val="Normal"/>
    <w:uiPriority w:val="99"/>
    <w:semiHidden/>
    <w:unhideWhenUsed/>
    <w:rsid w:val="006C6812"/>
    <w:pPr>
      <w:spacing w:before="100" w:beforeAutospacing="1" w:after="100" w:afterAutospacing="1"/>
    </w:pPr>
    <w:rPr>
      <w:rFonts w:ascii="Times New Roman" w:eastAsia="Times New Roman" w:hAnsi="Times New Roman" w:cs="Times New Roman"/>
      <w:kern w:val="0"/>
      <w:lang w:eastAsia="es-SV"/>
      <w14:ligatures w14:val="none"/>
    </w:rPr>
  </w:style>
  <w:style w:type="character" w:styleId="Fuerte">
    <w:name w:val="Strong"/>
    <w:basedOn w:val="Fuentedeprrafopredeter"/>
    <w:uiPriority w:val="22"/>
    <w:qFormat/>
    <w:rsid w:val="006C68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4</Pages>
  <Words>810</Words>
  <Characters>4529</Characters>
  <Application>Microsoft Office Word</Application>
  <DocSecurity>0</DocSecurity>
  <Lines>113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Martinez</dc:creator>
  <cp:keywords/>
  <dc:description/>
  <cp:lastModifiedBy>Silvia Martinez</cp:lastModifiedBy>
  <cp:revision>29</cp:revision>
  <cp:lastPrinted>2026-05-04T22:49:00Z</cp:lastPrinted>
  <dcterms:created xsi:type="dcterms:W3CDTF">2025-12-12T15:55:00Z</dcterms:created>
  <dcterms:modified xsi:type="dcterms:W3CDTF">2026-05-04T22:49:00Z</dcterms:modified>
</cp:coreProperties>
</file>