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5BF8" w14:textId="4066631F" w:rsidR="00536C1E" w:rsidRDefault="00536C1E" w:rsidP="00536C1E">
      <w:pPr>
        <w:spacing w:before="100" w:beforeAutospacing="1" w:after="100" w:afterAutospacing="1" w:line="360" w:lineRule="auto"/>
        <w:jc w:val="right"/>
        <w:outlineLvl w:val="2"/>
        <w:rPr>
          <w:rFonts w:ascii="Arial" w:eastAsia="Times New Roman" w:hAnsi="Arial" w:cs="Arial"/>
          <w:kern w:val="0"/>
          <w:lang w:eastAsia="es-SV"/>
          <w14:ligatures w14:val="none"/>
        </w:rPr>
      </w:pPr>
      <w:r w:rsidRPr="0086776C">
        <w:rPr>
          <w:rFonts w:ascii="Arial" w:eastAsia="Times New Roman" w:hAnsi="Arial" w:cs="Arial"/>
          <w:b/>
          <w:bCs/>
          <w:kern w:val="0"/>
          <w:lang w:eastAsia="es-SV"/>
          <w14:ligatures w14:val="none"/>
        </w:rPr>
        <w:t xml:space="preserve">San Salvador, 09 de octubre 2026</w:t>
      </w:r>
    </w:p>
    <w:p w14:paraId="2E4FF255" w14:textId="4AA9DB2E" w:rsidR="00536C1E" w:rsidRDefault="00536C1E" w:rsidP="00536C1E">
      <w:pPr>
        <w:jc w:val="right"/>
        <w:outlineLvl w:val="2"/>
        <w:rPr>
          <w:rFonts w:ascii="Arial" w:eastAsia="Times New Roman" w:hAnsi="Arial" w:cs="Arial"/>
          <w:b/>
          <w:bCs/>
          <w:kern w:val="0"/>
          <w:lang w:eastAsia="es-SV"/>
          <w14:ligatures w14:val="none"/>
        </w:rPr>
      </w:pPr>
      <w:r w:rsidRPr="0086776C">
        <w:rPr>
          <w:rFonts w:ascii="Arial" w:eastAsia="Times New Roman" w:hAnsi="Arial" w:cs="Arial"/>
          <w:b/>
          <w:bCs/>
          <w:kern w:val="0"/>
          <w:lang w:eastAsia="es-SV"/>
          <w14:ligatures w14:val="none"/>
        </w:rPr>
        <w:t xml:space="preserve">DAR-2026-56</w:t>
      </w:r>
    </w:p>
    <w:p w14:paraId="3E886458" w14:textId="2A60EFAC" w:rsidR="00536C1E" w:rsidRDefault="00536C1E" w:rsidP="00536C1E">
      <w:pPr>
        <w:jc w:val="both"/>
        <w:outlineLvl w:val="2"/>
        <w:rPr>
          <w:rFonts w:ascii="Arial" w:eastAsia="Times New Roman" w:hAnsi="Arial" w:cs="Arial"/>
          <w:b/>
          <w:bCs/>
          <w:kern w:val="0"/>
          <w:lang w:eastAsia="es-SV"/>
          <w14:ligatures w14:val="none"/>
        </w:rPr>
      </w:pPr>
    </w:p>
    <w:p w14:paraId="60BE28CA" w14:textId="28F06BB6" w:rsidR="00536C1E" w:rsidRPr="00536C1E" w:rsidRDefault="00536C1E" w:rsidP="00536C1E">
      <w:pPr>
        <w:jc w:val="both"/>
        <w:outlineLvl w:val="2"/>
        <w:rPr>
          <w:rFonts w:ascii="Arial" w:eastAsia="Times New Roman" w:hAnsi="Arial" w:cs="Arial"/>
          <w:b/>
          <w:bCs/>
          <w:kern w:val="0"/>
          <w:lang w:eastAsia="es-SV"/>
          <w14:ligatures w14:val="none"/>
        </w:rPr>
      </w:pPr>
      <w:r w:rsidRPr="0086776C">
        <w:rPr>
          <w:rFonts w:ascii="Arial" w:eastAsia="Times New Roman" w:hAnsi="Arial" w:cs="Arial"/>
          <w:b/>
          <w:bCs/>
          <w:kern w:val="0"/>
          <w:lang w:eastAsia="es-SV"/>
          <w14:ligatures w14:val="none"/>
        </w:rPr>
        <w:t xml:space="preserve">Doctores</w:t>
      </w:r>
    </w:p>
    <w:p w14:paraId="28E9E74E" w14:textId="5EFE9315" w:rsidR="00536C1E" w:rsidRPr="00536C1E" w:rsidRDefault="00536C1E" w:rsidP="00536C1E">
      <w:pPr>
        <w:jc w:val="both"/>
        <w:outlineLvl w:val="2"/>
        <w:rPr>
          <w:rFonts w:ascii="Arial" w:eastAsia="Times New Roman" w:hAnsi="Arial" w:cs="Arial"/>
          <w:b/>
          <w:bCs/>
          <w:kern w:val="0"/>
          <w:lang w:eastAsia="es-SV"/>
          <w14:ligatures w14:val="none"/>
        </w:rPr>
      </w:pPr>
      <w:r w:rsidRPr="0086776C">
        <w:rPr>
          <w:rFonts w:ascii="Arial" w:eastAsia="Times New Roman" w:hAnsi="Arial" w:cs="Arial"/>
          <w:b/>
          <w:bCs/>
          <w:kern w:val="0"/>
          <w:lang w:eastAsia="es-SV"/>
          <w14:ligatures w14:val="none"/>
        </w:rPr>
        <w:t xml:space="preserve">Miembros del Consejo de Administración</w:t>
      </w:r>
    </w:p>
    <w:p w14:paraId="355AE5CB" w14:textId="3F481EB9" w:rsidR="00536C1E" w:rsidRPr="00536C1E" w:rsidRDefault="00536C1E" w:rsidP="00536C1E">
      <w:pPr>
        <w:jc w:val="both"/>
        <w:outlineLvl w:val="2"/>
        <w:rPr>
          <w:rFonts w:ascii="Arial" w:eastAsia="Times New Roman" w:hAnsi="Arial" w:cs="Arial"/>
          <w:b/>
          <w:bCs/>
          <w:kern w:val="0"/>
          <w:lang w:eastAsia="es-SV"/>
          <w14:ligatures w14:val="none"/>
        </w:rPr>
      </w:pPr>
      <w:r w:rsidRPr="0086776C">
        <w:rPr>
          <w:rFonts w:ascii="Arial" w:eastAsia="Times New Roman" w:hAnsi="Arial" w:cs="Arial"/>
          <w:b/>
          <w:bCs/>
          <w:kern w:val="0"/>
          <w:lang w:eastAsia="es-SV"/>
          <w14:ligatures w14:val="none"/>
        </w:rPr>
        <w:t xml:space="preserve">Presentes</w:t>
      </w:r>
    </w:p>
    <w:p w14:paraId="3E886458" w14:textId="2A60EFAC" w:rsidR="00536C1E" w:rsidRDefault="00536C1E" w:rsidP="00536C1E">
      <w:pPr>
        <w:jc w:val="both"/>
        <w:outlineLvl w:val="2"/>
        <w:rPr>
          <w:rFonts w:ascii="Arial" w:eastAsia="Times New Roman" w:hAnsi="Arial" w:cs="Arial"/>
          <w:b/>
          <w:bCs/>
          <w:kern w:val="0"/>
          <w:lang w:eastAsia="es-SV"/>
          <w14:ligatures w14:val="none"/>
        </w:rPr>
      </w:pPr>
    </w:p>
    <w:p w14:paraId="4FF8A954" w14:textId="7ABC9940" w:rsidR="00F56F59" w:rsidRPr="00F56F59" w:rsidRDefault="00536C1E" w:rsidP="00F56F59">
      <w:pPr>
        <w:spacing w:before="100" w:beforeAutospacing="1" w:after="100" w:afterAutospacing="1"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En cumplimiento del acuerdo CA-2026-08-1161 del Consejo de Administración, mediante el cual se instruyó al Departamento de Administración de Riesgos realizar la recalificación del riesgo del asociado </w:t>
      </w:r>
      <w:r w:rsidRPr="0086776C">
        <w:rPr>
          <w:rFonts w:ascii="Arial" w:eastAsia="Times New Roman" w:hAnsi="Arial" w:cs="Arial"/>
          <w:b/>
          <w:bCs/>
          <w:kern w:val="0"/>
          <w:lang w:eastAsia="es-SV"/>
          <w14:ligatures w14:val="none"/>
        </w:rPr>
        <w:t xml:space="preserve">Jonnathan Jacobo Marroquín</w:t>
      </w:r>
      <w:r w:rsidRPr="00F56F59">
        <w:rPr>
          <w:rFonts w:ascii="Arial" w:eastAsia="Times New Roman" w:hAnsi="Arial" w:cs="Arial"/>
          <w:kern w:val="0"/>
          <w:lang w:eastAsia="es-SV"/>
          <w14:ligatures w14:val="none"/>
        </w:rPr>
        <w:t xml:space="preserve"> y a la Gerencia Legal emitir pronunciamiento sobre la constitución de reserva sobre sus haberes, específicamente la cuenta de Ahorro Premium por US$53,681.26, se emite el siguiente análisis:</w:t>
      </w:r>
    </w:p>
    <w:p w14:paraId="3E886458" w14:textId="2A60EFAC" w:rsidR="00536C1E" w:rsidRDefault="00536C1E" w:rsidP="00536C1E">
      <w:pPr>
        <w:jc w:val="both"/>
        <w:outlineLvl w:val="2"/>
        <w:rPr>
          <w:rFonts w:ascii="Arial" w:eastAsia="Times New Roman" w:hAnsi="Arial" w:cs="Arial"/>
          <w:b/>
          <w:bCs/>
          <w:kern w:val="0"/>
          <w:lang w:eastAsia="es-SV"/>
          <w14:ligatures w14:val="none"/>
        </w:rPr>
      </w:pPr>
    </w:p>
    <w:p w14:paraId="5529FA2A" w14:textId="34CA4CFF" w:rsidR="00536C1E" w:rsidRPr="00123BB1" w:rsidRDefault="00536C1E" w:rsidP="00F56F59">
      <w:pPr>
        <w:keepNext/>
        <w:spacing w:before="100" w:beforeAutospacing="1" w:after="100" w:afterAutospacing="1" w:line="360" w:lineRule="auto"/>
        <w:jc w:val="both"/>
        <w:rPr>
          <w:rFonts w:ascii="Arial" w:eastAsia="Times New Roman" w:hAnsi="Arial" w:cs="Arial"/>
          <w:b/>
          <w:bCs/>
          <w:kern w:val="0"/>
          <w:lang w:eastAsia="es-SV"/>
          <w14:ligatures w14:val="none"/>
        </w:rPr>
      </w:pPr>
      <w:r w:rsidRPr="0086776C">
        <w:rPr>
          <w:rFonts w:ascii="Arial" w:eastAsia="Times New Roman" w:hAnsi="Arial" w:cs="Arial"/>
          <w:b/>
          <w:bCs/>
          <w:kern w:val="0"/>
          <w:lang w:eastAsia="es-SV"/>
          <w14:ligatures w14:val="none"/>
        </w:rPr>
        <w:t xml:space="preserve">ANTECEDENTES DEL CASO</w:t>
      </w:r>
    </w:p>
    <w:p w14:paraId="44D7663B" w14:textId="17E7EC9D" w:rsidR="00A95DC1" w:rsidRPr="00A95DC1" w:rsidRDefault="00A95DC1" w:rsidP="00A95DC1">
      <w:pPr>
        <w:pStyle w:val="Prrafodelista"/>
        <w:numPr>
          <w:ilvl w:val="0"/>
          <w:numId w:val="24"/>
        </w:numPr>
        <w:spacing w:line="360" w:lineRule="auto"/>
        <w:ind w:left="360"/>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El Consejo de Administración instruyó evaluar el expediente del asociado con el propósito de determinar la factibilidad de utilizar los fondos mantenidos en la cuenta de Ahorro Premium No. 0001224941100015, sujeta a reserva interna, así como establecer si existen elementos que justifiquen una modificación de su categoría de riesgo.</w:t>
      </w:r>
    </w:p>
    <w:p w14:paraId="1679BD1A" w14:textId="77777777" w:rsidR="00A95DC1" w:rsidRPr="00A95DC1" w:rsidRDefault="00A95DC1" w:rsidP="00A95DC1">
      <w:pPr>
        <w:pStyle w:val="Prrafodelista"/>
        <w:spacing w:line="360" w:lineRule="auto"/>
        <w:ind w:left="-2880"/>
        <w:jc w:val="both"/>
        <w:rPr>
          <w:rFonts w:ascii="Arial" w:eastAsia="Times New Roman" w:hAnsi="Arial" w:cs="Arial"/>
          <w:kern w:val="0"/>
          <w:lang w:eastAsia="es-SV"/>
          <w14:ligatures w14:val="none"/>
        </w:rPr>
      </w:pPr>
    </w:p>
    <w:p w14:paraId="44D7663B" w14:textId="17E7EC9D" w:rsidR="00A95DC1" w:rsidRPr="00A95DC1" w:rsidRDefault="00A95DC1" w:rsidP="00A95DC1">
      <w:pPr>
        <w:pStyle w:val="Prrafodelista"/>
        <w:numPr>
          <w:ilvl w:val="0"/>
          <w:numId w:val="24"/>
        </w:numPr>
        <w:spacing w:line="360" w:lineRule="auto"/>
        <w:ind w:left="360"/>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La Gerencia Legal emitió criterio respecto a la reserva constituida, estableciendo que corresponde a una medida preventiva de control interno y monitoreo reforzado, sin que constituya una inmovilización o restricción legal de los fondos depositados.</w:t>
      </w:r>
    </w:p>
    <w:p w14:paraId="1679BD1A" w14:textId="77777777" w:rsidR="00A95DC1" w:rsidRPr="00A95DC1" w:rsidRDefault="00A95DC1" w:rsidP="00A95DC1">
      <w:pPr>
        <w:pStyle w:val="Prrafodelista"/>
        <w:spacing w:line="360" w:lineRule="auto"/>
        <w:ind w:left="-2880"/>
        <w:jc w:val="both"/>
        <w:rPr>
          <w:rFonts w:ascii="Arial" w:eastAsia="Times New Roman" w:hAnsi="Arial" w:cs="Arial"/>
          <w:kern w:val="0"/>
          <w:lang w:eastAsia="es-SV"/>
          <w14:ligatures w14:val="none"/>
        </w:rPr>
      </w:pPr>
    </w:p>
    <w:p w14:paraId="44D7663B" w14:textId="17E7EC9D" w:rsidR="00A95DC1" w:rsidRPr="00A95DC1" w:rsidRDefault="00A95DC1" w:rsidP="00A95DC1">
      <w:pPr>
        <w:pStyle w:val="Prrafodelista"/>
        <w:numPr>
          <w:ilvl w:val="0"/>
          <w:numId w:val="24"/>
        </w:numPr>
        <w:spacing w:line="360" w:lineRule="auto"/>
        <w:ind w:left="360"/>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De la revisión del expediente se verificó que el asociado mantiene vigente el contrato de Ahorro Premium con vencimiento el 19 de agosto de 2070, con un saldo de US$53,681.26; no existe orden judicial, administrativa o requerimiento formal de autoridad competente que restrinja la disponibilidad de los fondos, ni medidas cautelares de embargo, inmovilización o secuestro de bienes.</w:t>
      </w:r>
    </w:p>
    <w:p w14:paraId="1679BD1A" w14:textId="77777777" w:rsidR="00A95DC1" w:rsidRPr="00A95DC1" w:rsidRDefault="00A95DC1" w:rsidP="00A95DC1">
      <w:pPr>
        <w:pStyle w:val="Prrafodelista"/>
        <w:spacing w:line="360" w:lineRule="auto"/>
        <w:ind w:left="-2880"/>
        <w:jc w:val="both"/>
        <w:rPr>
          <w:rFonts w:ascii="Arial" w:eastAsia="Times New Roman" w:hAnsi="Arial" w:cs="Arial"/>
          <w:kern w:val="0"/>
          <w:lang w:eastAsia="es-SV"/>
          <w14:ligatures w14:val="none"/>
        </w:rPr>
      </w:pPr>
    </w:p>
    <w:p w14:paraId="44D7663B" w14:textId="17E7EC9D" w:rsidR="00A95DC1" w:rsidRPr="00A95DC1" w:rsidRDefault="00A95DC1" w:rsidP="00A95DC1">
      <w:pPr>
        <w:pStyle w:val="Prrafodelista"/>
        <w:numPr>
          <w:ilvl w:val="0"/>
          <w:numId w:val="24"/>
        </w:numPr>
        <w:spacing w:line="360" w:lineRule="auto"/>
        <w:ind w:left="360"/>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Las obligaciones crediticias del asociado mantienen un comportamiento normal de pago, realizándose mediante cargos y transferencias provenientes de la cuenta Premium, cuyos recursos continúan constituyendo respaldo para el cumplimiento de dichas obligaciones.</w:t>
      </w:r>
    </w:p>
    <w:p w14:paraId="1679BD1A" w14:textId="77777777" w:rsidR="00A95DC1" w:rsidRPr="00A95DC1" w:rsidRDefault="00A95DC1" w:rsidP="00A95DC1">
      <w:pPr>
        <w:pStyle w:val="Prrafodelista"/>
        <w:spacing w:line="360" w:lineRule="auto"/>
        <w:ind w:left="-2880"/>
        <w:jc w:val="both"/>
        <w:rPr>
          <w:rFonts w:ascii="Arial" w:eastAsia="Times New Roman" w:hAnsi="Arial" w:cs="Arial"/>
          <w:kern w:val="0"/>
          <w:lang w:eastAsia="es-SV"/>
          <w14:ligatures w14:val="none"/>
        </w:rPr>
      </w:pPr>
    </w:p>
    <w:p w14:paraId="44D7663B" w14:textId="17E7EC9D" w:rsidR="00A95DC1" w:rsidRPr="00A95DC1" w:rsidRDefault="00A95DC1" w:rsidP="00A95DC1">
      <w:pPr>
        <w:pStyle w:val="Prrafodelista"/>
        <w:numPr>
          <w:ilvl w:val="0"/>
          <w:numId w:val="24"/>
        </w:numPr>
        <w:spacing w:line="360" w:lineRule="auto"/>
        <w:ind w:left="360"/>
        <w:jc w:val="both"/>
        <w:rPr>
          <w:rFonts w:ascii="Arial" w:eastAsia="Times New Roman" w:hAnsi="Arial" w:cs="Arial"/>
          <w:kern w:val="0"/>
          <w:lang w:eastAsia="es-SV"/>
          <w14:ligatures w14:val="none"/>
        </w:rPr>
      </w:pPr>
      <w:r w:rsidRPr="0086776C">
        <w:rPr>
          <w:rFonts w:ascii="Arial" w:eastAsia="Times New Roman" w:hAnsi="Arial" w:cs="Arial"/>
          <w:b/>
          <w:bCs/>
          <w:kern w:val="0"/>
          <w:lang w:eastAsia="es-SV"/>
          <w14:ligatures w14:val="none"/>
        </w:rPr>
        <w:t xml:space="preserve">Investigación del caso: </w:t>
      </w:r>
      <w:r w:rsidRPr="00F56F59">
        <w:rPr>
          <w:rFonts w:ascii="Arial" w:eastAsia="Times New Roman" w:hAnsi="Arial" w:cs="Arial"/>
          <w:kern w:val="0"/>
          <w:lang w:eastAsia="es-SV"/>
          <w14:ligatures w14:val="none"/>
        </w:rPr>
        <w:t xml:space="preserve">de acuerdo con información de carácter público (comunicados de la Fiscalía General de la República e informes de medios nacionales como Diario El Salvador, Diario1 e Infobae), el 13 de febrero de 2026 la FGR y la PNC ejecutaron un operativo para desarticular una estructura dedicada al narcotráfico internacional, con vínculos en Guatemala, en el cual figura entre las personas capturadas una persona identificada como Jonnathan Jacobo Marroquín.</w:t>
      </w:r>
    </w:p>
    <w:p w14:paraId="1679BD1A" w14:textId="77777777" w:rsidR="00A95DC1" w:rsidRPr="00A95DC1" w:rsidRDefault="00A95DC1" w:rsidP="00A95DC1">
      <w:pPr>
        <w:pStyle w:val="Prrafodelista"/>
        <w:spacing w:line="360" w:lineRule="auto"/>
        <w:ind w:left="-2880"/>
        <w:jc w:val="both"/>
        <w:rPr>
          <w:rFonts w:ascii="Arial" w:eastAsia="Times New Roman" w:hAnsi="Arial" w:cs="Arial"/>
          <w:kern w:val="0"/>
          <w:lang w:eastAsia="es-SV"/>
          <w14:ligatures w14:val="none"/>
        </w:rPr>
      </w:pPr>
    </w:p>
    <w:p w14:paraId="44D7663B" w14:textId="17E7EC9D" w:rsidR="00A95DC1" w:rsidRPr="00A95DC1" w:rsidRDefault="00A95DC1" w:rsidP="00A95DC1">
      <w:pPr>
        <w:pStyle w:val="Prrafodelista"/>
        <w:numPr>
          <w:ilvl w:val="0"/>
          <w:numId w:val="24"/>
        </w:numPr>
        <w:spacing w:line="360" w:lineRule="auto"/>
        <w:ind w:left="360"/>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Según la FGR, los imputados serían procesados por los delitos de tráfico ilícito, cooperación en el delito de tráfico de drogas, agrupaciones ilícitas, cohecho activo y cohecho impropio. En los allanamientos se reportó el decomiso de metanfetamina, cocaína, marihuana, la droga conocida como "tusi", medicamentos controlados, dinero en efectivo y vehículos.</w:t>
      </w:r>
    </w:p>
    <w:p w14:paraId="1679BD1A" w14:textId="77777777" w:rsidR="00A95DC1" w:rsidRPr="00A95DC1" w:rsidRDefault="00A95DC1" w:rsidP="00A95DC1">
      <w:pPr>
        <w:pStyle w:val="Prrafodelista"/>
        <w:spacing w:line="360" w:lineRule="auto"/>
        <w:ind w:left="-2880"/>
        <w:jc w:val="both"/>
        <w:rPr>
          <w:rFonts w:ascii="Arial" w:eastAsia="Times New Roman" w:hAnsi="Arial" w:cs="Arial"/>
          <w:kern w:val="0"/>
          <w:lang w:eastAsia="es-SV"/>
          <w14:ligatures w14:val="none"/>
        </w:rPr>
      </w:pPr>
    </w:p>
    <w:p w14:paraId="44D7663B" w14:textId="17E7EC9D" w:rsidR="00A95DC1" w:rsidRPr="00A95DC1" w:rsidRDefault="00A95DC1" w:rsidP="00A95DC1">
      <w:pPr>
        <w:pStyle w:val="Prrafodelista"/>
        <w:numPr>
          <w:ilvl w:val="0"/>
          <w:numId w:val="24"/>
        </w:numPr>
        <w:spacing w:line="360" w:lineRule="auto"/>
        <w:ind w:left="360"/>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Posteriormente, el 04 de marzo de 2026, la FGR informó que se decretó instrucción formal con detención provisional contra los integrantes de dicha estructura, por lo que el proceso penal se encuentra en curso y no existe, a la fecha, sentencia condenatoria conocida. Las fuentes públicas no detallan el rol específico atribuido a la persona señalada, y es necesario confirmar la identidad (número de DUI) para descartar un caso de homonimia.</w:t>
      </w:r>
    </w:p>
    <w:p w14:paraId="1679BD1A" w14:textId="77777777" w:rsidR="00A95DC1" w:rsidRPr="00A95DC1" w:rsidRDefault="00A95DC1" w:rsidP="00A95DC1">
      <w:pPr>
        <w:pStyle w:val="Prrafodelista"/>
        <w:spacing w:line="360" w:lineRule="auto"/>
        <w:ind w:left="-2880"/>
        <w:jc w:val="both"/>
        <w:rPr>
          <w:rFonts w:ascii="Arial" w:eastAsia="Times New Roman" w:hAnsi="Arial" w:cs="Arial"/>
          <w:kern w:val="0"/>
          <w:lang w:eastAsia="es-SV"/>
          <w14:ligatures w14:val="none"/>
        </w:rPr>
      </w:pPr>
    </w:p>
    <w:p w14:paraId="1CDB0D9C" w14:textId="3968121B" w:rsidR="00536C1E" w:rsidRPr="00123BB1" w:rsidRDefault="00536C1E" w:rsidP="00123BB1">
      <w:pPr>
        <w:keepNext/>
        <w:pStyle w:val="Prrafodelista"/>
        <w:numPr>
          <w:ilvl w:val="0"/>
          <w:numId w:val="13"/>
        </w:numPr>
        <w:spacing w:before="100" w:beforeAutospacing="1" w:after="100" w:afterAutospacing="1" w:line="360" w:lineRule="auto"/>
        <w:jc w:val="both"/>
        <w:outlineLvl w:val="2"/>
        <w:rPr>
          <w:rFonts w:ascii="Arial" w:eastAsia="Times New Roman" w:hAnsi="Arial" w:cs="Arial"/>
          <w:b/>
          <w:bCs/>
          <w:kern w:val="0"/>
          <w:lang w:eastAsia="es-SV"/>
          <w14:ligatures w14:val="none"/>
        </w:rPr>
      </w:pPr>
      <w:r w:rsidRPr="0086776C">
        <w:rPr>
          <w:rFonts w:ascii="Arial" w:eastAsia="Times New Roman" w:hAnsi="Arial" w:cs="Arial"/>
          <w:b/>
          <w:bCs/>
          <w:kern w:val="0"/>
          <w:lang w:eastAsia="es-SV"/>
          <w14:ligatures w14:val="none"/>
        </w:rPr>
        <w:t xml:space="preserve">EVALUACIÓN DE RIESGO</w:t>
      </w:r>
    </w:p>
    <w:p w14:paraId="489257CE" w14:textId="2E76CDC2" w:rsidR="00A95DC1" w:rsidRDefault="00BD5945" w:rsidP="00A95DC1">
      <w:pPr>
        <w:pStyle w:val="Prrafodelista"/>
        <w:numPr>
          <w:ilvl w:val="0"/>
          <w:numId w:val="19"/>
        </w:numPr>
        <w:spacing w:line="360" w:lineRule="auto"/>
        <w:jc w:val="both"/>
        <w:rPr>
          <w:rFonts w:ascii="Arial" w:eastAsia="Times New Roman" w:hAnsi="Arial" w:cs="Arial"/>
          <w:kern w:val="0"/>
          <w:lang w:eastAsia="es-SV"/>
          <w14:ligatures w14:val="none"/>
        </w:rPr>
      </w:pPr>
      <w:r w:rsidRPr="0086776C">
        <w:rPr>
          <w:rFonts w:ascii="Arial" w:eastAsia="Times New Roman" w:hAnsi="Arial" w:cs="Arial"/>
          <w:b/>
          <w:bCs/>
          <w:kern w:val="0"/>
          <w:lang w:eastAsia="es-SV"/>
          <w14:ligatures w14:val="none"/>
        </w:rPr>
        <w:t xml:space="preserve">Riesgo de crédito: </w:t>
      </w:r>
      <w:r w:rsidRPr="00F56F59">
        <w:rPr>
          <w:rFonts w:ascii="Arial" w:eastAsia="Times New Roman" w:hAnsi="Arial" w:cs="Arial"/>
          <w:kern w:val="0"/>
          <w:lang w:eastAsia="es-SV"/>
          <w14:ligatures w14:val="none"/>
        </w:rPr>
        <w:t xml:space="preserve">No se identifican evidencias de deterioro en la capacidad de pago, incumplimiento de obligaciones, insuficiencia de garantías o factores que afecten la recuperación de los créditos. De conformidad con la NCB-022, la situación analizada no constituye por sí misma una causal de reclasificación de la categoría de riesgo crediticio. No obstante, la detención provisional reportada podría afectar la fuente de ingresos del asociado, por lo que la atención de las obligaciones depende actualmente de los fondos de la cuenta Premium. </w:t>
      </w:r>
      <w:r w:rsidRPr="0086776C">
        <w:rPr>
          <w:rFonts w:ascii="Arial" w:eastAsia="Times New Roman" w:hAnsi="Arial" w:cs="Arial"/>
          <w:b/>
          <w:bCs/>
          <w:kern w:val="0"/>
          <w:lang w:eastAsia="es-SV"/>
          <w14:ligatures w14:val="none"/>
        </w:rPr>
        <w:t xml:space="preserve">Nivel de riesgo: Medio.</w:t>
      </w:r>
    </w:p>
    <w:p w14:paraId="1C59DAC7" w14:textId="77777777" w:rsidR="00F84760" w:rsidRDefault="00F84760" w:rsidP="00204317">
      <w:pPr>
        <w:pStyle w:val="Prrafodelista"/>
        <w:spacing w:line="360" w:lineRule="auto"/>
        <w:ind w:left="1080"/>
        <w:jc w:val="both"/>
        <w:rPr>
          <w:rFonts w:ascii="Arial" w:eastAsia="Times New Roman" w:hAnsi="Arial" w:cs="Arial"/>
          <w:kern w:val="0"/>
          <w:lang w:eastAsia="es-SV"/>
          <w14:ligatures w14:val="none"/>
        </w:rPr>
      </w:pPr>
    </w:p>
    <w:p w14:paraId="489257CE" w14:textId="2E76CDC2" w:rsidR="00A95DC1" w:rsidRDefault="00BD5945" w:rsidP="00A95DC1">
      <w:pPr>
        <w:pStyle w:val="Prrafodelista"/>
        <w:numPr>
          <w:ilvl w:val="0"/>
          <w:numId w:val="19"/>
        </w:numPr>
        <w:spacing w:line="360" w:lineRule="auto"/>
        <w:jc w:val="both"/>
        <w:rPr>
          <w:rFonts w:ascii="Arial" w:eastAsia="Times New Roman" w:hAnsi="Arial" w:cs="Arial"/>
          <w:kern w:val="0"/>
          <w:lang w:eastAsia="es-SV"/>
          <w14:ligatures w14:val="none"/>
        </w:rPr>
      </w:pPr>
      <w:r w:rsidRPr="0086776C">
        <w:rPr>
          <w:rFonts w:ascii="Arial" w:eastAsia="Times New Roman" w:hAnsi="Arial" w:cs="Arial"/>
          <w:b/>
          <w:bCs/>
          <w:kern w:val="0"/>
          <w:lang w:eastAsia="es-SV"/>
          <w14:ligatures w14:val="none"/>
        </w:rPr>
        <w:t xml:space="preserve">Riesgo de liquidez: </w:t>
      </w:r>
      <w:r w:rsidRPr="00F56F59">
        <w:rPr>
          <w:rFonts w:ascii="Arial" w:eastAsia="Times New Roman" w:hAnsi="Arial" w:cs="Arial"/>
          <w:kern w:val="0"/>
          <w:lang w:eastAsia="es-SV"/>
          <w14:ligatures w14:val="none"/>
        </w:rPr>
        <w:t xml:space="preserve">Existe la posibilidad de movimientos extraordinarios o solicitudes de retiro relevantes derivadas de la situación del asociado; sin embargo, actualmente no se observa afectación material para la Institución. </w:t>
      </w:r>
      <w:r w:rsidRPr="0086776C">
        <w:rPr>
          <w:rFonts w:ascii="Arial" w:eastAsia="Times New Roman" w:hAnsi="Arial" w:cs="Arial"/>
          <w:b/>
          <w:bCs/>
          <w:kern w:val="0"/>
          <w:lang w:eastAsia="es-SV"/>
          <w14:ligatures w14:val="none"/>
        </w:rPr>
        <w:t xml:space="preserve">Nivel de riesgo: Medio.</w:t>
      </w:r>
    </w:p>
    <w:p w14:paraId="1C59DAC7" w14:textId="77777777" w:rsidR="00F84760" w:rsidRDefault="00F84760" w:rsidP="00204317">
      <w:pPr>
        <w:pStyle w:val="Prrafodelista"/>
        <w:spacing w:line="360" w:lineRule="auto"/>
        <w:ind w:left="1080"/>
        <w:jc w:val="both"/>
        <w:rPr>
          <w:rFonts w:ascii="Arial" w:eastAsia="Times New Roman" w:hAnsi="Arial" w:cs="Arial"/>
          <w:kern w:val="0"/>
          <w:lang w:eastAsia="es-SV"/>
          <w14:ligatures w14:val="none"/>
        </w:rPr>
      </w:pPr>
    </w:p>
    <w:p w14:paraId="489257CE" w14:textId="2E76CDC2" w:rsidR="00A95DC1" w:rsidRDefault="00BD5945" w:rsidP="00A95DC1">
      <w:pPr>
        <w:pStyle w:val="Prrafodelista"/>
        <w:numPr>
          <w:ilvl w:val="0"/>
          <w:numId w:val="19"/>
        </w:numPr>
        <w:spacing w:line="360" w:lineRule="auto"/>
        <w:jc w:val="both"/>
        <w:rPr>
          <w:rFonts w:ascii="Arial" w:eastAsia="Times New Roman" w:hAnsi="Arial" w:cs="Arial"/>
          <w:kern w:val="0"/>
          <w:lang w:eastAsia="es-SV"/>
          <w14:ligatures w14:val="none"/>
        </w:rPr>
      </w:pPr>
      <w:r w:rsidRPr="0086776C">
        <w:rPr>
          <w:rFonts w:ascii="Arial" w:eastAsia="Times New Roman" w:hAnsi="Arial" w:cs="Arial"/>
          <w:b/>
          <w:bCs/>
          <w:kern w:val="0"/>
          <w:lang w:eastAsia="es-SV"/>
          <w14:ligatures w14:val="none"/>
        </w:rPr>
        <w:t xml:space="preserve">Riesgo de mercado: </w:t>
      </w:r>
      <w:r w:rsidRPr="00F56F59">
        <w:rPr>
          <w:rFonts w:ascii="Arial" w:eastAsia="Times New Roman" w:hAnsi="Arial" w:cs="Arial"/>
          <w:kern w:val="0"/>
          <w:lang w:eastAsia="es-SV"/>
          <w14:ligatures w14:val="none"/>
        </w:rPr>
        <w:t xml:space="preserve">No se identifican impactos relacionados con tasas de interés, tipo de cambio u otros factores de mercado. </w:t>
      </w:r>
      <w:r w:rsidRPr="0086776C">
        <w:rPr>
          <w:rFonts w:ascii="Arial" w:eastAsia="Times New Roman" w:hAnsi="Arial" w:cs="Arial"/>
          <w:b/>
          <w:bCs/>
          <w:kern w:val="0"/>
          <w:lang w:eastAsia="es-SV"/>
          <w14:ligatures w14:val="none"/>
        </w:rPr>
        <w:t xml:space="preserve">Nivel de riesgo: Bajo.</w:t>
      </w:r>
    </w:p>
    <w:p w14:paraId="1C59DAC7" w14:textId="77777777" w:rsidR="00F84760" w:rsidRDefault="00F84760" w:rsidP="00204317">
      <w:pPr>
        <w:pStyle w:val="Prrafodelista"/>
        <w:spacing w:line="360" w:lineRule="auto"/>
        <w:ind w:left="1080"/>
        <w:jc w:val="both"/>
        <w:rPr>
          <w:rFonts w:ascii="Arial" w:eastAsia="Times New Roman" w:hAnsi="Arial" w:cs="Arial"/>
          <w:kern w:val="0"/>
          <w:lang w:eastAsia="es-SV"/>
          <w14:ligatures w14:val="none"/>
        </w:rPr>
      </w:pPr>
    </w:p>
    <w:p w14:paraId="489257CE" w14:textId="2E76CDC2" w:rsidR="00A95DC1" w:rsidRDefault="00BD5945" w:rsidP="00A95DC1">
      <w:pPr>
        <w:pStyle w:val="Prrafodelista"/>
        <w:numPr>
          <w:ilvl w:val="0"/>
          <w:numId w:val="19"/>
        </w:numPr>
        <w:spacing w:line="360" w:lineRule="auto"/>
        <w:jc w:val="both"/>
        <w:rPr>
          <w:rFonts w:ascii="Arial" w:eastAsia="Times New Roman" w:hAnsi="Arial" w:cs="Arial"/>
          <w:kern w:val="0"/>
          <w:lang w:eastAsia="es-SV"/>
          <w14:ligatures w14:val="none"/>
        </w:rPr>
      </w:pPr>
      <w:r w:rsidRPr="0086776C">
        <w:rPr>
          <w:rFonts w:ascii="Arial" w:eastAsia="Times New Roman" w:hAnsi="Arial" w:cs="Arial"/>
          <w:b/>
          <w:bCs/>
          <w:kern w:val="0"/>
          <w:lang w:eastAsia="es-SV"/>
          <w14:ligatures w14:val="none"/>
        </w:rPr>
        <w:t xml:space="preserve">Riesgo operacional: </w:t>
      </w:r>
      <w:r w:rsidRPr="00F56F59">
        <w:rPr>
          <w:rFonts w:ascii="Arial" w:eastAsia="Times New Roman" w:hAnsi="Arial" w:cs="Arial"/>
          <w:kern w:val="0"/>
          <w:lang w:eastAsia="es-SV"/>
          <w14:ligatures w14:val="none"/>
        </w:rPr>
        <w:t xml:space="preserve">Existe riesgo de errores en la ejecución de instrucciones, aplicación indebida de restricciones o gestión inadecuada de operaciones relacionadas con el asociado, considerando que la reserva interna no constituye una restricción legal. </w:t>
      </w:r>
      <w:r w:rsidRPr="0086776C">
        <w:rPr>
          <w:rFonts w:ascii="Arial" w:eastAsia="Times New Roman" w:hAnsi="Arial" w:cs="Arial"/>
          <w:b/>
          <w:bCs/>
          <w:kern w:val="0"/>
          <w:lang w:eastAsia="es-SV"/>
          <w14:ligatures w14:val="none"/>
        </w:rPr>
        <w:t xml:space="preserve">Nivel de riesgo: Medio-Alto.</w:t>
      </w:r>
    </w:p>
    <w:p w14:paraId="1C59DAC7" w14:textId="77777777" w:rsidR="00F84760" w:rsidRDefault="00F84760" w:rsidP="00204317">
      <w:pPr>
        <w:pStyle w:val="Prrafodelista"/>
        <w:spacing w:line="360" w:lineRule="auto"/>
        <w:ind w:left="1080"/>
        <w:jc w:val="both"/>
        <w:rPr>
          <w:rFonts w:ascii="Arial" w:eastAsia="Times New Roman" w:hAnsi="Arial" w:cs="Arial"/>
          <w:kern w:val="0"/>
          <w:lang w:eastAsia="es-SV"/>
          <w14:ligatures w14:val="none"/>
        </w:rPr>
      </w:pPr>
    </w:p>
    <w:p w14:paraId="489257CE" w14:textId="2E76CDC2" w:rsidR="00A95DC1" w:rsidRDefault="00BD5945" w:rsidP="00A95DC1">
      <w:pPr>
        <w:pStyle w:val="Prrafodelista"/>
        <w:numPr>
          <w:ilvl w:val="0"/>
          <w:numId w:val="19"/>
        </w:numPr>
        <w:spacing w:line="360" w:lineRule="auto"/>
        <w:jc w:val="both"/>
        <w:rPr>
          <w:rFonts w:ascii="Arial" w:eastAsia="Times New Roman" w:hAnsi="Arial" w:cs="Arial"/>
          <w:kern w:val="0"/>
          <w:lang w:eastAsia="es-SV"/>
          <w14:ligatures w14:val="none"/>
        </w:rPr>
      </w:pPr>
      <w:r w:rsidRPr="0086776C">
        <w:rPr>
          <w:rFonts w:ascii="Arial" w:eastAsia="Times New Roman" w:hAnsi="Arial" w:cs="Arial"/>
          <w:b/>
          <w:bCs/>
          <w:kern w:val="0"/>
          <w:lang w:eastAsia="es-SV"/>
          <w14:ligatures w14:val="none"/>
        </w:rPr>
        <w:t xml:space="preserve">Riesgo reputacional: </w:t>
      </w:r>
      <w:r w:rsidRPr="00F56F59">
        <w:rPr>
          <w:rFonts w:ascii="Arial" w:eastAsia="Times New Roman" w:hAnsi="Arial" w:cs="Arial"/>
          <w:kern w:val="0"/>
          <w:lang w:eastAsia="es-SV"/>
          <w14:ligatures w14:val="none"/>
        </w:rPr>
        <w:t xml:space="preserve">La vinculación pública del asociado con un proceso penal por narcotráfico, agrupaciones ilícitas y cohecho, difundida en medios de comunicación nacionales, genera una exposición reputacional relevante para la Institución y demanda monitoreo constante. </w:t>
      </w:r>
      <w:r w:rsidRPr="0086776C">
        <w:rPr>
          <w:rFonts w:ascii="Arial" w:eastAsia="Times New Roman" w:hAnsi="Arial" w:cs="Arial"/>
          <w:b/>
          <w:bCs/>
          <w:kern w:val="0"/>
          <w:lang w:eastAsia="es-SV"/>
          <w14:ligatures w14:val="none"/>
        </w:rPr>
        <w:t xml:space="preserve">Nivel de riesgo: Alto.</w:t>
      </w:r>
    </w:p>
    <w:p w14:paraId="1C59DAC7" w14:textId="77777777" w:rsidR="00F84760" w:rsidRDefault="00F84760" w:rsidP="00204317">
      <w:pPr>
        <w:pStyle w:val="Prrafodelista"/>
        <w:spacing w:line="360" w:lineRule="auto"/>
        <w:ind w:left="1080"/>
        <w:jc w:val="both"/>
        <w:rPr>
          <w:rFonts w:ascii="Arial" w:eastAsia="Times New Roman" w:hAnsi="Arial" w:cs="Arial"/>
          <w:kern w:val="0"/>
          <w:lang w:eastAsia="es-SV"/>
          <w14:ligatures w14:val="none"/>
        </w:rPr>
      </w:pPr>
    </w:p>
    <w:p w14:paraId="489257CE" w14:textId="2E76CDC2" w:rsidR="00A95DC1" w:rsidRDefault="00BD5945" w:rsidP="00A95DC1">
      <w:pPr>
        <w:pStyle w:val="Prrafodelista"/>
        <w:numPr>
          <w:ilvl w:val="0"/>
          <w:numId w:val="19"/>
        </w:numPr>
        <w:spacing w:line="360" w:lineRule="auto"/>
        <w:jc w:val="both"/>
        <w:rPr>
          <w:rFonts w:ascii="Arial" w:eastAsia="Times New Roman" w:hAnsi="Arial" w:cs="Arial"/>
          <w:kern w:val="0"/>
          <w:lang w:eastAsia="es-SV"/>
          <w14:ligatures w14:val="none"/>
        </w:rPr>
      </w:pPr>
      <w:r w:rsidRPr="0086776C">
        <w:rPr>
          <w:rFonts w:ascii="Arial" w:eastAsia="Times New Roman" w:hAnsi="Arial" w:cs="Arial"/>
          <w:b/>
          <w:bCs/>
          <w:kern w:val="0"/>
          <w:lang w:eastAsia="es-SV"/>
          <w14:ligatures w14:val="none"/>
        </w:rPr>
        <w:t xml:space="preserve">Riesgo legal: </w:t>
      </w:r>
      <w:r w:rsidRPr="00F56F59">
        <w:rPr>
          <w:rFonts w:ascii="Arial" w:eastAsia="Times New Roman" w:hAnsi="Arial" w:cs="Arial"/>
          <w:kern w:val="0"/>
          <w:lang w:eastAsia="es-SV"/>
          <w14:ligatures w14:val="none"/>
        </w:rPr>
        <w:t xml:space="preserve">La aplicación de restricciones sobre los fondos sin orden de autoridad competente podría generar contingencias legales para la Institución. Asimismo, en caso de emitirse una medida cautelar o de extinción de dominio, la Institución deberá acatarla de forma inmediata. </w:t>
      </w:r>
      <w:r w:rsidRPr="0086776C">
        <w:rPr>
          <w:rFonts w:ascii="Arial" w:eastAsia="Times New Roman" w:hAnsi="Arial" w:cs="Arial"/>
          <w:b/>
          <w:bCs/>
          <w:kern w:val="0"/>
          <w:lang w:eastAsia="es-SV"/>
          <w14:ligatures w14:val="none"/>
        </w:rPr>
        <w:t xml:space="preserve">Nivel de riesgo: Alto.</w:t>
      </w:r>
    </w:p>
    <w:p w14:paraId="1C59DAC7" w14:textId="77777777" w:rsidR="00F84760" w:rsidRDefault="00F84760" w:rsidP="00204317">
      <w:pPr>
        <w:pStyle w:val="Prrafodelista"/>
        <w:spacing w:line="360" w:lineRule="auto"/>
        <w:ind w:left="1080"/>
        <w:jc w:val="both"/>
        <w:rPr>
          <w:rFonts w:ascii="Arial" w:eastAsia="Times New Roman" w:hAnsi="Arial" w:cs="Arial"/>
          <w:kern w:val="0"/>
          <w:lang w:eastAsia="es-SV"/>
          <w14:ligatures w14:val="none"/>
        </w:rPr>
      </w:pPr>
    </w:p>
    <w:p w14:paraId="489257CE" w14:textId="2E76CDC2" w:rsidR="00A95DC1" w:rsidRDefault="00BD5945" w:rsidP="00A95DC1">
      <w:pPr>
        <w:pStyle w:val="Prrafodelista"/>
        <w:numPr>
          <w:ilvl w:val="0"/>
          <w:numId w:val="19"/>
        </w:numPr>
        <w:spacing w:line="360" w:lineRule="auto"/>
        <w:jc w:val="both"/>
        <w:rPr>
          <w:rFonts w:ascii="Arial" w:eastAsia="Times New Roman" w:hAnsi="Arial" w:cs="Arial"/>
          <w:kern w:val="0"/>
          <w:lang w:eastAsia="es-SV"/>
          <w14:ligatures w14:val="none"/>
        </w:rPr>
      </w:pPr>
      <w:r w:rsidRPr="0086776C">
        <w:rPr>
          <w:rFonts w:ascii="Arial" w:eastAsia="Times New Roman" w:hAnsi="Arial" w:cs="Arial"/>
          <w:b/>
          <w:bCs/>
          <w:kern w:val="0"/>
          <w:lang w:eastAsia="es-SV"/>
          <w14:ligatures w14:val="none"/>
        </w:rPr>
        <w:t xml:space="preserve">Riesgo de lavado de dinero: </w:t>
      </w:r>
      <w:r w:rsidRPr="00F56F59">
        <w:rPr>
          <w:rFonts w:ascii="Arial" w:eastAsia="Times New Roman" w:hAnsi="Arial" w:cs="Arial"/>
          <w:kern w:val="0"/>
          <w:lang w:eastAsia="es-SV"/>
          <w14:ligatures w14:val="none"/>
        </w:rPr>
        <w:t xml:space="preserve">Los delitos imputados en el proceso público (tráfico ilícito de drogas, agrupaciones ilícitas y cohecho) constituyen delitos precedentes de lavado de dinero y activos. En consecuencia, la operación requiere: que la Oficialía de Cumplimiento realice debida diligencia reforzada, verifique el origen de los fondos depositados en la cuenta Premium y evalúe, conforme a su criterio, la pertinencia de un Reporte de Operación Sospechosa ante la UIF. </w:t>
      </w:r>
      <w:r w:rsidRPr="0086776C">
        <w:rPr>
          <w:rFonts w:ascii="Arial" w:eastAsia="Times New Roman" w:hAnsi="Arial" w:cs="Arial"/>
          <w:b/>
          <w:bCs/>
          <w:kern w:val="0"/>
          <w:lang w:eastAsia="es-SV"/>
          <w14:ligatures w14:val="none"/>
        </w:rPr>
        <w:t xml:space="preserve">Nivel de riesgo: Alto.</w:t>
      </w:r>
    </w:p>
    <w:p w14:paraId="1C59DAC7" w14:textId="77777777" w:rsidR="00F84760" w:rsidRDefault="00F84760" w:rsidP="00204317">
      <w:pPr>
        <w:pStyle w:val="Prrafodelista"/>
        <w:spacing w:line="360" w:lineRule="auto"/>
        <w:ind w:left="1080"/>
        <w:jc w:val="both"/>
        <w:rPr>
          <w:rFonts w:ascii="Arial" w:eastAsia="Times New Roman" w:hAnsi="Arial" w:cs="Arial"/>
          <w:kern w:val="0"/>
          <w:lang w:eastAsia="es-SV"/>
          <w14:ligatures w14:val="none"/>
        </w:rPr>
      </w:pPr>
    </w:p>
    <w:p w14:paraId="1CDB0D9C" w14:textId="3968121B" w:rsidR="00536C1E" w:rsidRPr="00123BB1" w:rsidRDefault="00536C1E" w:rsidP="00123BB1">
      <w:pPr>
        <w:keepNext/>
        <w:pStyle w:val="Prrafodelista"/>
        <w:numPr>
          <w:ilvl w:val="0"/>
          <w:numId w:val="13"/>
        </w:numPr>
        <w:spacing w:before="100" w:beforeAutospacing="1" w:after="100" w:afterAutospacing="1" w:line="360" w:lineRule="auto"/>
        <w:jc w:val="both"/>
        <w:outlineLvl w:val="2"/>
        <w:rPr>
          <w:rFonts w:ascii="Arial" w:eastAsia="Times New Roman" w:hAnsi="Arial" w:cs="Arial"/>
          <w:b/>
          <w:bCs/>
          <w:kern w:val="0"/>
          <w:lang w:eastAsia="es-SV"/>
          <w14:ligatures w14:val="none"/>
        </w:rPr>
      </w:pPr>
      <w:r w:rsidRPr="0086776C">
        <w:rPr>
          <w:rFonts w:ascii="Arial" w:eastAsia="Times New Roman" w:hAnsi="Arial" w:cs="Arial"/>
          <w:b/>
          <w:bCs/>
          <w:kern w:val="0"/>
          <w:lang w:eastAsia="es-SV"/>
          <w14:ligatures w14:val="none"/>
        </w:rPr>
        <w:t xml:space="preserve">CONCLUSION</w:t>
      </w:r>
    </w:p>
    <w:p w14:paraId="4FF8A954" w14:textId="7ABC9940" w:rsidR="00F56F59" w:rsidRPr="00F56F59" w:rsidRDefault="00536C1E" w:rsidP="00F56F59">
      <w:pPr>
        <w:spacing w:before="100" w:beforeAutospacing="1" w:after="100" w:afterAutospacing="1"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De la evaluación integral realizada se concluye lo siguiente:</w:t>
      </w:r>
    </w:p>
    <w:p w14:paraId="067039D0" w14:textId="77777777" w:rsidR="00B433C0" w:rsidRPr="00B433C0" w:rsidRDefault="00B433C0" w:rsidP="00B433C0">
      <w:pPr>
        <w:pStyle w:val="Prrafodelista"/>
        <w:numPr>
          <w:ilvl w:val="0"/>
          <w:numId w:val="25"/>
        </w:numPr>
        <w:spacing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No existe impedimento legal para la utilización de los fondos de la cuenta de Ahorro Premium, ni elementos que justifiquen su inmovilización o restricción.</w:t>
      </w:r>
    </w:p>
    <w:p w14:paraId="067039D0" w14:textId="77777777" w:rsidR="00B433C0" w:rsidRPr="00B433C0" w:rsidRDefault="00B433C0" w:rsidP="00B433C0">
      <w:pPr>
        <w:pStyle w:val="Prrafodelista"/>
        <w:numPr>
          <w:ilvl w:val="0"/>
          <w:numId w:val="25"/>
        </w:numPr>
        <w:spacing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Las obligaciones crediticias mantienen un comportamiento normal de pago y continúan respaldadas por los recursos de dicha cuenta.</w:t>
      </w:r>
    </w:p>
    <w:p w14:paraId="067039D0" w14:textId="77777777" w:rsidR="00B433C0" w:rsidRPr="00B433C0" w:rsidRDefault="00B433C0" w:rsidP="00B433C0">
      <w:pPr>
        <w:pStyle w:val="Prrafodelista"/>
        <w:numPr>
          <w:ilvl w:val="0"/>
          <w:numId w:val="25"/>
        </w:numPr>
        <w:spacing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Conforme a la NCB-022, no se identifican fundamentos técnicos que sustenten una reclasificación de la categoría de riesgo crediticio del asociado.</w:t>
      </w:r>
    </w:p>
    <w:p w14:paraId="067039D0" w14:textId="77777777" w:rsidR="00B433C0" w:rsidRPr="00B433C0" w:rsidRDefault="00B433C0" w:rsidP="00B433C0">
      <w:pPr>
        <w:pStyle w:val="Prrafodelista"/>
        <w:numPr>
          <w:ilvl w:val="0"/>
          <w:numId w:val="25"/>
        </w:numPr>
        <w:spacing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Se observa una mayor exposición en materia reputacional, legal, operacional y de lavado de dinero, derivada del proceso penal en curso de conocimiento público.</w:t>
      </w:r>
    </w:p>
    <w:p w14:paraId="4FF8A954" w14:textId="7ABC9940" w:rsidR="00F56F59" w:rsidRPr="00F56F59" w:rsidRDefault="00536C1E" w:rsidP="00F56F59">
      <w:pPr>
        <w:spacing w:before="100" w:beforeAutospacing="1" w:after="100" w:afterAutospacing="1"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En virtud de lo anterior, resulta razonable mantener la reserva interna aprobada por el Consejo de Administración como mecanismo preventivo de monitoreo reforzado y control institucional, la cual debe considerarse en conjunto con los riesgos identificados dentro del análisis integral.</w:t>
      </w:r>
    </w:p>
    <w:p w14:paraId="1CDB0D9C" w14:textId="3968121B" w:rsidR="00536C1E" w:rsidRPr="00123BB1" w:rsidRDefault="00536C1E" w:rsidP="00123BB1">
      <w:pPr>
        <w:keepNext/>
        <w:pStyle w:val="Prrafodelista"/>
        <w:numPr>
          <w:ilvl w:val="0"/>
          <w:numId w:val="13"/>
        </w:numPr>
        <w:spacing w:before="100" w:beforeAutospacing="1" w:after="100" w:afterAutospacing="1" w:line="360" w:lineRule="auto"/>
        <w:jc w:val="both"/>
        <w:outlineLvl w:val="2"/>
        <w:rPr>
          <w:rFonts w:ascii="Arial" w:eastAsia="Times New Roman" w:hAnsi="Arial" w:cs="Arial"/>
          <w:b/>
          <w:bCs/>
          <w:kern w:val="0"/>
          <w:lang w:eastAsia="es-SV"/>
          <w14:ligatures w14:val="none"/>
        </w:rPr>
      </w:pPr>
      <w:r w:rsidRPr="0086776C">
        <w:rPr>
          <w:rFonts w:ascii="Arial" w:eastAsia="Times New Roman" w:hAnsi="Arial" w:cs="Arial"/>
          <w:b/>
          <w:bCs/>
          <w:kern w:val="0"/>
          <w:lang w:eastAsia="es-SV"/>
          <w14:ligatures w14:val="none"/>
        </w:rPr>
        <w:t xml:space="preserve">RECOMENDACIÓN:</w:t>
      </w:r>
    </w:p>
    <w:p w14:paraId="4FF8A954" w14:textId="7ABC9940" w:rsidR="00F56F59" w:rsidRPr="00F56F59" w:rsidRDefault="00536C1E" w:rsidP="00F56F59">
      <w:pPr>
        <w:spacing w:before="100" w:beforeAutospacing="1" w:after="100" w:afterAutospacing="1"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Derivado del resultado del análisis, consideramos que el Consejo de Administración, como medida mitigante de riesgo, evalúe lo siguiente:</w:t>
      </w:r>
    </w:p>
    <w:p w14:paraId="791CE04E" w14:textId="0716619A" w:rsidR="00406F50" w:rsidRPr="00406F50" w:rsidRDefault="005017B6" w:rsidP="00406F50">
      <w:pPr>
        <w:numPr>
          <w:ilvl w:val="0"/>
          <w:numId w:val="26"/>
        </w:numPr>
        <w:spacing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Mantener la categoría de riesgo crediticio actual del asociado y la reserva interna como medida preventiva de monitoreo y seguimiento.</w:t>
      </w:r>
    </w:p>
    <w:p w14:paraId="791CE04E" w14:textId="0716619A" w:rsidR="00406F50" w:rsidRPr="00406F50" w:rsidRDefault="005017B6" w:rsidP="00406F50">
      <w:pPr>
        <w:numPr>
          <w:ilvl w:val="0"/>
          <w:numId w:val="26"/>
        </w:numPr>
        <w:spacing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Permitir la utilización de los fondos de la cuenta Premium para el pago de las obligaciones crediticias vigentes, de conformidad con las autorizaciones contractuales aplicables.</w:t>
      </w:r>
    </w:p>
    <w:p w14:paraId="791CE04E" w14:textId="0716619A" w:rsidR="00406F50" w:rsidRPr="00406F50" w:rsidRDefault="005017B6" w:rsidP="00406F50">
      <w:pPr>
        <w:numPr>
          <w:ilvl w:val="0"/>
          <w:numId w:val="26"/>
        </w:numPr>
        <w:spacing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Ampliar por medio de Análisis de Riesgo por parte de la Gerencia de Oficialía de Cumplimiento de PLD/FT/FPADM, confirmando la identidad del asociado frente a la información pública, aplicando debida diligencia reforzada y validando el origen de los fondos de la cuenta Premium.</w:t>
      </w:r>
    </w:p>
    <w:p w14:paraId="791CE04E" w14:textId="0716619A" w:rsidR="00406F50" w:rsidRPr="00406F50" w:rsidRDefault="005017B6" w:rsidP="00406F50">
      <w:pPr>
        <w:numPr>
          <w:ilvl w:val="0"/>
          <w:numId w:val="26"/>
        </w:numPr>
        <w:spacing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Mantener activas las alertas reputacional (seguimiento de información pública), de cumplimiento (monitoreo de operaciones relevantes), operativa (revisión previa de movimientos extraordinarios, cancelaciones anticipadas o solicitudes especiales) y de actualización de expediente.</w:t>
      </w:r>
    </w:p>
    <w:p w14:paraId="791CE04E" w14:textId="0716619A" w:rsidR="00406F50" w:rsidRPr="00406F50" w:rsidRDefault="005017B6" w:rsidP="00406F50">
      <w:pPr>
        <w:numPr>
          <w:ilvl w:val="0"/>
          <w:numId w:val="26"/>
        </w:numPr>
        <w:spacing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Verificar y actualizar los beneficiarios designados en la cuenta de Ahorro Premium.</w:t>
      </w:r>
    </w:p>
    <w:p w14:paraId="791CE04E" w14:textId="0716619A" w:rsidR="00406F50" w:rsidRPr="00406F50" w:rsidRDefault="005017B6" w:rsidP="00406F50">
      <w:pPr>
        <w:numPr>
          <w:ilvl w:val="0"/>
          <w:numId w:val="26"/>
        </w:numPr>
        <w:spacing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Requerir revisión previa de Riesgos, Cumplimiento y la Gerencia Legal para cualquier operación extraordinaria relacionada con los fondos o productos del asociado.</w:t>
      </w:r>
    </w:p>
    <w:p w14:paraId="791CE04E" w14:textId="0716619A" w:rsidR="00406F50" w:rsidRPr="00406F50" w:rsidRDefault="005017B6" w:rsidP="00406F50">
      <w:pPr>
        <w:numPr>
          <w:ilvl w:val="0"/>
          <w:numId w:val="26"/>
        </w:numPr>
        <w:spacing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Reevaluar el perfil de riesgo cuando existan cambios materiales en la capacidad de pago, comportamiento crediticio o garantías, o cuando se emita una medida formal por autoridad competente.</w:t>
      </w:r>
    </w:p>
    <w:p w14:paraId="3E886458" w14:textId="2A60EFAC" w:rsidR="00536C1E" w:rsidRDefault="00536C1E" w:rsidP="00536C1E">
      <w:pPr>
        <w:keepNext/>
        <w:jc w:val="both"/>
        <w:outlineLvl w:val="2"/>
        <w:rPr>
          <w:rFonts w:ascii="Arial" w:eastAsia="Times New Roman" w:hAnsi="Arial" w:cs="Arial"/>
          <w:b/>
          <w:bCs/>
          <w:kern w:val="0"/>
          <w:lang w:eastAsia="es-SV"/>
          <w14:ligatures w14:val="none"/>
        </w:rPr>
      </w:pPr>
    </w:p>
    <w:p w14:paraId="4FF8A954" w14:textId="7ABC9940" w:rsidR="00F56F59" w:rsidRPr="00F56F59" w:rsidRDefault="00536C1E" w:rsidP="00F56F59">
      <w:pPr>
        <w:keepNext/>
        <w:spacing w:before="100" w:beforeAutospacing="1" w:after="100" w:afterAutospacing="1" w:line="360" w:lineRule="auto"/>
        <w:jc w:val="both"/>
        <w:rPr>
          <w:rFonts w:ascii="Arial" w:eastAsia="Times New Roman" w:hAnsi="Arial" w:cs="Arial"/>
          <w:kern w:val="0"/>
          <w:lang w:eastAsia="es-SV"/>
          <w14:ligatures w14:val="none"/>
        </w:rPr>
      </w:pPr>
      <w:r w:rsidRPr="00F56F59">
        <w:rPr>
          <w:rFonts w:ascii="Arial" w:eastAsia="Times New Roman" w:hAnsi="Arial" w:cs="Arial"/>
          <w:kern w:val="0"/>
          <w:lang w:eastAsia="es-SV"/>
          <w14:ligatures w14:val="none"/>
        </w:rPr>
        <w:t xml:space="preserve">Atentamente,</w:t>
      </w:r>
    </w:p>
    <w:p w14:paraId="3E886458" w14:textId="2A60EFAC" w:rsidR="00536C1E" w:rsidRDefault="00536C1E" w:rsidP="00536C1E">
      <w:pPr>
        <w:keepNext/>
        <w:jc w:val="both"/>
        <w:outlineLvl w:val="2"/>
        <w:rPr>
          <w:rFonts w:ascii="Arial" w:eastAsia="Times New Roman" w:hAnsi="Arial" w:cs="Arial"/>
          <w:b/>
          <w:bCs/>
          <w:kern w:val="0"/>
          <w:lang w:eastAsia="es-SV"/>
          <w14:ligatures w14:val="none"/>
        </w:rPr>
      </w:pPr>
    </w:p>
    <w:p w14:paraId="3E886458" w14:textId="2A60EFAC" w:rsidR="00536C1E" w:rsidRDefault="00536C1E" w:rsidP="00536C1E">
      <w:pPr>
        <w:keepNext/>
        <w:jc w:val="both"/>
        <w:outlineLvl w:val="2"/>
        <w:rPr>
          <w:rFonts w:ascii="Arial" w:eastAsia="Times New Roman" w:hAnsi="Arial" w:cs="Arial"/>
          <w:b/>
          <w:bCs/>
          <w:kern w:val="0"/>
          <w:lang w:eastAsia="es-SV"/>
          <w14:ligatures w14:val="none"/>
        </w:rPr>
      </w:pPr>
    </w:p>
    <w:p w14:paraId="3E886458" w14:textId="2A60EFAC" w:rsidR="00536C1E" w:rsidRDefault="00536C1E" w:rsidP="00536C1E">
      <w:pPr>
        <w:keepNext/>
        <w:jc w:val="both"/>
        <w:outlineLvl w:val="2"/>
        <w:rPr>
          <w:rFonts w:ascii="Arial" w:eastAsia="Times New Roman" w:hAnsi="Arial" w:cs="Arial"/>
          <w:b/>
          <w:bCs/>
          <w:kern w:val="0"/>
          <w:lang w:eastAsia="es-SV"/>
          <w14:ligatures w14:val="none"/>
        </w:rPr>
      </w:pPr>
    </w:p>
    <w:p w14:paraId="3E886458" w14:textId="2A60EFAC" w:rsidR="00536C1E" w:rsidRDefault="00536C1E" w:rsidP="00536C1E">
      <w:pPr>
        <w:keepNext/>
        <w:jc w:val="both"/>
        <w:outlineLvl w:val="2"/>
        <w:rPr>
          <w:rFonts w:ascii="Arial" w:eastAsia="Times New Roman" w:hAnsi="Arial" w:cs="Arial"/>
          <w:b/>
          <w:bCs/>
          <w:kern w:val="0"/>
          <w:lang w:eastAsia="es-SV"/>
          <w14:ligatures w14:val="none"/>
        </w:rPr>
      </w:pPr>
    </w:p>
    <w:p w14:paraId="7606AA61" w14:textId="3A07DC53" w:rsidR="00C778CA" w:rsidRDefault="00C778CA" w:rsidP="00123BB1">
      <w:pPr>
        <w:keepNext/>
        <w:jc w:val="both"/>
        <w:rPr>
          <w:rFonts w:ascii="Arial" w:hAnsi="Arial" w:cs="Arial"/>
        </w:rPr>
      </w:pPr>
      <w:r w:rsidRPr="00F56F59">
        <w:rPr>
          <w:rFonts w:ascii="Arial" w:eastAsia="Times New Roman" w:hAnsi="Arial" w:cs="Arial"/>
          <w:kern w:val="0"/>
          <w:lang w:eastAsia="es-SV"/>
          <w14:ligatures w14:val="none"/>
        </w:rPr>
        <w:t xml:space="preserve">Lic. Henrry Daniel Escamilla</w:t>
      </w:r>
    </w:p>
    <w:p w14:paraId="7606AA61" w14:textId="3A07DC53" w:rsidR="00C778CA" w:rsidRDefault="00C778CA" w:rsidP="00123BB1">
      <w:pPr>
        <w:jc w:val="both"/>
        <w:rPr>
          <w:rFonts w:ascii="Arial" w:hAnsi="Arial" w:cs="Arial"/>
        </w:rPr>
      </w:pPr>
      <w:r w:rsidRPr="00F56F59">
        <w:rPr>
          <w:rFonts w:ascii="Arial" w:eastAsia="Times New Roman" w:hAnsi="Arial" w:cs="Arial"/>
          <w:kern w:val="0"/>
          <w:lang w:eastAsia="es-SV"/>
          <w14:ligatures w14:val="none"/>
        </w:rPr>
        <w:t xml:space="preserve">Jefe Administración de Riesgos</w:t>
      </w:r>
    </w:p>
    <w:sectPr w:rsidR="00C778CA" w:rsidRPr="00536C1E" w:rsidSect="00536C1E">
      <w:footerReference w:type="default" r:id="rId7"/>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3DE80" w14:textId="77777777" w:rsidR="00012000" w:rsidRDefault="00012000" w:rsidP="00123BB1">
      <w:r>
        <w:separator/>
      </w:r>
    </w:p>
  </w:endnote>
  <w:endnote w:type="continuationSeparator" w:id="0">
    <w:p w14:paraId="15C6EF06" w14:textId="77777777" w:rsidR="00012000" w:rsidRDefault="00012000" w:rsidP="00123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201581"/>
      <w:docPartObj>
        <w:docPartGallery w:val="Page Numbers (Bottom of Page)"/>
        <w:docPartUnique/>
      </w:docPartObj>
    </w:sdtPr>
    <w:sdtEndPr/>
    <w:sdtContent>
      <w:p w14:paraId="2B053281" w14:textId="6D8D54A3" w:rsidR="00123BB1" w:rsidRDefault="00123BB1">
        <w:pPr>
          <w:pStyle w:val="Piedepgina"/>
          <w:jc w:val="center"/>
        </w:pPr>
        <w:r>
          <w:fldChar w:fldCharType="begin"/>
        </w:r>
        <w:r>
          <w:instrText>PAGE   \* MERGEFORMAT</w:instrText>
        </w:r>
        <w:r>
          <w:fldChar w:fldCharType="separate"/>
        </w:r>
        <w:r>
          <w:rPr>
            <w:lang w:val="es-ES"/>
          </w:rPr>
          <w:t>2</w:t>
        </w:r>
        <w:r>
          <w:fldChar w:fldCharType="end"/>
        </w:r>
      </w:p>
    </w:sdtContent>
  </w:sdt>
  <w:p w14:paraId="6F09EF28" w14:textId="77777777" w:rsidR="00123BB1" w:rsidRDefault="00123B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A9899" w14:textId="77777777" w:rsidR="00012000" w:rsidRDefault="00012000" w:rsidP="00123BB1">
      <w:r>
        <w:separator/>
      </w:r>
    </w:p>
  </w:footnote>
  <w:footnote w:type="continuationSeparator" w:id="0">
    <w:p w14:paraId="3E32A2FC" w14:textId="77777777" w:rsidR="00012000" w:rsidRDefault="00012000" w:rsidP="00123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84C"/>
    <w:multiLevelType w:val="hybridMultilevel"/>
    <w:tmpl w:val="A648924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F8E635A"/>
    <w:multiLevelType w:val="hybridMultilevel"/>
    <w:tmpl w:val="84005728"/>
    <w:lvl w:ilvl="0" w:tplc="440A0001">
      <w:start w:val="1"/>
      <w:numFmt w:val="bullet"/>
      <w:lvlText w:val=""/>
      <w:lvlJc w:val="left"/>
      <w:pPr>
        <w:ind w:left="360" w:hanging="360"/>
      </w:pPr>
      <w:rPr>
        <w:rFonts w:ascii="Symbol" w:hAnsi="Symbol"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2" w15:restartNumberingAfterBreak="0">
    <w:nsid w:val="107E73E5"/>
    <w:multiLevelType w:val="hybridMultilevel"/>
    <w:tmpl w:val="EE96881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14A00566"/>
    <w:multiLevelType w:val="hybridMultilevel"/>
    <w:tmpl w:val="927E7EFA"/>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19CB3FDD"/>
    <w:multiLevelType w:val="multilevel"/>
    <w:tmpl w:val="7CEABD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C286409"/>
    <w:multiLevelType w:val="hybridMultilevel"/>
    <w:tmpl w:val="E822E5DC"/>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1C7B4512"/>
    <w:multiLevelType w:val="hybridMultilevel"/>
    <w:tmpl w:val="F61675B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23465ADF"/>
    <w:multiLevelType w:val="multilevel"/>
    <w:tmpl w:val="F0429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A1304"/>
    <w:multiLevelType w:val="hybridMultilevel"/>
    <w:tmpl w:val="4B9ADE44"/>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9" w15:restartNumberingAfterBreak="0">
    <w:nsid w:val="35331B93"/>
    <w:multiLevelType w:val="multilevel"/>
    <w:tmpl w:val="21AE9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45DFE"/>
    <w:multiLevelType w:val="multilevel"/>
    <w:tmpl w:val="7A98938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CA4233A"/>
    <w:multiLevelType w:val="hybridMultilevel"/>
    <w:tmpl w:val="A74C984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414776F2"/>
    <w:multiLevelType w:val="multilevel"/>
    <w:tmpl w:val="7A98938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71E1912"/>
    <w:multiLevelType w:val="multilevel"/>
    <w:tmpl w:val="DAA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A7A95"/>
    <w:multiLevelType w:val="multilevel"/>
    <w:tmpl w:val="DEF4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92E10"/>
    <w:multiLevelType w:val="multilevel"/>
    <w:tmpl w:val="D6643D5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690FB6"/>
    <w:multiLevelType w:val="hybridMultilevel"/>
    <w:tmpl w:val="084C99E0"/>
    <w:lvl w:ilvl="0" w:tplc="D674DD9E">
      <w:start w:val="1"/>
      <w:numFmt w:val="lowerLetter"/>
      <w:lvlText w:val="%1)"/>
      <w:lvlJc w:val="left"/>
      <w:pPr>
        <w:ind w:left="1080" w:hanging="360"/>
      </w:pPr>
      <w:rPr>
        <w:b/>
        <w:bCs/>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17" w15:restartNumberingAfterBreak="0">
    <w:nsid w:val="4F0A7208"/>
    <w:multiLevelType w:val="multilevel"/>
    <w:tmpl w:val="EB90851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2AD76B7"/>
    <w:multiLevelType w:val="hybridMultilevel"/>
    <w:tmpl w:val="D0B8C682"/>
    <w:lvl w:ilvl="0" w:tplc="4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8340B7F"/>
    <w:multiLevelType w:val="hybridMultilevel"/>
    <w:tmpl w:val="D89A306C"/>
    <w:lvl w:ilvl="0" w:tplc="440A0017">
      <w:start w:val="1"/>
      <w:numFmt w:val="lowerLetter"/>
      <w:lvlText w:val="%1)"/>
      <w:lvlJc w:val="left"/>
      <w:pPr>
        <w:ind w:left="1440" w:hanging="360"/>
      </w:p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20" w15:restartNumberingAfterBreak="0">
    <w:nsid w:val="600D2857"/>
    <w:multiLevelType w:val="hybridMultilevel"/>
    <w:tmpl w:val="BCF0D16C"/>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21" w15:restartNumberingAfterBreak="0">
    <w:nsid w:val="73FA1290"/>
    <w:multiLevelType w:val="hybridMultilevel"/>
    <w:tmpl w:val="A32EC896"/>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2" w15:restartNumberingAfterBreak="0">
    <w:nsid w:val="75E77F6E"/>
    <w:multiLevelType w:val="hybridMultilevel"/>
    <w:tmpl w:val="57A2470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 w15:restartNumberingAfterBreak="0">
    <w:nsid w:val="777D52E9"/>
    <w:multiLevelType w:val="multilevel"/>
    <w:tmpl w:val="DDFCC1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9370187"/>
    <w:multiLevelType w:val="hybridMultilevel"/>
    <w:tmpl w:val="8E62D4E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5" w15:restartNumberingAfterBreak="0">
    <w:nsid w:val="7AB11AA4"/>
    <w:multiLevelType w:val="multilevel"/>
    <w:tmpl w:val="7A98938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76483644">
    <w:abstractNumId w:val="4"/>
  </w:num>
  <w:num w:numId="2" w16cid:durableId="463734458">
    <w:abstractNumId w:val="14"/>
  </w:num>
  <w:num w:numId="3" w16cid:durableId="1085999740">
    <w:abstractNumId w:val="9"/>
  </w:num>
  <w:num w:numId="4" w16cid:durableId="1141730356">
    <w:abstractNumId w:val="23"/>
  </w:num>
  <w:num w:numId="5" w16cid:durableId="1511944568">
    <w:abstractNumId w:val="17"/>
  </w:num>
  <w:num w:numId="6" w16cid:durableId="358972711">
    <w:abstractNumId w:val="8"/>
  </w:num>
  <w:num w:numId="7" w16cid:durableId="658928730">
    <w:abstractNumId w:val="18"/>
  </w:num>
  <w:num w:numId="8" w16cid:durableId="1477647924">
    <w:abstractNumId w:val="15"/>
  </w:num>
  <w:num w:numId="9" w16cid:durableId="1785227035">
    <w:abstractNumId w:val="12"/>
  </w:num>
  <w:num w:numId="10" w16cid:durableId="9332520">
    <w:abstractNumId w:val="10"/>
  </w:num>
  <w:num w:numId="11" w16cid:durableId="458841073">
    <w:abstractNumId w:val="0"/>
  </w:num>
  <w:num w:numId="12" w16cid:durableId="2026636124">
    <w:abstractNumId w:val="2"/>
  </w:num>
  <w:num w:numId="13" w16cid:durableId="699548042">
    <w:abstractNumId w:val="22"/>
  </w:num>
  <w:num w:numId="14" w16cid:durableId="2125078215">
    <w:abstractNumId w:val="25"/>
  </w:num>
  <w:num w:numId="15" w16cid:durableId="1787039965">
    <w:abstractNumId w:val="1"/>
  </w:num>
  <w:num w:numId="16" w16cid:durableId="1374159436">
    <w:abstractNumId w:val="11"/>
  </w:num>
  <w:num w:numId="17" w16cid:durableId="290983678">
    <w:abstractNumId w:val="20"/>
  </w:num>
  <w:num w:numId="18" w16cid:durableId="2060787732">
    <w:abstractNumId w:val="19"/>
  </w:num>
  <w:num w:numId="19" w16cid:durableId="2028674585">
    <w:abstractNumId w:val="16"/>
  </w:num>
  <w:num w:numId="20" w16cid:durableId="1634671438">
    <w:abstractNumId w:val="7"/>
  </w:num>
  <w:num w:numId="21" w16cid:durableId="589197882">
    <w:abstractNumId w:val="21"/>
  </w:num>
  <w:num w:numId="22" w16cid:durableId="716273271">
    <w:abstractNumId w:val="3"/>
  </w:num>
  <w:num w:numId="23" w16cid:durableId="844636095">
    <w:abstractNumId w:val="5"/>
  </w:num>
  <w:num w:numId="24" w16cid:durableId="1791434123">
    <w:abstractNumId w:val="6"/>
  </w:num>
  <w:num w:numId="25" w16cid:durableId="1305356586">
    <w:abstractNumId w:val="24"/>
  </w:num>
  <w:num w:numId="26" w16cid:durableId="18044690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1E"/>
    <w:rsid w:val="00012000"/>
    <w:rsid w:val="000215B4"/>
    <w:rsid w:val="000A0749"/>
    <w:rsid w:val="00123BB1"/>
    <w:rsid w:val="0015309C"/>
    <w:rsid w:val="00156C52"/>
    <w:rsid w:val="001B754B"/>
    <w:rsid w:val="001F5D1B"/>
    <w:rsid w:val="00204317"/>
    <w:rsid w:val="00240342"/>
    <w:rsid w:val="002416D3"/>
    <w:rsid w:val="002E27D7"/>
    <w:rsid w:val="003C5C98"/>
    <w:rsid w:val="003F254B"/>
    <w:rsid w:val="00404B8A"/>
    <w:rsid w:val="00404E18"/>
    <w:rsid w:val="00406F50"/>
    <w:rsid w:val="004C0EFF"/>
    <w:rsid w:val="004E4676"/>
    <w:rsid w:val="005017B6"/>
    <w:rsid w:val="00536C1E"/>
    <w:rsid w:val="005534EE"/>
    <w:rsid w:val="00575136"/>
    <w:rsid w:val="005B6DA2"/>
    <w:rsid w:val="00611D31"/>
    <w:rsid w:val="006C6812"/>
    <w:rsid w:val="006D5FFC"/>
    <w:rsid w:val="006F0F11"/>
    <w:rsid w:val="00750ADB"/>
    <w:rsid w:val="007512E0"/>
    <w:rsid w:val="008529E5"/>
    <w:rsid w:val="0086776C"/>
    <w:rsid w:val="0088384E"/>
    <w:rsid w:val="008E26A3"/>
    <w:rsid w:val="008F091F"/>
    <w:rsid w:val="009079A7"/>
    <w:rsid w:val="00911356"/>
    <w:rsid w:val="009155E7"/>
    <w:rsid w:val="00947E96"/>
    <w:rsid w:val="00954B0A"/>
    <w:rsid w:val="00956C9E"/>
    <w:rsid w:val="009572ED"/>
    <w:rsid w:val="0099195C"/>
    <w:rsid w:val="009960F4"/>
    <w:rsid w:val="009B7001"/>
    <w:rsid w:val="009D5CEB"/>
    <w:rsid w:val="009E48C3"/>
    <w:rsid w:val="00A32302"/>
    <w:rsid w:val="00A65B03"/>
    <w:rsid w:val="00A95DC1"/>
    <w:rsid w:val="00A97CAA"/>
    <w:rsid w:val="00AA5F4C"/>
    <w:rsid w:val="00AD1E7A"/>
    <w:rsid w:val="00AD5838"/>
    <w:rsid w:val="00AE4207"/>
    <w:rsid w:val="00AE6AE2"/>
    <w:rsid w:val="00B34F8B"/>
    <w:rsid w:val="00B433C0"/>
    <w:rsid w:val="00B700AD"/>
    <w:rsid w:val="00BD5945"/>
    <w:rsid w:val="00BF18C6"/>
    <w:rsid w:val="00C70D95"/>
    <w:rsid w:val="00C778CA"/>
    <w:rsid w:val="00C84EAC"/>
    <w:rsid w:val="00CB4B73"/>
    <w:rsid w:val="00CB6701"/>
    <w:rsid w:val="00D95C87"/>
    <w:rsid w:val="00DA4001"/>
    <w:rsid w:val="00E24666"/>
    <w:rsid w:val="00E25BB5"/>
    <w:rsid w:val="00E42A6E"/>
    <w:rsid w:val="00E7420D"/>
    <w:rsid w:val="00EB347C"/>
    <w:rsid w:val="00EC490B"/>
    <w:rsid w:val="00F22049"/>
    <w:rsid w:val="00F56F59"/>
    <w:rsid w:val="00F84760"/>
    <w:rsid w:val="00F918F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12E94"/>
  <w15:chartTrackingRefBased/>
  <w15:docId w15:val="{378004E1-291C-4EE2-A130-EC85A4DF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342"/>
  </w:style>
  <w:style w:type="paragraph" w:styleId="Ttulo1">
    <w:name w:val="heading 1"/>
    <w:basedOn w:val="Normal"/>
    <w:next w:val="Normal"/>
    <w:link w:val="Ttulo1Car"/>
    <w:uiPriority w:val="9"/>
    <w:qFormat/>
    <w:rsid w:val="00536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C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C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C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C1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C1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C1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C1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6C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6C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6C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6C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6C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6C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6C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6C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6C1E"/>
    <w:rPr>
      <w:rFonts w:eastAsiaTheme="majorEastAsia" w:cstheme="majorBidi"/>
      <w:color w:val="272727" w:themeColor="text1" w:themeTint="D8"/>
    </w:rPr>
  </w:style>
  <w:style w:type="paragraph" w:styleId="Ttulo">
    <w:name w:val="Title"/>
    <w:basedOn w:val="Normal"/>
    <w:next w:val="Normal"/>
    <w:link w:val="TtuloCar"/>
    <w:uiPriority w:val="10"/>
    <w:qFormat/>
    <w:rsid w:val="00536C1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6C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6C1E"/>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6C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C1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36C1E"/>
    <w:rPr>
      <w:i/>
      <w:iCs/>
      <w:color w:val="404040" w:themeColor="text1" w:themeTint="BF"/>
    </w:rPr>
  </w:style>
  <w:style w:type="paragraph" w:styleId="Prrafodelista">
    <w:name w:val="List Paragraph"/>
    <w:basedOn w:val="Normal"/>
    <w:uiPriority w:val="34"/>
    <w:qFormat/>
    <w:rsid w:val="00536C1E"/>
    <w:pPr>
      <w:ind w:left="720"/>
      <w:contextualSpacing/>
    </w:pPr>
  </w:style>
  <w:style w:type="character" w:styleId="nfasisintenso">
    <w:name w:val="Intense Emphasis"/>
    <w:basedOn w:val="Fuentedeprrafopredeter"/>
    <w:uiPriority w:val="21"/>
    <w:qFormat/>
    <w:rsid w:val="00536C1E"/>
    <w:rPr>
      <w:i/>
      <w:iCs/>
      <w:color w:val="0F4761" w:themeColor="accent1" w:themeShade="BF"/>
    </w:rPr>
  </w:style>
  <w:style w:type="paragraph" w:styleId="Citadestacada">
    <w:name w:val="Intense Quote"/>
    <w:basedOn w:val="Normal"/>
    <w:next w:val="Normal"/>
    <w:link w:val="CitadestacadaCar"/>
    <w:uiPriority w:val="30"/>
    <w:qFormat/>
    <w:rsid w:val="00536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6C1E"/>
    <w:rPr>
      <w:i/>
      <w:iCs/>
      <w:color w:val="0F4761" w:themeColor="accent1" w:themeShade="BF"/>
    </w:rPr>
  </w:style>
  <w:style w:type="character" w:styleId="Referenciaintensa">
    <w:name w:val="Intense Reference"/>
    <w:basedOn w:val="Fuentedeprrafopredeter"/>
    <w:uiPriority w:val="32"/>
    <w:qFormat/>
    <w:rsid w:val="00536C1E"/>
    <w:rPr>
      <w:b/>
      <w:bCs/>
      <w:smallCaps/>
      <w:color w:val="0F4761" w:themeColor="accent1" w:themeShade="BF"/>
      <w:spacing w:val="5"/>
    </w:rPr>
  </w:style>
  <w:style w:type="paragraph" w:styleId="Encabezado">
    <w:name w:val="header"/>
    <w:basedOn w:val="Normal"/>
    <w:link w:val="EncabezadoCar"/>
    <w:uiPriority w:val="99"/>
    <w:unhideWhenUsed/>
    <w:rsid w:val="00123BB1"/>
    <w:pPr>
      <w:tabs>
        <w:tab w:val="center" w:pos="4419"/>
        <w:tab w:val="right" w:pos="8838"/>
      </w:tabs>
    </w:pPr>
  </w:style>
  <w:style w:type="character" w:customStyle="1" w:styleId="EncabezadoCar">
    <w:name w:val="Encabezado Car"/>
    <w:basedOn w:val="Fuentedeprrafopredeter"/>
    <w:link w:val="Encabezado"/>
    <w:uiPriority w:val="99"/>
    <w:rsid w:val="00123BB1"/>
  </w:style>
  <w:style w:type="paragraph" w:styleId="Piedepgina">
    <w:name w:val="footer"/>
    <w:basedOn w:val="Normal"/>
    <w:link w:val="PiedepginaCar"/>
    <w:uiPriority w:val="99"/>
    <w:unhideWhenUsed/>
    <w:rsid w:val="00123BB1"/>
    <w:pPr>
      <w:tabs>
        <w:tab w:val="center" w:pos="4419"/>
        <w:tab w:val="right" w:pos="8838"/>
      </w:tabs>
    </w:pPr>
  </w:style>
  <w:style w:type="character" w:customStyle="1" w:styleId="PiedepginaCar">
    <w:name w:val="Pie de página Car"/>
    <w:basedOn w:val="Fuentedeprrafopredeter"/>
    <w:link w:val="Piedepgina"/>
    <w:uiPriority w:val="99"/>
    <w:rsid w:val="00123BB1"/>
  </w:style>
  <w:style w:type="paragraph" w:styleId="NormalWeb">
    <w:name w:val="Normal (Web)"/>
    <w:basedOn w:val="Normal"/>
    <w:uiPriority w:val="99"/>
    <w:semiHidden/>
    <w:unhideWhenUsed/>
    <w:rsid w:val="006C6812"/>
    <w:pPr>
      <w:spacing w:before="100" w:beforeAutospacing="1" w:after="100" w:afterAutospacing="1"/>
    </w:pPr>
    <w:rPr>
      <w:rFonts w:ascii="Times New Roman" w:eastAsia="Times New Roman" w:hAnsi="Times New Roman" w:cs="Times New Roman"/>
      <w:kern w:val="0"/>
      <w:lang w:eastAsia="es-SV"/>
      <w14:ligatures w14:val="none"/>
    </w:rPr>
  </w:style>
  <w:style w:type="character" w:styleId="Fuerte">
    <w:name w:val="Strong"/>
    <w:basedOn w:val="Fuentedeprrafopredeter"/>
    <w:uiPriority w:val="22"/>
    <w:qFormat/>
    <w:rsid w:val="006C68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4</Pages>
  <Words>810</Words>
  <Characters>4529</Characters>
  <Application>Microsoft Office Word</Application>
  <DocSecurity>0</DocSecurity>
  <Lines>113</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Martinez</dc:creator>
  <cp:keywords/>
  <dc:description/>
  <cp:lastModifiedBy>Silvia Martinez</cp:lastModifiedBy>
  <cp:revision>29</cp:revision>
  <cp:lastPrinted>2026-05-04T22:49:00Z</cp:lastPrinted>
  <dcterms:created xsi:type="dcterms:W3CDTF">2025-12-12T15:55:00Z</dcterms:created>
  <dcterms:modified xsi:type="dcterms:W3CDTF">2026-05-04T22:49:00Z</dcterms:modified>
</cp:coreProperties>
</file>